
<file path=[Content_Types].xml><?xml version="1.0" encoding="utf-8"?>
<Types xmlns="http://schemas.openxmlformats.org/package/2006/content-types">
  <Default Extension="bin" ContentType="application/vnd.openxmlformats-officedocument.oleObject"/>
  <Default Extension="png" ContentType="image/png"/>
  <Default Extension="svg" ContentType="image/svg+xml"/>
  <Default Extension="wmf" ContentType="image/x-wmf"/>
  <Default Extension="xls" ContentType="application/vnd.ms-excel"/>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theme/themeOverride1.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2.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theme/themeOverride3.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theme/themeOverride4.xml" ContentType="application/vnd.openxmlformats-officedocument.themeOverride+xml"/>
  <Override PartName="/word/drawings/drawing5.xml" ContentType="application/vnd.openxmlformats-officedocument.drawingml.chartshapes+xml"/>
  <Override PartName="/word/charts/chart6.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7.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8.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9.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drawings/drawing6.xml" ContentType="application/vnd.openxmlformats-officedocument.drawingml.chartshap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6E732C" w14:textId="77777777" w:rsidR="00650851" w:rsidRPr="009D11AD" w:rsidRDefault="00650851" w:rsidP="00860D54">
      <w:pPr>
        <w:pStyle w:val="afd"/>
        <w:overflowPunct w:val="0"/>
        <w:rPr>
          <w:rFonts w:ascii="標楷體" w:hAnsi="標楷體"/>
          <w:color w:val="000000" w:themeColor="text1"/>
        </w:rPr>
      </w:pPr>
      <w:r w:rsidRPr="009D11AD">
        <w:rPr>
          <w:rFonts w:ascii="標楷體" w:hAnsi="標楷體" w:hint="eastAsia"/>
          <w:color w:val="000000" w:themeColor="text1"/>
        </w:rPr>
        <w:t>貳、行政院主管</w:t>
      </w:r>
    </w:p>
    <w:p w14:paraId="0C453707" w14:textId="430E2496" w:rsidR="00650851" w:rsidRPr="009D11AD" w:rsidRDefault="00F31B83" w:rsidP="00860D54">
      <w:pPr>
        <w:pStyle w:val="aff5"/>
        <w:overflowPunct w:val="0"/>
        <w:spacing w:line="410" w:lineRule="exact"/>
        <w:ind w:firstLine="480"/>
        <w:rPr>
          <w:rFonts w:hAnsi="標楷體"/>
          <w:color w:val="000000" w:themeColor="text1"/>
        </w:rPr>
      </w:pPr>
      <w:r w:rsidRPr="009D11AD">
        <w:rPr>
          <w:rFonts w:hAnsi="標楷體" w:hint="eastAsia"/>
          <w:color w:val="000000" w:themeColor="text1"/>
        </w:rPr>
        <w:t>行政院主管包括行政院（前行政院資通安全處業務移撥數位發展部資通安全署）、主計總處、人事行政總處、公務人力發展學院、國立故宮博物院、國家發展委員會（原掌理</w:t>
      </w:r>
      <w:r w:rsidR="002E59B9">
        <w:rPr>
          <w:rFonts w:hAnsi="標楷體" w:hint="eastAsia"/>
          <w:color w:val="000000" w:themeColor="text1"/>
        </w:rPr>
        <w:t>之</w:t>
      </w:r>
      <w:r w:rsidRPr="009D11AD">
        <w:rPr>
          <w:rFonts w:hAnsi="標楷體" w:hint="eastAsia"/>
          <w:color w:val="000000" w:themeColor="text1"/>
        </w:rPr>
        <w:t>政府資訊管理政策綜合性規劃、協調、審議及資源分配等相關業務移撥至數位發展部）、檔案管理局、原住民族委員會、原住民族文化發展中心、客家委員會及所屬、中央選舉委員會及所屬、公平交易委員會、國家通訊傳播委員會（原掌理之通訊傳播基礎設施、電信產業發展與輔導等業務移撥至數位發展部）、大陸委員會、國家運輸安全調查委員會、促進轉型正義委員會（1</w:t>
      </w:r>
      <w:r w:rsidRPr="009D11AD">
        <w:rPr>
          <w:rFonts w:hAnsi="標楷體"/>
          <w:color w:val="000000" w:themeColor="text1"/>
        </w:rPr>
        <w:t>11</w:t>
      </w:r>
      <w:r w:rsidRPr="009D11AD">
        <w:rPr>
          <w:rFonts w:hAnsi="標楷體" w:hint="eastAsia"/>
          <w:color w:val="000000" w:themeColor="text1"/>
        </w:rPr>
        <w:t>年5月</w:t>
      </w:r>
      <w:r w:rsidRPr="00DA2751">
        <w:rPr>
          <w:rFonts w:hAnsi="標楷體"/>
          <w:color w:val="000000" w:themeColor="text1"/>
        </w:rPr>
        <w:t>31</w:t>
      </w:r>
      <w:r w:rsidRPr="00067D95">
        <w:rPr>
          <w:rFonts w:hAnsi="標楷體" w:hint="eastAsia"/>
          <w:color w:val="000000" w:themeColor="text1"/>
        </w:rPr>
        <w:t>日</w:t>
      </w:r>
      <w:r w:rsidRPr="009D11AD">
        <w:rPr>
          <w:rFonts w:hAnsi="標楷體" w:hint="eastAsia"/>
          <w:color w:val="000000" w:themeColor="text1"/>
        </w:rPr>
        <w:t>解散）、不當黨產處理委員會、公共工程委員會等18個機關，掌理政策之審議及國家長期發展方向之策定，全國重要行政事務、歲計、會計、統計事宜，行政院所屬人事行政之政策規劃、執行及發展，國家古文物及藝術品之保管、研析、徵集與展覽，國家發展之規劃、協調、審議、資源分配業務，原住民族政策、制度、法規之擬訂、規劃及推動，客家文化之闡揚及研究，公職人員選舉、罷免事務之辦理及指揮監督，公平交易之政策擬訂及案件調查處分，通訊傳播監理政策、法令訂定及事業營運之監督管理，大陸政策之研究與規劃，重大運輸事故通報、調查、肇因鑑定及分析，轉型正義之規劃、推動，政黨、附隨組織及其受託管理人不當取得財產之調查、返還，政府採購事務及公共工程政策之規劃、審議、協調及督導等業務。茲將111年度決算審核結果說明如次（有關歲入、歲出決算之審定及各項差異之原因分析等詳細內容，請參閱總決算審核報告第1冊戊篇「貳、行政院主管」）：</w:t>
      </w:r>
    </w:p>
    <w:p w14:paraId="565CCB6D" w14:textId="77777777" w:rsidR="00650851" w:rsidRPr="009D11AD" w:rsidRDefault="00FE73F8" w:rsidP="00860D54">
      <w:pPr>
        <w:pStyle w:val="10"/>
        <w:overflowPunct w:val="0"/>
        <w:spacing w:beforeLines="20" w:before="72" w:afterLines="20" w:after="72" w:line="424" w:lineRule="exact"/>
        <w:ind w:firstLineChars="100" w:firstLine="320"/>
        <w:rPr>
          <w:rFonts w:ascii="標楷體" w:eastAsia="標楷體" w:hAnsi="標楷體"/>
          <w:b w:val="0"/>
          <w:color w:val="000000" w:themeColor="text1"/>
          <w:sz w:val="32"/>
          <w:szCs w:val="32"/>
        </w:rPr>
      </w:pPr>
      <w:r w:rsidRPr="009D11AD">
        <w:rPr>
          <w:rFonts w:ascii="標楷體" w:eastAsia="標楷體" w:hAnsi="標楷體" w:hint="eastAsia"/>
          <w:color w:val="000000" w:themeColor="text1"/>
          <w:sz w:val="32"/>
          <w:szCs w:val="32"/>
        </w:rPr>
        <w:t>一、</w:t>
      </w:r>
      <w:r w:rsidR="00650851" w:rsidRPr="009D11AD">
        <w:rPr>
          <w:rFonts w:ascii="標楷體" w:eastAsia="標楷體" w:hAnsi="標楷體" w:hint="eastAsia"/>
          <w:color w:val="000000" w:themeColor="text1"/>
          <w:sz w:val="32"/>
          <w:szCs w:val="32"/>
        </w:rPr>
        <w:t>計畫實施之查核</w:t>
      </w:r>
    </w:p>
    <w:p w14:paraId="40F5042B" w14:textId="2448FD1F" w:rsidR="00A97FA8" w:rsidRPr="009D11AD" w:rsidRDefault="00650851" w:rsidP="00860D54">
      <w:pPr>
        <w:pStyle w:val="aff5"/>
        <w:overflowPunct w:val="0"/>
        <w:spacing w:line="410" w:lineRule="exact"/>
        <w:ind w:firstLine="480"/>
        <w:rPr>
          <w:rFonts w:hAnsi="標楷體"/>
          <w:color w:val="000000" w:themeColor="text1"/>
        </w:rPr>
      </w:pPr>
      <w:r w:rsidRPr="009D11AD">
        <w:rPr>
          <w:rFonts w:hAnsi="標楷體" w:hint="eastAsia"/>
          <w:color w:val="000000" w:themeColor="text1"/>
        </w:rPr>
        <w:t>業務計畫</w:t>
      </w:r>
      <w:r w:rsidR="009A73B5" w:rsidRPr="009D11AD">
        <w:rPr>
          <w:rFonts w:hAnsi="標楷體" w:hint="eastAsia"/>
          <w:color w:val="000000" w:themeColor="text1"/>
        </w:rPr>
        <w:t>112</w:t>
      </w:r>
      <w:r w:rsidRPr="009D11AD">
        <w:rPr>
          <w:rFonts w:hAnsi="標楷體" w:hint="eastAsia"/>
          <w:color w:val="000000" w:themeColor="text1"/>
        </w:rPr>
        <w:t>項，下分工作計畫</w:t>
      </w:r>
      <w:r w:rsidR="009A73B5" w:rsidRPr="009D11AD">
        <w:rPr>
          <w:rFonts w:hAnsi="標楷體" w:hint="eastAsia"/>
          <w:color w:val="000000" w:themeColor="text1"/>
        </w:rPr>
        <w:t>122</w:t>
      </w:r>
      <w:r w:rsidRPr="009D11AD">
        <w:rPr>
          <w:rFonts w:hAnsi="標楷體" w:hint="eastAsia"/>
          <w:color w:val="000000" w:themeColor="text1"/>
        </w:rPr>
        <w:t>項，</w:t>
      </w:r>
      <w:r w:rsidR="00B2080E" w:rsidRPr="009D11AD">
        <w:rPr>
          <w:rFonts w:hAnsi="標楷體" w:hint="eastAsia"/>
          <w:color w:val="000000" w:themeColor="text1"/>
        </w:rPr>
        <w:t>包括</w:t>
      </w:r>
      <w:r w:rsidR="00F06D48" w:rsidRPr="009D11AD">
        <w:rPr>
          <w:rFonts w:hAnsi="標楷體" w:hint="eastAsia"/>
          <w:color w:val="000000" w:themeColor="text1"/>
        </w:rPr>
        <w:t>國家科技發展、國土安全、災害防救、消費者保護等政策之規劃、推動、督導</w:t>
      </w:r>
      <w:r w:rsidR="00214FE6" w:rsidRPr="009D11AD">
        <w:rPr>
          <w:rFonts w:hAnsi="標楷體" w:hint="eastAsia"/>
          <w:color w:val="000000" w:themeColor="text1"/>
        </w:rPr>
        <w:t>，</w:t>
      </w:r>
      <w:r w:rsidR="00721AB5" w:rsidRPr="009D11AD">
        <w:rPr>
          <w:rFonts w:hAnsi="標楷體" w:hint="eastAsia"/>
        </w:rPr>
        <w:t>研擬經濟政策、協調推動財經措施、促進產業發展</w:t>
      </w:r>
      <w:r w:rsidR="002D55C7" w:rsidRPr="009D11AD">
        <w:rPr>
          <w:rFonts w:hAnsi="標楷體" w:hint="eastAsia"/>
        </w:rPr>
        <w:t>，</w:t>
      </w:r>
      <w:r w:rsidR="00137B95" w:rsidRPr="009D11AD">
        <w:rPr>
          <w:rFonts w:hAnsi="標楷體" w:hint="eastAsia"/>
        </w:rPr>
        <w:t>健全政府會計制度、</w:t>
      </w:r>
      <w:r w:rsidR="0036390D" w:rsidRPr="009D11AD">
        <w:rPr>
          <w:rFonts w:hAnsi="標楷體" w:hint="eastAsia"/>
        </w:rPr>
        <w:t>發揮內部控制功能</w:t>
      </w:r>
      <w:r w:rsidR="00B4256D" w:rsidRPr="009D11AD">
        <w:rPr>
          <w:rFonts w:hAnsi="標楷體" w:hint="eastAsia"/>
        </w:rPr>
        <w:t>，</w:t>
      </w:r>
      <w:r w:rsidR="00B263FA" w:rsidRPr="009D11AD">
        <w:rPr>
          <w:rFonts w:hAnsi="標楷體" w:hint="eastAsia"/>
        </w:rPr>
        <w:t>推動公務人才培育</w:t>
      </w:r>
      <w:r w:rsidR="00302D62" w:rsidRPr="009D11AD">
        <w:rPr>
          <w:rFonts w:hAnsi="標楷體" w:hint="eastAsia"/>
        </w:rPr>
        <w:t>，</w:t>
      </w:r>
      <w:r w:rsidR="00DF204B" w:rsidRPr="009D11AD">
        <w:rPr>
          <w:rFonts w:hAnsi="標楷體" w:hint="eastAsia"/>
        </w:rPr>
        <w:t>強化</w:t>
      </w:r>
      <w:r w:rsidR="00E82220" w:rsidRPr="009D11AD">
        <w:rPr>
          <w:rFonts w:hAnsi="標楷體" w:hint="eastAsia"/>
        </w:rPr>
        <w:t>文物安全、管理與修護，</w:t>
      </w:r>
      <w:r w:rsidR="00AC07D1" w:rsidRPr="009D11AD">
        <w:rPr>
          <w:rFonts w:hAnsi="標楷體" w:hint="eastAsia"/>
        </w:rPr>
        <w:t>推動</w:t>
      </w:r>
      <w:r w:rsidR="00AC07D1" w:rsidRPr="009D11AD">
        <w:rPr>
          <w:rFonts w:hAnsi="標楷體"/>
        </w:rPr>
        <w:t>原住民族經濟產業發展</w:t>
      </w:r>
      <w:r w:rsidR="00AC07D1" w:rsidRPr="009D11AD">
        <w:rPr>
          <w:rFonts w:hAnsi="標楷體" w:hint="eastAsia"/>
        </w:rPr>
        <w:t>、強化民族教育體系暨保障原住民族語言發展</w:t>
      </w:r>
      <w:r w:rsidR="00B263FA" w:rsidRPr="009D11AD">
        <w:rPr>
          <w:rFonts w:hAnsi="標楷體" w:hint="eastAsia"/>
        </w:rPr>
        <w:t>，</w:t>
      </w:r>
      <w:r w:rsidR="00A31813" w:rsidRPr="009D11AD">
        <w:rPr>
          <w:rFonts w:hAnsi="標楷體" w:hint="eastAsia"/>
        </w:rPr>
        <w:t>建立客語推廣機制，創新客家文化產業價值</w:t>
      </w:r>
      <w:r w:rsidR="00125E9E" w:rsidRPr="009D11AD">
        <w:rPr>
          <w:rFonts w:hAnsi="標楷體" w:hint="eastAsia"/>
        </w:rPr>
        <w:t>，</w:t>
      </w:r>
      <w:r w:rsidR="00007940" w:rsidRPr="009D11AD">
        <w:rPr>
          <w:rFonts w:hAnsi="標楷體" w:hint="eastAsia"/>
        </w:rPr>
        <w:t>查處妨礙市場競爭行為，</w:t>
      </w:r>
      <w:r w:rsidR="00741B1B" w:rsidRPr="009D11AD">
        <w:rPr>
          <w:rFonts w:hAnsi="標楷體" w:hint="eastAsia"/>
        </w:rPr>
        <w:t>通訊傳播監理</w:t>
      </w:r>
      <w:r w:rsidR="004A0211" w:rsidRPr="009D11AD">
        <w:rPr>
          <w:rFonts w:hAnsi="標楷體" w:hint="eastAsia"/>
        </w:rPr>
        <w:t>政策、法令訂定及事業營運之監督管理</w:t>
      </w:r>
      <w:r w:rsidR="00F115FB" w:rsidRPr="009D11AD">
        <w:rPr>
          <w:rFonts w:hAnsi="標楷體" w:hint="eastAsia"/>
          <w:color w:val="000000" w:themeColor="text1"/>
        </w:rPr>
        <w:t>，</w:t>
      </w:r>
      <w:r w:rsidR="00273A15" w:rsidRPr="009D11AD">
        <w:rPr>
          <w:rFonts w:hAnsi="標楷體" w:hint="eastAsia"/>
          <w:color w:val="000000" w:themeColor="text1"/>
        </w:rPr>
        <w:t>推動兩岸制度化協商、深化兩岸經貿</w:t>
      </w:r>
      <w:r w:rsidR="00137B95" w:rsidRPr="009D11AD">
        <w:rPr>
          <w:rFonts w:hAnsi="標楷體" w:hint="eastAsia"/>
          <w:color w:val="000000" w:themeColor="text1"/>
        </w:rPr>
        <w:t>交流</w:t>
      </w:r>
      <w:r w:rsidR="00273A15" w:rsidRPr="009D11AD">
        <w:rPr>
          <w:rFonts w:hAnsi="標楷體" w:hint="eastAsia"/>
          <w:color w:val="000000" w:themeColor="text1"/>
        </w:rPr>
        <w:t>及合作</w:t>
      </w:r>
      <w:r w:rsidR="000128D6" w:rsidRPr="009D11AD">
        <w:rPr>
          <w:rFonts w:hAnsi="標楷體" w:hint="eastAsia"/>
          <w:color w:val="000000" w:themeColor="text1"/>
        </w:rPr>
        <w:t>，開放政治檔案、還原歷史真相，受理政黨</w:t>
      </w:r>
      <w:r w:rsidR="00125E9E" w:rsidRPr="009D11AD">
        <w:rPr>
          <w:rFonts w:hAnsi="標楷體" w:hint="eastAsia"/>
          <w:color w:val="000000" w:themeColor="text1"/>
        </w:rPr>
        <w:t>、附隨組織等財產申報並界定其</w:t>
      </w:r>
      <w:r w:rsidR="005E79D1" w:rsidRPr="009D11AD">
        <w:rPr>
          <w:rFonts w:hAnsi="標楷體" w:hint="eastAsia"/>
          <w:color w:val="000000" w:themeColor="text1"/>
        </w:rPr>
        <w:t>財產範圍，</w:t>
      </w:r>
      <w:r w:rsidR="00302D62" w:rsidRPr="009D11AD">
        <w:rPr>
          <w:rFonts w:hAnsi="標楷體" w:hint="eastAsia"/>
          <w:color w:val="000000" w:themeColor="text1"/>
        </w:rPr>
        <w:t>積極推動各項重大公共建設計畫</w:t>
      </w:r>
      <w:r w:rsidR="00137B95" w:rsidRPr="009D11AD">
        <w:rPr>
          <w:rFonts w:hAnsi="標楷體" w:hint="eastAsia"/>
          <w:color w:val="000000" w:themeColor="text1"/>
        </w:rPr>
        <w:t>等</w:t>
      </w:r>
      <w:r w:rsidR="00B2080E" w:rsidRPr="009D11AD">
        <w:rPr>
          <w:rFonts w:hAnsi="標楷體" w:hint="eastAsia"/>
          <w:color w:val="000000" w:themeColor="text1"/>
        </w:rPr>
        <w:t>重要施政項目，</w:t>
      </w:r>
      <w:r w:rsidR="00AB271A" w:rsidRPr="009D11AD">
        <w:rPr>
          <w:rFonts w:hAnsi="標楷體" w:hint="eastAsia"/>
          <w:color w:val="000000" w:themeColor="text1"/>
        </w:rPr>
        <w:t>其</w:t>
      </w:r>
      <w:r w:rsidRPr="009D11AD">
        <w:rPr>
          <w:rFonts w:hAnsi="標楷體" w:hint="eastAsia"/>
          <w:color w:val="000000" w:themeColor="text1"/>
        </w:rPr>
        <w:t>中已執行完成者</w:t>
      </w:r>
      <w:r w:rsidR="0053495B" w:rsidRPr="009D11AD">
        <w:rPr>
          <w:rFonts w:hAnsi="標楷體" w:hint="eastAsia"/>
          <w:color w:val="000000" w:themeColor="text1"/>
        </w:rPr>
        <w:t>80</w:t>
      </w:r>
      <w:r w:rsidRPr="009D11AD">
        <w:rPr>
          <w:rFonts w:hAnsi="標楷體" w:hint="eastAsia"/>
          <w:color w:val="000000" w:themeColor="text1"/>
        </w:rPr>
        <w:t>項，尚在執行者</w:t>
      </w:r>
      <w:r w:rsidR="00092A3B" w:rsidRPr="009D11AD">
        <w:rPr>
          <w:rFonts w:hAnsi="標楷體" w:hint="eastAsia"/>
          <w:color w:val="000000" w:themeColor="text1"/>
        </w:rPr>
        <w:t>4</w:t>
      </w:r>
      <w:r w:rsidR="009A73B5" w:rsidRPr="009D11AD">
        <w:rPr>
          <w:rFonts w:hAnsi="標楷體" w:hint="eastAsia"/>
          <w:color w:val="000000" w:themeColor="text1"/>
        </w:rPr>
        <w:t>1</w:t>
      </w:r>
      <w:r w:rsidRPr="009D11AD">
        <w:rPr>
          <w:rFonts w:hAnsi="標楷體" w:hint="eastAsia"/>
          <w:color w:val="000000" w:themeColor="text1"/>
        </w:rPr>
        <w:t>項，主要係</w:t>
      </w:r>
      <w:r w:rsidR="00092A3B" w:rsidRPr="009D11AD">
        <w:rPr>
          <w:rFonts w:hAnsi="標楷體" w:hint="eastAsia"/>
          <w:color w:val="000000" w:themeColor="text1"/>
        </w:rPr>
        <w:t>原住民族委員會</w:t>
      </w:r>
      <w:r w:rsidR="00895FDE" w:rsidRPr="009D11AD">
        <w:rPr>
          <w:rFonts w:hAnsi="標楷體" w:hint="eastAsia"/>
          <w:color w:val="000000" w:themeColor="text1"/>
        </w:rPr>
        <w:t>委託辦理「111年原住民專門人才論壇暨獎勵金核發工作計畫」、捐助財團法人原住民族文化事業基金會辦理111年度工作計畫、建置原住民族廣播電臺計畫</w:t>
      </w:r>
      <w:r w:rsidR="00392C56" w:rsidRPr="009D11AD">
        <w:rPr>
          <w:rFonts w:hAnsi="標楷體" w:hint="eastAsia"/>
          <w:color w:val="000000" w:themeColor="text1"/>
        </w:rPr>
        <w:t>；</w:t>
      </w:r>
      <w:r w:rsidR="00895FDE" w:rsidRPr="009D11AD">
        <w:rPr>
          <w:rFonts w:hAnsi="標楷體" w:hint="eastAsia"/>
          <w:color w:val="000000" w:themeColor="text1"/>
        </w:rPr>
        <w:t>國立故宮博物院辦理故宮國寶文物修復展示</w:t>
      </w:r>
      <w:r w:rsidR="00DF204B" w:rsidRPr="009D11AD">
        <w:rPr>
          <w:rFonts w:hAnsi="標楷體" w:hint="eastAsia"/>
          <w:color w:val="000000" w:themeColor="text1"/>
        </w:rPr>
        <w:t>館建置計畫；原住民族文化發展中心辦理原住民族文化園區館舍再利用工程等</w:t>
      </w:r>
      <w:r w:rsidR="00895FDE" w:rsidRPr="009D11AD">
        <w:rPr>
          <w:rFonts w:hAnsi="標楷體" w:hint="eastAsia"/>
          <w:color w:val="000000" w:themeColor="text1"/>
        </w:rPr>
        <w:t>，尚在執行中。</w:t>
      </w:r>
      <w:r w:rsidR="009A73B5" w:rsidRPr="009D11AD">
        <w:rPr>
          <w:rFonts w:hAnsi="標楷體" w:hint="eastAsia"/>
          <w:color w:val="000000" w:themeColor="text1"/>
        </w:rPr>
        <w:t>未執行者1項，</w:t>
      </w:r>
      <w:r w:rsidR="005D749F" w:rsidRPr="009D11AD">
        <w:rPr>
          <w:rFonts w:hAnsi="標楷體" w:hint="eastAsia"/>
          <w:color w:val="000000" w:themeColor="text1"/>
        </w:rPr>
        <w:t>係</w:t>
      </w:r>
      <w:r w:rsidR="00B51BBD" w:rsidRPr="009D11AD">
        <w:rPr>
          <w:rFonts w:hAnsi="標楷體" w:hint="eastAsia"/>
          <w:color w:val="000000" w:themeColor="text1"/>
        </w:rPr>
        <w:t>行政院</w:t>
      </w:r>
      <w:r w:rsidR="005D749F" w:rsidRPr="009D11AD">
        <w:rPr>
          <w:rFonts w:hAnsi="標楷體" w:hint="eastAsia"/>
          <w:color w:val="000000" w:themeColor="text1"/>
        </w:rPr>
        <w:t>人事行政總處之公教員工資遣退職給付，因各機關無申請案件，爰</w:t>
      </w:r>
      <w:r w:rsidR="009A73B5" w:rsidRPr="009D11AD">
        <w:rPr>
          <w:rFonts w:hAnsi="標楷體" w:hint="eastAsia"/>
          <w:color w:val="000000" w:themeColor="text1"/>
        </w:rPr>
        <w:t>未執行。</w:t>
      </w:r>
    </w:p>
    <w:p w14:paraId="12ADAADC" w14:textId="77777777" w:rsidR="00650851" w:rsidRPr="009D11AD" w:rsidRDefault="00FE73F8" w:rsidP="00860D54">
      <w:pPr>
        <w:pStyle w:val="10"/>
        <w:overflowPunct w:val="0"/>
        <w:spacing w:beforeLines="20" w:before="72" w:afterLines="20" w:after="72" w:line="424" w:lineRule="exact"/>
        <w:ind w:firstLineChars="100" w:firstLine="320"/>
        <w:rPr>
          <w:rFonts w:ascii="標楷體" w:eastAsia="標楷體" w:hAnsi="標楷體"/>
          <w:color w:val="000000" w:themeColor="text1"/>
          <w:sz w:val="32"/>
          <w:szCs w:val="32"/>
        </w:rPr>
      </w:pPr>
      <w:r w:rsidRPr="009D11AD">
        <w:rPr>
          <w:rFonts w:ascii="標楷體" w:eastAsia="標楷體" w:hAnsi="標楷體" w:hint="eastAsia"/>
          <w:color w:val="000000" w:themeColor="text1"/>
          <w:sz w:val="32"/>
          <w:szCs w:val="32"/>
        </w:rPr>
        <w:t>二、</w:t>
      </w:r>
      <w:r w:rsidR="00650851" w:rsidRPr="009D11AD">
        <w:rPr>
          <w:rFonts w:ascii="標楷體" w:eastAsia="標楷體" w:hAnsi="標楷體" w:hint="eastAsia"/>
          <w:color w:val="000000" w:themeColor="text1"/>
          <w:sz w:val="32"/>
          <w:szCs w:val="32"/>
        </w:rPr>
        <w:t>預算執行之審核</w:t>
      </w:r>
    </w:p>
    <w:p w14:paraId="2B80671B" w14:textId="1A726CC5" w:rsidR="0019529A" w:rsidRPr="009D11AD" w:rsidRDefault="009876C8" w:rsidP="009876C8">
      <w:pPr>
        <w:pStyle w:val="13"/>
        <w:overflowPunct w:val="0"/>
        <w:spacing w:line="416" w:lineRule="exact"/>
        <w:ind w:firstLineChars="200" w:firstLine="480"/>
        <w:rPr>
          <w:rFonts w:hAnsi="標楷體"/>
          <w:color w:val="000000" w:themeColor="text1"/>
        </w:rPr>
      </w:pPr>
      <w:r>
        <w:rPr>
          <w:rFonts w:hAnsi="標楷體" w:hint="eastAsia"/>
          <w:color w:val="000000" w:themeColor="text1"/>
        </w:rPr>
        <w:t>（一）</w:t>
      </w:r>
      <w:r w:rsidR="00650851" w:rsidRPr="009D11AD">
        <w:rPr>
          <w:rFonts w:hAnsi="標楷體" w:hint="eastAsia"/>
          <w:color w:val="000000" w:themeColor="text1"/>
        </w:rPr>
        <w:t xml:space="preserve">　歲入預算數</w:t>
      </w:r>
      <w:r w:rsidR="008C58AE" w:rsidRPr="009D11AD">
        <w:rPr>
          <w:rFonts w:hAnsi="標楷體" w:hint="eastAsia"/>
          <w:color w:val="000000" w:themeColor="text1"/>
        </w:rPr>
        <w:t>1</w:t>
      </w:r>
      <w:r w:rsidR="00BE1824" w:rsidRPr="009D11AD">
        <w:rPr>
          <w:rFonts w:hAnsi="標楷體" w:hint="eastAsia"/>
          <w:color w:val="000000" w:themeColor="text1"/>
        </w:rPr>
        <w:t>,</w:t>
      </w:r>
      <w:r w:rsidR="00A23A8B" w:rsidRPr="009D11AD">
        <w:rPr>
          <w:rFonts w:hAnsi="標楷體" w:hint="eastAsia"/>
          <w:color w:val="000000" w:themeColor="text1"/>
        </w:rPr>
        <w:t>919</w:t>
      </w:r>
      <w:r w:rsidR="00650851" w:rsidRPr="009D11AD">
        <w:rPr>
          <w:rFonts w:hAnsi="標楷體" w:hint="eastAsia"/>
          <w:color w:val="000000" w:themeColor="text1"/>
        </w:rPr>
        <w:t>億</w:t>
      </w:r>
      <w:r w:rsidR="00A23A8B" w:rsidRPr="009D11AD">
        <w:rPr>
          <w:rFonts w:hAnsi="標楷體" w:hint="eastAsia"/>
          <w:color w:val="000000" w:themeColor="text1"/>
        </w:rPr>
        <w:t>6</w:t>
      </w:r>
      <w:r w:rsidR="00BE1824" w:rsidRPr="009D11AD">
        <w:rPr>
          <w:rFonts w:hAnsi="標楷體" w:hint="eastAsia"/>
          <w:color w:val="000000" w:themeColor="text1"/>
        </w:rPr>
        <w:t>,</w:t>
      </w:r>
      <w:r w:rsidR="00A23A8B" w:rsidRPr="009D11AD">
        <w:rPr>
          <w:rFonts w:hAnsi="標楷體" w:hint="eastAsia"/>
          <w:color w:val="000000" w:themeColor="text1"/>
        </w:rPr>
        <w:t>516</w:t>
      </w:r>
      <w:r w:rsidR="00650851" w:rsidRPr="009D11AD">
        <w:rPr>
          <w:rFonts w:hAnsi="標楷體" w:hint="eastAsia"/>
          <w:color w:val="000000" w:themeColor="text1"/>
        </w:rPr>
        <w:t>萬</w:t>
      </w:r>
      <w:r w:rsidR="001858D1" w:rsidRPr="009D11AD">
        <w:rPr>
          <w:rFonts w:hAnsi="標楷體" w:hint="eastAsia"/>
          <w:color w:val="000000" w:themeColor="text1"/>
        </w:rPr>
        <w:t>餘</w:t>
      </w:r>
      <w:r w:rsidR="00650851" w:rsidRPr="009D11AD">
        <w:rPr>
          <w:rFonts w:hAnsi="標楷體" w:hint="eastAsia"/>
          <w:color w:val="000000" w:themeColor="text1"/>
        </w:rPr>
        <w:t>元，決算審核結果</w:t>
      </w:r>
      <w:r w:rsidR="00BE1824" w:rsidRPr="009D11AD">
        <w:rPr>
          <w:rFonts w:hAnsi="標楷體" w:hint="eastAsia"/>
          <w:color w:val="000000" w:themeColor="text1"/>
        </w:rPr>
        <w:t>，修正增</w:t>
      </w:r>
      <w:r w:rsidR="00E91811" w:rsidRPr="009D11AD">
        <w:rPr>
          <w:rFonts w:hAnsi="標楷體" w:hint="eastAsia"/>
          <w:color w:val="000000" w:themeColor="text1"/>
        </w:rPr>
        <w:t>列應</w:t>
      </w:r>
      <w:r w:rsidR="00650851" w:rsidRPr="009D11AD">
        <w:rPr>
          <w:rFonts w:hAnsi="標楷體" w:hint="eastAsia"/>
          <w:color w:val="000000" w:themeColor="text1"/>
        </w:rPr>
        <w:t>收保留數</w:t>
      </w:r>
      <w:r w:rsidR="00A23A8B" w:rsidRPr="009D11AD">
        <w:rPr>
          <w:rFonts w:hAnsi="標楷體" w:hint="eastAsia"/>
          <w:color w:val="000000" w:themeColor="text1"/>
        </w:rPr>
        <w:t>6,459</w:t>
      </w:r>
      <w:r w:rsidR="00AF609E" w:rsidRPr="009D11AD">
        <w:rPr>
          <w:rFonts w:hAnsi="標楷體" w:hint="eastAsia"/>
          <w:color w:val="000000" w:themeColor="text1"/>
        </w:rPr>
        <w:lastRenderedPageBreak/>
        <w:t>萬餘元，</w:t>
      </w:r>
      <w:r w:rsidR="00650851" w:rsidRPr="009D11AD">
        <w:rPr>
          <w:rFonts w:hAnsi="標楷體" w:hint="eastAsia"/>
          <w:color w:val="000000" w:themeColor="text1"/>
        </w:rPr>
        <w:t>係</w:t>
      </w:r>
      <w:r w:rsidR="00FF5754" w:rsidRPr="009D11AD">
        <w:rPr>
          <w:rFonts w:hAnsi="標楷體" w:hint="eastAsia"/>
          <w:color w:val="000000" w:themeColor="text1"/>
        </w:rPr>
        <w:t>應收</w:t>
      </w:r>
      <w:r w:rsidR="00650851" w:rsidRPr="009D11AD">
        <w:rPr>
          <w:rFonts w:hAnsi="標楷體" w:hint="eastAsia"/>
          <w:color w:val="000000" w:themeColor="text1"/>
        </w:rPr>
        <w:t>中央銀行繳庫股息紅利</w:t>
      </w:r>
      <w:r w:rsidR="006173C0" w:rsidRPr="009D11AD">
        <w:rPr>
          <w:rFonts w:hAnsi="標楷體" w:hint="eastAsia"/>
          <w:color w:val="000000" w:themeColor="text1"/>
        </w:rPr>
        <w:t>；</w:t>
      </w:r>
      <w:r w:rsidR="00650851" w:rsidRPr="009D11AD">
        <w:rPr>
          <w:rFonts w:hAnsi="標楷體" w:hint="eastAsia"/>
          <w:color w:val="000000" w:themeColor="text1"/>
        </w:rPr>
        <w:t>審定實現數</w:t>
      </w:r>
      <w:r w:rsidR="008C58AE" w:rsidRPr="009D11AD">
        <w:rPr>
          <w:rFonts w:hAnsi="標楷體" w:hint="eastAsia"/>
          <w:color w:val="000000" w:themeColor="text1"/>
        </w:rPr>
        <w:t>1</w:t>
      </w:r>
      <w:r w:rsidR="00BE1824" w:rsidRPr="009D11AD">
        <w:rPr>
          <w:rFonts w:hAnsi="標楷體"/>
          <w:color w:val="000000" w:themeColor="text1"/>
        </w:rPr>
        <w:t>,</w:t>
      </w:r>
      <w:r w:rsidR="00A23A8B" w:rsidRPr="009D11AD">
        <w:rPr>
          <w:rFonts w:hAnsi="標楷體"/>
          <w:color w:val="000000" w:themeColor="text1"/>
        </w:rPr>
        <w:t>916</w:t>
      </w:r>
      <w:r w:rsidR="00BE1824" w:rsidRPr="009D11AD">
        <w:rPr>
          <w:rFonts w:hAnsi="標楷體" w:hint="eastAsia"/>
          <w:color w:val="000000" w:themeColor="text1"/>
        </w:rPr>
        <w:t>億</w:t>
      </w:r>
      <w:r w:rsidR="00A23A8B" w:rsidRPr="009D11AD">
        <w:rPr>
          <w:rFonts w:hAnsi="標楷體"/>
          <w:color w:val="000000" w:themeColor="text1"/>
        </w:rPr>
        <w:t>8</w:t>
      </w:r>
      <w:r w:rsidR="00BE1824" w:rsidRPr="009D11AD">
        <w:rPr>
          <w:rFonts w:hAnsi="標楷體"/>
          <w:color w:val="000000" w:themeColor="text1"/>
        </w:rPr>
        <w:t>,</w:t>
      </w:r>
      <w:r w:rsidR="00A23A8B" w:rsidRPr="009D11AD">
        <w:rPr>
          <w:rFonts w:hAnsi="標楷體"/>
          <w:color w:val="000000" w:themeColor="text1"/>
        </w:rPr>
        <w:t>443</w:t>
      </w:r>
      <w:r w:rsidR="00BE1824" w:rsidRPr="009D11AD">
        <w:rPr>
          <w:rFonts w:hAnsi="標楷體" w:hint="eastAsia"/>
          <w:color w:val="000000" w:themeColor="text1"/>
        </w:rPr>
        <w:t>萬餘元</w:t>
      </w:r>
      <w:r w:rsidR="00650851" w:rsidRPr="009D11AD">
        <w:rPr>
          <w:rFonts w:hAnsi="標楷體" w:hint="eastAsia"/>
          <w:color w:val="000000" w:themeColor="text1"/>
        </w:rPr>
        <w:t>，應收保留數</w:t>
      </w:r>
      <w:r w:rsidR="00A23A8B" w:rsidRPr="009D11AD">
        <w:rPr>
          <w:rFonts w:hAnsi="標楷體"/>
          <w:color w:val="000000" w:themeColor="text1"/>
        </w:rPr>
        <w:t>7</w:t>
      </w:r>
      <w:r w:rsidR="00E402BC" w:rsidRPr="009D11AD">
        <w:rPr>
          <w:rFonts w:hAnsi="標楷體" w:hint="eastAsia"/>
          <w:color w:val="000000" w:themeColor="text1"/>
        </w:rPr>
        <w:t>,</w:t>
      </w:r>
      <w:r w:rsidR="00A23A8B" w:rsidRPr="009D11AD">
        <w:rPr>
          <w:rFonts w:hAnsi="標楷體"/>
          <w:color w:val="000000" w:themeColor="text1"/>
        </w:rPr>
        <w:t>911</w:t>
      </w:r>
      <w:r w:rsidR="00BE1824" w:rsidRPr="009D11AD">
        <w:rPr>
          <w:rFonts w:hAnsi="標楷體" w:hint="eastAsia"/>
          <w:color w:val="000000" w:themeColor="text1"/>
        </w:rPr>
        <w:t>萬餘元</w:t>
      </w:r>
      <w:r w:rsidR="00650851" w:rsidRPr="009D11AD">
        <w:rPr>
          <w:rFonts w:hAnsi="標楷體" w:hint="eastAsia"/>
          <w:color w:val="000000" w:themeColor="text1"/>
        </w:rPr>
        <w:t>，主要係</w:t>
      </w:r>
      <w:r w:rsidR="00A23A8B" w:rsidRPr="009D11AD">
        <w:rPr>
          <w:rFonts w:hAnsi="標楷體" w:hint="eastAsia"/>
          <w:color w:val="000000" w:themeColor="text1"/>
        </w:rPr>
        <w:t>應收中央銀行繳庫股息紅利</w:t>
      </w:r>
      <w:r w:rsidR="00650851" w:rsidRPr="009D11AD">
        <w:rPr>
          <w:rFonts w:hAnsi="標楷體" w:hint="eastAsia"/>
          <w:color w:val="000000" w:themeColor="text1"/>
        </w:rPr>
        <w:t>；合計決算審定數為</w:t>
      </w:r>
      <w:r w:rsidR="00A450F5" w:rsidRPr="009D11AD">
        <w:rPr>
          <w:rFonts w:hAnsi="標楷體" w:hint="eastAsia"/>
          <w:color w:val="000000" w:themeColor="text1"/>
        </w:rPr>
        <w:t>1,</w:t>
      </w:r>
      <w:r w:rsidR="00A23A8B" w:rsidRPr="009D11AD">
        <w:rPr>
          <w:rFonts w:hAnsi="標楷體"/>
          <w:color w:val="000000" w:themeColor="text1"/>
        </w:rPr>
        <w:t>917</w:t>
      </w:r>
      <w:r w:rsidR="008A6A8D" w:rsidRPr="009D11AD">
        <w:rPr>
          <w:rFonts w:hAnsi="標楷體" w:hint="eastAsia"/>
          <w:color w:val="000000" w:themeColor="text1"/>
        </w:rPr>
        <w:t>億</w:t>
      </w:r>
      <w:r w:rsidR="00A23A8B" w:rsidRPr="009D11AD">
        <w:rPr>
          <w:rFonts w:hAnsi="標楷體"/>
          <w:color w:val="000000" w:themeColor="text1"/>
        </w:rPr>
        <w:t>6</w:t>
      </w:r>
      <w:r w:rsidR="00A450F5" w:rsidRPr="009D11AD">
        <w:rPr>
          <w:rFonts w:hAnsi="標楷體" w:hint="eastAsia"/>
          <w:color w:val="000000" w:themeColor="text1"/>
        </w:rPr>
        <w:t>,</w:t>
      </w:r>
      <w:r w:rsidR="00A23A8B" w:rsidRPr="009D11AD">
        <w:rPr>
          <w:rFonts w:hAnsi="標楷體"/>
          <w:color w:val="000000" w:themeColor="text1"/>
        </w:rPr>
        <w:t>354</w:t>
      </w:r>
      <w:r w:rsidR="008A6A8D" w:rsidRPr="009D11AD">
        <w:rPr>
          <w:rFonts w:hAnsi="標楷體" w:hint="eastAsia"/>
          <w:color w:val="000000" w:themeColor="text1"/>
        </w:rPr>
        <w:t>萬</w:t>
      </w:r>
      <w:r w:rsidR="002E5C3E" w:rsidRPr="009D11AD">
        <w:rPr>
          <w:rFonts w:hAnsi="標楷體" w:hint="eastAsia"/>
          <w:color w:val="000000" w:themeColor="text1"/>
        </w:rPr>
        <w:t>餘</w:t>
      </w:r>
      <w:r w:rsidR="00650851" w:rsidRPr="009D11AD">
        <w:rPr>
          <w:rFonts w:hAnsi="標楷體" w:hint="eastAsia"/>
          <w:color w:val="000000" w:themeColor="text1"/>
        </w:rPr>
        <w:t>元，</w:t>
      </w:r>
      <w:r w:rsidR="0070709E" w:rsidRPr="009D11AD">
        <w:rPr>
          <w:rFonts w:hAnsi="標楷體" w:hint="eastAsia"/>
          <w:color w:val="000000" w:themeColor="text1"/>
        </w:rPr>
        <w:t>較預算減少</w:t>
      </w:r>
      <w:r w:rsidR="00A23A8B" w:rsidRPr="009D11AD">
        <w:rPr>
          <w:rFonts w:hAnsi="標楷體"/>
          <w:color w:val="000000" w:themeColor="text1"/>
        </w:rPr>
        <w:t>2</w:t>
      </w:r>
      <w:r w:rsidR="0070709E" w:rsidRPr="009D11AD">
        <w:rPr>
          <w:rFonts w:hAnsi="標楷體" w:hint="eastAsia"/>
          <w:color w:val="000000" w:themeColor="text1"/>
        </w:rPr>
        <w:t>億</w:t>
      </w:r>
      <w:r w:rsidR="00A23A8B" w:rsidRPr="009D11AD">
        <w:rPr>
          <w:rFonts w:hAnsi="標楷體"/>
          <w:color w:val="000000" w:themeColor="text1"/>
        </w:rPr>
        <w:t>161</w:t>
      </w:r>
      <w:r w:rsidR="002F00DA" w:rsidRPr="009D11AD">
        <w:rPr>
          <w:rFonts w:hAnsi="標楷體" w:hint="eastAsia"/>
          <w:color w:val="000000" w:themeColor="text1"/>
        </w:rPr>
        <w:t>萬餘元</w:t>
      </w:r>
      <w:r w:rsidR="00650851" w:rsidRPr="009D11AD">
        <w:rPr>
          <w:rFonts w:hAnsi="標楷體" w:hint="eastAsia"/>
          <w:color w:val="000000" w:themeColor="text1"/>
        </w:rPr>
        <w:t>（</w:t>
      </w:r>
      <w:r w:rsidR="0070709E" w:rsidRPr="009D11AD">
        <w:rPr>
          <w:rFonts w:hAnsi="標楷體" w:hint="eastAsia"/>
          <w:color w:val="000000" w:themeColor="text1"/>
        </w:rPr>
        <w:t>0.</w:t>
      </w:r>
      <w:r w:rsidR="00A23A8B" w:rsidRPr="009D11AD">
        <w:rPr>
          <w:rFonts w:hAnsi="標楷體"/>
          <w:color w:val="000000" w:themeColor="text1"/>
        </w:rPr>
        <w:t>11</w:t>
      </w:r>
      <w:r w:rsidR="00650851" w:rsidRPr="009D11AD">
        <w:rPr>
          <w:rFonts w:hAnsi="標楷體" w:hint="eastAsia"/>
          <w:color w:val="000000" w:themeColor="text1"/>
        </w:rPr>
        <w:t>％</w:t>
      </w:r>
      <w:r w:rsidR="00BE048D" w:rsidRPr="009D11AD">
        <w:rPr>
          <w:rFonts w:hAnsi="標楷體" w:hint="eastAsia"/>
          <w:color w:val="000000" w:themeColor="text1"/>
        </w:rPr>
        <w:t>）</w:t>
      </w:r>
      <w:r w:rsidR="00650851" w:rsidRPr="009D11AD">
        <w:rPr>
          <w:rFonts w:hAnsi="標楷體" w:hint="eastAsia"/>
          <w:color w:val="000000" w:themeColor="text1"/>
        </w:rPr>
        <w:t>，主要係</w:t>
      </w:r>
      <w:r w:rsidR="00B16801" w:rsidRPr="009D11AD">
        <w:rPr>
          <w:rFonts w:hAnsi="標楷體" w:hint="eastAsia"/>
          <w:color w:val="000000" w:themeColor="text1"/>
        </w:rPr>
        <w:t>國立故宮博物</w:t>
      </w:r>
      <w:r w:rsidR="00A902EC" w:rsidRPr="009D11AD">
        <w:rPr>
          <w:rFonts w:hAnsi="標楷體" w:hint="eastAsia"/>
          <w:color w:val="000000" w:themeColor="text1"/>
        </w:rPr>
        <w:t>院</w:t>
      </w:r>
      <w:r w:rsidR="00392C56" w:rsidRPr="009D11AD">
        <w:rPr>
          <w:rFonts w:hAnsi="標楷體" w:hint="eastAsia"/>
          <w:color w:val="000000" w:themeColor="text1"/>
        </w:rPr>
        <w:t>門票收入</w:t>
      </w:r>
      <w:r w:rsidR="00B16801" w:rsidRPr="009D11AD">
        <w:rPr>
          <w:rFonts w:hAnsi="標楷體" w:hint="eastAsia"/>
          <w:color w:val="000000" w:themeColor="text1"/>
        </w:rPr>
        <w:t>較預計減少</w:t>
      </w:r>
      <w:r w:rsidR="00650851" w:rsidRPr="009D11AD">
        <w:rPr>
          <w:rFonts w:hAnsi="標楷體" w:hint="eastAsia"/>
          <w:color w:val="000000" w:themeColor="text1"/>
        </w:rPr>
        <w:t>。</w:t>
      </w:r>
    </w:p>
    <w:p w14:paraId="78003E96" w14:textId="6D817752" w:rsidR="0019529A" w:rsidRPr="009D11AD" w:rsidRDefault="009876C8" w:rsidP="009876C8">
      <w:pPr>
        <w:pStyle w:val="13"/>
        <w:overflowPunct w:val="0"/>
        <w:spacing w:line="416" w:lineRule="exact"/>
        <w:ind w:firstLineChars="200" w:firstLine="480"/>
        <w:rPr>
          <w:rFonts w:hAnsi="標楷體"/>
          <w:color w:val="000000" w:themeColor="text1"/>
        </w:rPr>
      </w:pPr>
      <w:r>
        <w:rPr>
          <w:rFonts w:hAnsi="標楷體" w:hint="eastAsia"/>
          <w:color w:val="000000" w:themeColor="text1"/>
        </w:rPr>
        <w:t>（二）</w:t>
      </w:r>
      <w:r w:rsidR="00650851" w:rsidRPr="009D11AD">
        <w:rPr>
          <w:rFonts w:hAnsi="標楷體" w:hint="eastAsia"/>
          <w:color w:val="000000" w:themeColor="text1"/>
        </w:rPr>
        <w:t xml:space="preserve">　以前年度歲入轉入數計</w:t>
      </w:r>
      <w:r w:rsidR="00FB775B" w:rsidRPr="009D11AD">
        <w:rPr>
          <w:rFonts w:hAnsi="標楷體" w:hint="eastAsia"/>
          <w:color w:val="000000" w:themeColor="text1"/>
        </w:rPr>
        <w:t>1</w:t>
      </w:r>
      <w:r w:rsidR="00650851" w:rsidRPr="009D11AD">
        <w:rPr>
          <w:rFonts w:hAnsi="標楷體" w:hint="eastAsia"/>
          <w:color w:val="000000" w:themeColor="text1"/>
        </w:rPr>
        <w:t>億</w:t>
      </w:r>
      <w:r w:rsidR="009446D2" w:rsidRPr="009D11AD">
        <w:rPr>
          <w:rFonts w:hAnsi="標楷體"/>
          <w:color w:val="000000" w:themeColor="text1"/>
        </w:rPr>
        <w:t>2</w:t>
      </w:r>
      <w:r w:rsidR="00672FD1" w:rsidRPr="009D11AD">
        <w:rPr>
          <w:rFonts w:hAnsi="標楷體" w:hint="eastAsia"/>
          <w:color w:val="000000" w:themeColor="text1"/>
        </w:rPr>
        <w:t>,</w:t>
      </w:r>
      <w:r w:rsidR="009446D2" w:rsidRPr="009D11AD">
        <w:rPr>
          <w:rFonts w:hAnsi="標楷體"/>
          <w:color w:val="000000" w:themeColor="text1"/>
        </w:rPr>
        <w:t>026</w:t>
      </w:r>
      <w:r w:rsidR="00650851" w:rsidRPr="009D11AD">
        <w:rPr>
          <w:rFonts w:hAnsi="標楷體" w:hint="eastAsia"/>
          <w:color w:val="000000" w:themeColor="text1"/>
        </w:rPr>
        <w:t>萬</w:t>
      </w:r>
      <w:r w:rsidR="002E5C3E" w:rsidRPr="009D11AD">
        <w:rPr>
          <w:rFonts w:hAnsi="標楷體" w:hint="eastAsia"/>
          <w:color w:val="000000" w:themeColor="text1"/>
        </w:rPr>
        <w:t>餘</w:t>
      </w:r>
      <w:r w:rsidR="00650851" w:rsidRPr="009D11AD">
        <w:rPr>
          <w:rFonts w:hAnsi="標楷體" w:hint="eastAsia"/>
          <w:color w:val="000000" w:themeColor="text1"/>
        </w:rPr>
        <w:t>元，決算審核結果，審定實現數</w:t>
      </w:r>
      <w:r w:rsidR="009446D2" w:rsidRPr="009D11AD">
        <w:rPr>
          <w:rFonts w:hAnsi="標楷體"/>
          <w:color w:val="000000" w:themeColor="text1"/>
        </w:rPr>
        <w:t>1</w:t>
      </w:r>
      <w:r w:rsidR="00357853" w:rsidRPr="009D11AD">
        <w:rPr>
          <w:rFonts w:hAnsi="標楷體" w:hint="eastAsia"/>
          <w:color w:val="000000" w:themeColor="text1"/>
        </w:rPr>
        <w:t>,</w:t>
      </w:r>
      <w:r w:rsidR="009446D2" w:rsidRPr="009D11AD">
        <w:rPr>
          <w:rFonts w:hAnsi="標楷體"/>
          <w:color w:val="000000" w:themeColor="text1"/>
        </w:rPr>
        <w:t>005</w:t>
      </w:r>
      <w:r w:rsidR="00357853" w:rsidRPr="009D11AD">
        <w:rPr>
          <w:rFonts w:hAnsi="標楷體" w:hint="eastAsia"/>
          <w:color w:val="000000" w:themeColor="text1"/>
        </w:rPr>
        <w:t>萬餘元</w:t>
      </w:r>
      <w:r w:rsidR="00650851" w:rsidRPr="009D11AD">
        <w:rPr>
          <w:rFonts w:hAnsi="標楷體" w:hint="eastAsia"/>
          <w:color w:val="000000" w:themeColor="text1"/>
        </w:rPr>
        <w:t>（</w:t>
      </w:r>
      <w:r w:rsidR="009446D2" w:rsidRPr="009D11AD">
        <w:rPr>
          <w:rFonts w:hAnsi="標楷體"/>
          <w:color w:val="000000" w:themeColor="text1"/>
        </w:rPr>
        <w:t>8</w:t>
      </w:r>
      <w:r w:rsidR="00E40389" w:rsidRPr="009D11AD">
        <w:rPr>
          <w:rFonts w:hAnsi="標楷體" w:hint="eastAsia"/>
          <w:color w:val="000000" w:themeColor="text1"/>
        </w:rPr>
        <w:t>.</w:t>
      </w:r>
      <w:r w:rsidR="009446D2" w:rsidRPr="009D11AD">
        <w:rPr>
          <w:rFonts w:hAnsi="標楷體"/>
          <w:color w:val="000000" w:themeColor="text1"/>
        </w:rPr>
        <w:t>36</w:t>
      </w:r>
      <w:r w:rsidR="00650851" w:rsidRPr="009D11AD">
        <w:rPr>
          <w:rFonts w:hAnsi="標楷體" w:hint="eastAsia"/>
          <w:color w:val="000000" w:themeColor="text1"/>
        </w:rPr>
        <w:t>％</w:t>
      </w:r>
      <w:r w:rsidR="00BE048D" w:rsidRPr="009D11AD">
        <w:rPr>
          <w:rFonts w:hAnsi="標楷體" w:hint="eastAsia"/>
          <w:color w:val="000000" w:themeColor="text1"/>
        </w:rPr>
        <w:t>）</w:t>
      </w:r>
      <w:r w:rsidR="00650851" w:rsidRPr="009D11AD">
        <w:rPr>
          <w:rFonts w:hAnsi="標楷體" w:hint="eastAsia"/>
          <w:color w:val="000000" w:themeColor="text1"/>
        </w:rPr>
        <w:t>；減免</w:t>
      </w:r>
      <w:r w:rsidR="00DF204B" w:rsidRPr="009D11AD">
        <w:rPr>
          <w:rFonts w:hAnsi="標楷體" w:hint="eastAsia"/>
          <w:color w:val="000000" w:themeColor="text1"/>
        </w:rPr>
        <w:t>（註銷）</w:t>
      </w:r>
      <w:r w:rsidR="00650851" w:rsidRPr="009D11AD">
        <w:rPr>
          <w:rFonts w:hAnsi="標楷體" w:hint="eastAsia"/>
          <w:color w:val="000000" w:themeColor="text1"/>
        </w:rPr>
        <w:t>數</w:t>
      </w:r>
      <w:r w:rsidR="009446D2" w:rsidRPr="009D11AD">
        <w:rPr>
          <w:rFonts w:hAnsi="標楷體"/>
          <w:color w:val="000000" w:themeColor="text1"/>
        </w:rPr>
        <w:t>877</w:t>
      </w:r>
      <w:r w:rsidR="004450F7" w:rsidRPr="009D11AD">
        <w:rPr>
          <w:rFonts w:hAnsi="標楷體" w:hint="eastAsia"/>
          <w:color w:val="000000" w:themeColor="text1"/>
        </w:rPr>
        <w:t>萬</w:t>
      </w:r>
      <w:r w:rsidR="002E5C3E" w:rsidRPr="009D11AD">
        <w:rPr>
          <w:rFonts w:hAnsi="標楷體" w:hint="eastAsia"/>
          <w:color w:val="000000" w:themeColor="text1"/>
        </w:rPr>
        <w:t>餘</w:t>
      </w:r>
      <w:r w:rsidR="00650851" w:rsidRPr="009D11AD">
        <w:rPr>
          <w:rFonts w:hAnsi="標楷體" w:hint="eastAsia"/>
          <w:color w:val="000000" w:themeColor="text1"/>
        </w:rPr>
        <w:t>元（</w:t>
      </w:r>
      <w:r w:rsidR="009446D2" w:rsidRPr="009D11AD">
        <w:rPr>
          <w:rFonts w:hAnsi="標楷體"/>
          <w:color w:val="000000" w:themeColor="text1"/>
        </w:rPr>
        <w:t>7</w:t>
      </w:r>
      <w:r w:rsidR="00FF22E1" w:rsidRPr="009D11AD">
        <w:rPr>
          <w:rFonts w:hAnsi="標楷體" w:hint="eastAsia"/>
          <w:color w:val="000000" w:themeColor="text1"/>
        </w:rPr>
        <w:t>.</w:t>
      </w:r>
      <w:r w:rsidR="009446D2" w:rsidRPr="009D11AD">
        <w:rPr>
          <w:rFonts w:hAnsi="標楷體"/>
          <w:color w:val="000000" w:themeColor="text1"/>
        </w:rPr>
        <w:t>29</w:t>
      </w:r>
      <w:r w:rsidR="00650851" w:rsidRPr="009D11AD">
        <w:rPr>
          <w:rFonts w:hAnsi="標楷體" w:hint="eastAsia"/>
          <w:color w:val="000000" w:themeColor="text1"/>
        </w:rPr>
        <w:t>％</w:t>
      </w:r>
      <w:r w:rsidR="00BE048D" w:rsidRPr="009D11AD">
        <w:rPr>
          <w:rFonts w:hAnsi="標楷體" w:hint="eastAsia"/>
          <w:color w:val="000000" w:themeColor="text1"/>
        </w:rPr>
        <w:t>）</w:t>
      </w:r>
      <w:r w:rsidR="003A544B" w:rsidRPr="009D11AD">
        <w:rPr>
          <w:rFonts w:hAnsi="標楷體" w:hint="eastAsia"/>
          <w:color w:val="000000" w:themeColor="text1"/>
        </w:rPr>
        <w:t>，主要</w:t>
      </w:r>
      <w:r w:rsidR="003A544B" w:rsidRPr="009D11AD">
        <w:rPr>
          <w:rFonts w:hAnsi="標楷體"/>
          <w:color w:val="000000" w:themeColor="text1"/>
        </w:rPr>
        <w:t>係公平交易委員會應收違反公平交易相關法規案件之罰鍰，移送行政執行取得債權憑證，經核定註銷</w:t>
      </w:r>
      <w:r w:rsidR="00650851" w:rsidRPr="009D11AD">
        <w:rPr>
          <w:rFonts w:hAnsi="標楷體" w:hint="eastAsia"/>
          <w:color w:val="000000" w:themeColor="text1"/>
        </w:rPr>
        <w:t>；應收保留數</w:t>
      </w:r>
      <w:r w:rsidR="00E40389" w:rsidRPr="009D11AD">
        <w:rPr>
          <w:rFonts w:hAnsi="標楷體" w:hint="eastAsia"/>
          <w:color w:val="000000" w:themeColor="text1"/>
        </w:rPr>
        <w:t>1</w:t>
      </w:r>
      <w:r w:rsidR="00650851" w:rsidRPr="009D11AD">
        <w:rPr>
          <w:rFonts w:hAnsi="標楷體" w:hint="eastAsia"/>
          <w:color w:val="000000" w:themeColor="text1"/>
        </w:rPr>
        <w:t>億</w:t>
      </w:r>
      <w:r w:rsidR="009446D2" w:rsidRPr="009D11AD">
        <w:rPr>
          <w:rFonts w:hAnsi="標楷體"/>
          <w:color w:val="000000" w:themeColor="text1"/>
        </w:rPr>
        <w:t>144</w:t>
      </w:r>
      <w:r w:rsidR="00650851" w:rsidRPr="009D11AD">
        <w:rPr>
          <w:rFonts w:hAnsi="標楷體" w:hint="eastAsia"/>
          <w:color w:val="000000" w:themeColor="text1"/>
        </w:rPr>
        <w:t>萬</w:t>
      </w:r>
      <w:r w:rsidR="002E5C3E" w:rsidRPr="009D11AD">
        <w:rPr>
          <w:rFonts w:hAnsi="標楷體" w:hint="eastAsia"/>
          <w:color w:val="000000" w:themeColor="text1"/>
        </w:rPr>
        <w:t>餘</w:t>
      </w:r>
      <w:r w:rsidR="00650851" w:rsidRPr="009D11AD">
        <w:rPr>
          <w:rFonts w:hAnsi="標楷體" w:hint="eastAsia"/>
          <w:color w:val="000000" w:themeColor="text1"/>
        </w:rPr>
        <w:t>元（</w:t>
      </w:r>
      <w:r w:rsidR="009446D2" w:rsidRPr="009D11AD">
        <w:rPr>
          <w:rFonts w:hAnsi="標楷體"/>
          <w:color w:val="000000" w:themeColor="text1"/>
        </w:rPr>
        <w:t>84</w:t>
      </w:r>
      <w:r w:rsidR="00E40389" w:rsidRPr="009D11AD">
        <w:rPr>
          <w:rFonts w:hAnsi="標楷體" w:hint="eastAsia"/>
          <w:color w:val="000000" w:themeColor="text1"/>
        </w:rPr>
        <w:t>.</w:t>
      </w:r>
      <w:r w:rsidR="009446D2" w:rsidRPr="009D11AD">
        <w:rPr>
          <w:rFonts w:hAnsi="標楷體"/>
          <w:color w:val="000000" w:themeColor="text1"/>
        </w:rPr>
        <w:t>35</w:t>
      </w:r>
      <w:r w:rsidR="00650851" w:rsidRPr="009D11AD">
        <w:rPr>
          <w:rFonts w:hAnsi="標楷體" w:hint="eastAsia"/>
          <w:color w:val="000000" w:themeColor="text1"/>
        </w:rPr>
        <w:t>％</w:t>
      </w:r>
      <w:r w:rsidR="00BE048D" w:rsidRPr="009D11AD">
        <w:rPr>
          <w:rFonts w:hAnsi="標楷體" w:hint="eastAsia"/>
          <w:color w:val="000000" w:themeColor="text1"/>
        </w:rPr>
        <w:t>）</w:t>
      </w:r>
      <w:r w:rsidR="00650851" w:rsidRPr="009D11AD">
        <w:rPr>
          <w:rFonts w:hAnsi="標楷體" w:hint="eastAsia"/>
          <w:color w:val="000000" w:themeColor="text1"/>
        </w:rPr>
        <w:t>，主要係</w:t>
      </w:r>
      <w:r w:rsidR="00665639" w:rsidRPr="009D11AD">
        <w:rPr>
          <w:rFonts w:hAnsi="標楷體" w:hint="eastAsia"/>
          <w:color w:val="000000" w:themeColor="text1"/>
        </w:rPr>
        <w:t>公平交易</w:t>
      </w:r>
      <w:r w:rsidR="00A127E4" w:rsidRPr="009D11AD">
        <w:rPr>
          <w:rFonts w:hAnsi="標楷體" w:hint="eastAsia"/>
          <w:color w:val="000000" w:themeColor="text1"/>
        </w:rPr>
        <w:t>委員會</w:t>
      </w:r>
      <w:r w:rsidR="00004A85" w:rsidRPr="009D11AD">
        <w:rPr>
          <w:rFonts w:hAnsi="標楷體" w:hint="eastAsia"/>
          <w:color w:val="000000" w:themeColor="text1"/>
        </w:rPr>
        <w:t>、國家通訊傳播委員會以前年度核處之罰鍰及</w:t>
      </w:r>
      <w:r w:rsidR="00E40389" w:rsidRPr="009D11AD">
        <w:rPr>
          <w:rFonts w:hAnsi="標楷體" w:hint="eastAsia"/>
          <w:color w:val="000000" w:themeColor="text1"/>
        </w:rPr>
        <w:t>通訊傳播業務許可費、頻率使用費</w:t>
      </w:r>
      <w:r w:rsidR="00004A85" w:rsidRPr="009D11AD">
        <w:rPr>
          <w:rFonts w:hAnsi="標楷體" w:hint="eastAsia"/>
          <w:color w:val="000000" w:themeColor="text1"/>
        </w:rPr>
        <w:t>等</w:t>
      </w:r>
      <w:r w:rsidR="00650851" w:rsidRPr="009D11AD">
        <w:rPr>
          <w:rFonts w:hAnsi="標楷體" w:hint="eastAsia"/>
          <w:color w:val="000000" w:themeColor="text1"/>
        </w:rPr>
        <w:t>，尚待繼續收取。</w:t>
      </w:r>
    </w:p>
    <w:p w14:paraId="3C6E0125" w14:textId="10358A86" w:rsidR="000B715E" w:rsidRPr="009D11AD" w:rsidRDefault="009876C8" w:rsidP="009876C8">
      <w:pPr>
        <w:pStyle w:val="13"/>
        <w:overflowPunct w:val="0"/>
        <w:spacing w:line="416" w:lineRule="exact"/>
        <w:ind w:firstLineChars="200" w:firstLine="480"/>
        <w:rPr>
          <w:rFonts w:hAnsi="標楷體"/>
          <w:color w:val="000000" w:themeColor="text1"/>
          <w:highlight w:val="yellow"/>
        </w:rPr>
      </w:pPr>
      <w:r>
        <w:rPr>
          <w:rFonts w:hAnsi="標楷體" w:hint="eastAsia"/>
          <w:color w:val="000000" w:themeColor="text1"/>
        </w:rPr>
        <w:t>（三）</w:t>
      </w:r>
      <w:r w:rsidR="00650851" w:rsidRPr="009D11AD">
        <w:rPr>
          <w:rFonts w:hAnsi="標楷體" w:hint="eastAsia"/>
          <w:color w:val="000000" w:themeColor="text1"/>
        </w:rPr>
        <w:t xml:space="preserve">　歲出原編列預算數</w:t>
      </w:r>
      <w:r w:rsidR="004E347B" w:rsidRPr="009D11AD">
        <w:rPr>
          <w:rFonts w:hAnsi="標楷體" w:hint="eastAsia"/>
          <w:color w:val="000000" w:themeColor="text1"/>
        </w:rPr>
        <w:t>251</w:t>
      </w:r>
      <w:r w:rsidR="00B044B6" w:rsidRPr="009D11AD">
        <w:rPr>
          <w:rFonts w:hAnsi="標楷體" w:hint="eastAsia"/>
          <w:color w:val="000000" w:themeColor="text1"/>
        </w:rPr>
        <w:t>億</w:t>
      </w:r>
      <w:r w:rsidR="004E347B" w:rsidRPr="009D11AD">
        <w:rPr>
          <w:rFonts w:hAnsi="標楷體" w:hint="eastAsia"/>
          <w:color w:val="000000" w:themeColor="text1"/>
        </w:rPr>
        <w:t>6,568</w:t>
      </w:r>
      <w:r w:rsidR="00B044B6" w:rsidRPr="009D11AD">
        <w:rPr>
          <w:rFonts w:hAnsi="標楷體" w:hint="eastAsia"/>
          <w:color w:val="000000" w:themeColor="text1"/>
        </w:rPr>
        <w:t>萬</w:t>
      </w:r>
      <w:r w:rsidR="004E347B" w:rsidRPr="009D11AD">
        <w:rPr>
          <w:rFonts w:hAnsi="標楷體" w:hint="eastAsia"/>
          <w:color w:val="000000" w:themeColor="text1"/>
        </w:rPr>
        <w:t>餘</w:t>
      </w:r>
      <w:r w:rsidR="00B044B6" w:rsidRPr="009D11AD">
        <w:rPr>
          <w:rFonts w:hAnsi="標楷體" w:hint="eastAsia"/>
          <w:color w:val="000000" w:themeColor="text1"/>
        </w:rPr>
        <w:t>元</w:t>
      </w:r>
      <w:r w:rsidR="00650851" w:rsidRPr="009D11AD">
        <w:rPr>
          <w:rFonts w:hAnsi="標楷體" w:hint="eastAsia"/>
          <w:color w:val="000000" w:themeColor="text1"/>
        </w:rPr>
        <w:t>，</w:t>
      </w:r>
      <w:r w:rsidR="00F31B83" w:rsidRPr="009D11AD">
        <w:rPr>
          <w:rFonts w:hAnsi="標楷體" w:hint="eastAsia"/>
          <w:color w:val="000000" w:themeColor="text1"/>
        </w:rPr>
        <w:t>因中央選舉委員會辦理憲法修正案公民複決、第10屆立法委員臺北市第3選區缺額補選，行政院因應人權及轉型正義處、數位發展部、資通安全署及數位產業署成立，新增進用員額、辦公廳舍租賃或整修、業務運作，</w:t>
      </w:r>
      <w:r w:rsidR="001D3DD2" w:rsidRPr="009D11AD">
        <w:rPr>
          <w:rFonts w:hAnsi="標楷體" w:hint="eastAsia"/>
          <w:color w:val="000000" w:themeColor="text1"/>
        </w:rPr>
        <w:t>行政院</w:t>
      </w:r>
      <w:r w:rsidR="00F31B83" w:rsidRPr="009D11AD">
        <w:rPr>
          <w:rFonts w:hAnsi="標楷體" w:hint="eastAsia"/>
          <w:color w:val="000000" w:themeColor="text1"/>
        </w:rPr>
        <w:t>主計總處配合中興新村整體規劃辦理辦公廳舍搬遷及整修，國家發展委員會</w:t>
      </w:r>
      <w:r w:rsidR="00BA230F">
        <w:rPr>
          <w:rFonts w:hAnsi="標楷體" w:hint="eastAsia"/>
          <w:color w:val="000000" w:themeColor="text1"/>
        </w:rPr>
        <w:t>購置</w:t>
      </w:r>
      <w:r w:rsidR="00F31B83" w:rsidRPr="009D11AD">
        <w:rPr>
          <w:rFonts w:hAnsi="標楷體" w:hint="eastAsia"/>
          <w:color w:val="000000" w:themeColor="text1"/>
        </w:rPr>
        <w:t>公共檔案庫房移動式檔案櫃，</w:t>
      </w:r>
      <w:r w:rsidR="001D3DD2" w:rsidRPr="009D11AD">
        <w:rPr>
          <w:rFonts w:hAnsi="標楷體" w:hint="eastAsia"/>
          <w:color w:val="000000" w:themeColor="text1"/>
        </w:rPr>
        <w:t>國家發展委員會</w:t>
      </w:r>
      <w:r w:rsidR="00F31B83" w:rsidRPr="009D11AD">
        <w:rPr>
          <w:rFonts w:hAnsi="標楷體" w:hint="eastAsia"/>
          <w:color w:val="000000" w:themeColor="text1"/>
        </w:rPr>
        <w:t>檔案管理局承接促進轉型正義委員會政治檔案通報、調查及審定，國家通訊傳播委員會因應數位發展部成立，辦理辦公廳舍搬遷及整修等</w:t>
      </w:r>
      <w:r w:rsidR="00F31B83" w:rsidRPr="009D11AD">
        <w:rPr>
          <w:rFonts w:hAnsi="標楷體" w:hint="eastAsia"/>
          <w:color w:val="000000" w:themeColor="text1"/>
          <w:spacing w:val="-4"/>
        </w:rPr>
        <w:t>所需經費或經費不敷</w:t>
      </w:r>
      <w:r w:rsidR="000B18B3" w:rsidRPr="009D11AD">
        <w:rPr>
          <w:rFonts w:hAnsi="標楷體" w:hint="eastAsia"/>
          <w:color w:val="000000" w:themeColor="text1"/>
          <w:spacing w:val="-4"/>
        </w:rPr>
        <w:t>，經動支第二預備金</w:t>
      </w:r>
      <w:r w:rsidR="004E347B" w:rsidRPr="009D11AD">
        <w:rPr>
          <w:rFonts w:hAnsi="標楷體" w:hint="eastAsia"/>
          <w:color w:val="000000" w:themeColor="text1"/>
          <w:spacing w:val="-4"/>
        </w:rPr>
        <w:t>11</w:t>
      </w:r>
      <w:r w:rsidR="004E09EE" w:rsidRPr="009D11AD">
        <w:rPr>
          <w:rFonts w:hAnsi="標楷體" w:hint="eastAsia"/>
          <w:color w:val="000000" w:themeColor="text1"/>
          <w:spacing w:val="-4"/>
        </w:rPr>
        <w:t>億</w:t>
      </w:r>
      <w:r w:rsidR="00FA67D6" w:rsidRPr="009D11AD">
        <w:rPr>
          <w:rFonts w:hAnsi="標楷體" w:hint="eastAsia"/>
          <w:color w:val="000000" w:themeColor="text1"/>
        </w:rPr>
        <w:t>3,</w:t>
      </w:r>
      <w:r w:rsidR="004E347B" w:rsidRPr="009D11AD">
        <w:rPr>
          <w:rFonts w:hAnsi="標楷體" w:hint="eastAsia"/>
          <w:color w:val="000000" w:themeColor="text1"/>
        </w:rPr>
        <w:t>274</w:t>
      </w:r>
      <w:r w:rsidR="004E09EE" w:rsidRPr="009D11AD">
        <w:rPr>
          <w:rFonts w:hAnsi="標楷體" w:hint="eastAsia"/>
          <w:color w:val="000000" w:themeColor="text1"/>
        </w:rPr>
        <w:t>萬</w:t>
      </w:r>
      <w:r w:rsidR="00644E77" w:rsidRPr="009D11AD">
        <w:rPr>
          <w:rFonts w:hAnsi="標楷體" w:hint="eastAsia"/>
          <w:color w:val="000000" w:themeColor="text1"/>
        </w:rPr>
        <w:t>餘</w:t>
      </w:r>
      <w:r w:rsidR="004E09EE" w:rsidRPr="009D11AD">
        <w:rPr>
          <w:rFonts w:hAnsi="標楷體" w:hint="eastAsia"/>
          <w:color w:val="000000" w:themeColor="text1"/>
        </w:rPr>
        <w:t>元</w:t>
      </w:r>
      <w:r w:rsidR="000B18B3" w:rsidRPr="009D11AD">
        <w:rPr>
          <w:rFonts w:hAnsi="標楷體" w:hint="eastAsia"/>
          <w:color w:val="000000" w:themeColor="text1"/>
        </w:rPr>
        <w:t>，合計</w:t>
      </w:r>
      <w:r w:rsidR="00D018D8" w:rsidRPr="009D11AD">
        <w:rPr>
          <w:rFonts w:hAnsi="標楷體" w:hint="eastAsia"/>
          <w:color w:val="000000" w:themeColor="text1"/>
        </w:rPr>
        <w:t>262</w:t>
      </w:r>
      <w:r w:rsidR="00017808" w:rsidRPr="009D11AD">
        <w:rPr>
          <w:rFonts w:hAnsi="標楷體" w:hint="eastAsia"/>
          <w:color w:val="000000" w:themeColor="text1"/>
        </w:rPr>
        <w:t>億</w:t>
      </w:r>
      <w:r w:rsidR="00D018D8" w:rsidRPr="009D11AD">
        <w:rPr>
          <w:rFonts w:hAnsi="標楷體" w:hint="eastAsia"/>
          <w:color w:val="000000" w:themeColor="text1"/>
        </w:rPr>
        <w:t>9</w:t>
      </w:r>
      <w:r w:rsidR="00D018D8" w:rsidRPr="009D11AD">
        <w:rPr>
          <w:rFonts w:hAnsi="標楷體"/>
          <w:color w:val="000000" w:themeColor="text1"/>
        </w:rPr>
        <w:t>,</w:t>
      </w:r>
      <w:r w:rsidR="00D018D8" w:rsidRPr="009D11AD">
        <w:rPr>
          <w:rFonts w:hAnsi="標楷體" w:hint="eastAsia"/>
          <w:color w:val="000000" w:themeColor="text1"/>
        </w:rPr>
        <w:t>842</w:t>
      </w:r>
      <w:r w:rsidR="00017808" w:rsidRPr="009D11AD">
        <w:rPr>
          <w:rFonts w:hAnsi="標楷體" w:hint="eastAsia"/>
          <w:color w:val="000000" w:themeColor="text1"/>
        </w:rPr>
        <w:t>萬餘元</w:t>
      </w:r>
      <w:r w:rsidR="000B18B3" w:rsidRPr="009D11AD">
        <w:rPr>
          <w:rFonts w:hAnsi="標楷體" w:hint="eastAsia"/>
          <w:color w:val="000000" w:themeColor="text1"/>
        </w:rPr>
        <w:t>，</w:t>
      </w:r>
      <w:r w:rsidR="00650851" w:rsidRPr="009D11AD">
        <w:rPr>
          <w:rFonts w:hAnsi="標楷體" w:hint="eastAsia"/>
          <w:color w:val="000000" w:themeColor="text1"/>
        </w:rPr>
        <w:t>決算審核結果，</w:t>
      </w:r>
      <w:r w:rsidR="00650851" w:rsidRPr="009D11AD">
        <w:rPr>
          <w:rFonts w:hAnsi="標楷體" w:hint="eastAsia"/>
        </w:rPr>
        <w:t>審定實現數</w:t>
      </w:r>
      <w:r w:rsidR="009339DF" w:rsidRPr="009D11AD">
        <w:rPr>
          <w:rFonts w:hAnsi="標楷體"/>
        </w:rPr>
        <w:t>239</w:t>
      </w:r>
      <w:r w:rsidR="004E09EE" w:rsidRPr="009D11AD">
        <w:rPr>
          <w:rFonts w:hAnsi="標楷體" w:hint="eastAsia"/>
        </w:rPr>
        <w:t>億</w:t>
      </w:r>
      <w:r w:rsidR="009339DF" w:rsidRPr="009D11AD">
        <w:rPr>
          <w:rFonts w:hAnsi="標楷體"/>
        </w:rPr>
        <w:t>4</w:t>
      </w:r>
      <w:r w:rsidR="009339DF" w:rsidRPr="009D11AD">
        <w:rPr>
          <w:rFonts w:hAnsi="標楷體" w:hint="eastAsia"/>
        </w:rPr>
        <w:t>,</w:t>
      </w:r>
      <w:r w:rsidR="009339DF" w:rsidRPr="009D11AD">
        <w:rPr>
          <w:rFonts w:hAnsi="標楷體"/>
        </w:rPr>
        <w:t>269</w:t>
      </w:r>
      <w:r w:rsidR="004E09EE" w:rsidRPr="009D11AD">
        <w:rPr>
          <w:rFonts w:hAnsi="標楷體" w:hint="eastAsia"/>
        </w:rPr>
        <w:t>萬餘元（</w:t>
      </w:r>
      <w:r w:rsidR="009339DF" w:rsidRPr="009D11AD">
        <w:rPr>
          <w:rFonts w:hAnsi="標楷體"/>
        </w:rPr>
        <w:t>91</w:t>
      </w:r>
      <w:r w:rsidR="001858D1" w:rsidRPr="009D11AD">
        <w:rPr>
          <w:rFonts w:hAnsi="標楷體" w:hint="eastAsia"/>
        </w:rPr>
        <w:t>.</w:t>
      </w:r>
      <w:r w:rsidR="009339DF" w:rsidRPr="009D11AD">
        <w:rPr>
          <w:rFonts w:hAnsi="標楷體"/>
        </w:rPr>
        <w:t>04</w:t>
      </w:r>
      <w:r w:rsidR="004E09EE" w:rsidRPr="009D11AD">
        <w:rPr>
          <w:rFonts w:hAnsi="標楷體" w:hint="eastAsia"/>
        </w:rPr>
        <w:t>％</w:t>
      </w:r>
      <w:r w:rsidR="00BE048D" w:rsidRPr="009D11AD">
        <w:rPr>
          <w:rFonts w:hAnsi="標楷體" w:hint="eastAsia"/>
        </w:rPr>
        <w:t>）</w:t>
      </w:r>
      <w:r w:rsidR="00650851" w:rsidRPr="009D11AD">
        <w:rPr>
          <w:rFonts w:hAnsi="標楷體" w:hint="eastAsia"/>
        </w:rPr>
        <w:t>，</w:t>
      </w:r>
      <w:r w:rsidR="004E09EE" w:rsidRPr="009D11AD">
        <w:rPr>
          <w:rFonts w:hAnsi="標楷體" w:hint="eastAsia"/>
        </w:rPr>
        <w:t>應付保留數</w:t>
      </w:r>
      <w:r w:rsidR="006C1F76" w:rsidRPr="009D11AD">
        <w:rPr>
          <w:rFonts w:hAnsi="標楷體" w:hint="eastAsia"/>
        </w:rPr>
        <w:t>1</w:t>
      </w:r>
      <w:r w:rsidR="009339DF" w:rsidRPr="009D11AD">
        <w:rPr>
          <w:rFonts w:hAnsi="標楷體"/>
        </w:rPr>
        <w:t>4</w:t>
      </w:r>
      <w:r w:rsidR="004E09EE" w:rsidRPr="009D11AD">
        <w:rPr>
          <w:rFonts w:hAnsi="標楷體" w:hint="eastAsia"/>
        </w:rPr>
        <w:t>億</w:t>
      </w:r>
      <w:r w:rsidR="009339DF" w:rsidRPr="009D11AD">
        <w:rPr>
          <w:rFonts w:hAnsi="標楷體"/>
        </w:rPr>
        <w:t>496</w:t>
      </w:r>
      <w:r w:rsidR="004E09EE" w:rsidRPr="009D11AD">
        <w:rPr>
          <w:rFonts w:hAnsi="標楷體" w:hint="eastAsia"/>
        </w:rPr>
        <w:t>萬餘元（</w:t>
      </w:r>
      <w:r w:rsidR="009339DF" w:rsidRPr="009D11AD">
        <w:rPr>
          <w:rFonts w:hAnsi="標楷體"/>
        </w:rPr>
        <w:t>5</w:t>
      </w:r>
      <w:r w:rsidR="001858D1" w:rsidRPr="009D11AD">
        <w:rPr>
          <w:rFonts w:hAnsi="標楷體" w:hint="eastAsia"/>
        </w:rPr>
        <w:t>.</w:t>
      </w:r>
      <w:r w:rsidR="009339DF" w:rsidRPr="009D11AD">
        <w:rPr>
          <w:rFonts w:hAnsi="標楷體" w:hint="eastAsia"/>
        </w:rPr>
        <w:t>3</w:t>
      </w:r>
      <w:r w:rsidR="009339DF" w:rsidRPr="009D11AD">
        <w:rPr>
          <w:rFonts w:hAnsi="標楷體"/>
        </w:rPr>
        <w:t>4</w:t>
      </w:r>
      <w:r w:rsidR="004E09EE" w:rsidRPr="009D11AD">
        <w:rPr>
          <w:rFonts w:hAnsi="標楷體" w:hint="eastAsia"/>
        </w:rPr>
        <w:t>％</w:t>
      </w:r>
      <w:r w:rsidR="00BE048D" w:rsidRPr="009D11AD">
        <w:rPr>
          <w:rFonts w:hAnsi="標楷體" w:hint="eastAsia"/>
          <w:color w:val="000000" w:themeColor="text1"/>
        </w:rPr>
        <w:t>）</w:t>
      </w:r>
      <w:r w:rsidR="00650851" w:rsidRPr="009D11AD">
        <w:rPr>
          <w:rFonts w:hAnsi="標楷體" w:hint="eastAsia"/>
          <w:color w:val="000000" w:themeColor="text1"/>
        </w:rPr>
        <w:t>，保留原因詳「一</w:t>
      </w:r>
      <w:r w:rsidR="007050E8" w:rsidRPr="009D11AD">
        <w:rPr>
          <w:rFonts w:hAnsi="標楷體" w:hint="eastAsia"/>
          <w:color w:val="000000" w:themeColor="text1"/>
        </w:rPr>
        <w:t>、</w:t>
      </w:r>
      <w:r w:rsidR="00650851" w:rsidRPr="009D11AD">
        <w:rPr>
          <w:rFonts w:hAnsi="標楷體" w:hint="eastAsia"/>
          <w:color w:val="000000" w:themeColor="text1"/>
        </w:rPr>
        <w:t>計畫實施之查核」說明；合計決算審定數為</w:t>
      </w:r>
      <w:r w:rsidR="009339DF" w:rsidRPr="009D11AD">
        <w:rPr>
          <w:rFonts w:hAnsi="標楷體" w:hint="eastAsia"/>
          <w:color w:val="000000" w:themeColor="text1"/>
        </w:rPr>
        <w:t>2</w:t>
      </w:r>
      <w:r w:rsidR="009339DF" w:rsidRPr="009D11AD">
        <w:rPr>
          <w:rFonts w:hAnsi="標楷體"/>
          <w:color w:val="000000" w:themeColor="text1"/>
        </w:rPr>
        <w:t>53</w:t>
      </w:r>
      <w:r w:rsidR="00650851" w:rsidRPr="009D11AD">
        <w:rPr>
          <w:rFonts w:hAnsi="標楷體" w:hint="eastAsia"/>
          <w:color w:val="000000" w:themeColor="text1"/>
        </w:rPr>
        <w:t>億</w:t>
      </w:r>
      <w:r w:rsidR="009339DF" w:rsidRPr="009D11AD">
        <w:rPr>
          <w:rFonts w:hAnsi="標楷體" w:hint="eastAsia"/>
          <w:color w:val="000000" w:themeColor="text1"/>
        </w:rPr>
        <w:t>4</w:t>
      </w:r>
      <w:r w:rsidR="009339DF" w:rsidRPr="009D11AD">
        <w:rPr>
          <w:rFonts w:hAnsi="標楷體"/>
          <w:color w:val="000000" w:themeColor="text1"/>
        </w:rPr>
        <w:t>,765</w:t>
      </w:r>
      <w:r w:rsidR="003508C0" w:rsidRPr="009D11AD">
        <w:rPr>
          <w:rFonts w:hAnsi="標楷體" w:hint="eastAsia"/>
          <w:color w:val="000000" w:themeColor="text1"/>
        </w:rPr>
        <w:t>萬餘元</w:t>
      </w:r>
      <w:r w:rsidR="00650851" w:rsidRPr="009D11AD">
        <w:rPr>
          <w:rFonts w:hAnsi="標楷體" w:hint="eastAsia"/>
          <w:color w:val="000000" w:themeColor="text1"/>
        </w:rPr>
        <w:t>，預算賸餘</w:t>
      </w:r>
      <w:r w:rsidR="009339DF" w:rsidRPr="009D11AD">
        <w:rPr>
          <w:rFonts w:hAnsi="標楷體"/>
          <w:color w:val="000000" w:themeColor="text1"/>
        </w:rPr>
        <w:t>9</w:t>
      </w:r>
      <w:r w:rsidR="004E09EE" w:rsidRPr="009D11AD">
        <w:rPr>
          <w:rFonts w:hAnsi="標楷體" w:hint="eastAsia"/>
          <w:color w:val="000000" w:themeColor="text1"/>
        </w:rPr>
        <w:t>億</w:t>
      </w:r>
      <w:r w:rsidR="009339DF" w:rsidRPr="009D11AD">
        <w:rPr>
          <w:rFonts w:hAnsi="標楷體" w:hint="eastAsia"/>
          <w:color w:val="000000" w:themeColor="text1"/>
        </w:rPr>
        <w:t>5</w:t>
      </w:r>
      <w:r w:rsidR="009339DF" w:rsidRPr="009D11AD">
        <w:rPr>
          <w:rFonts w:hAnsi="標楷體"/>
          <w:color w:val="000000" w:themeColor="text1"/>
        </w:rPr>
        <w:t>,077</w:t>
      </w:r>
      <w:r w:rsidR="004E09EE" w:rsidRPr="009D11AD">
        <w:rPr>
          <w:rFonts w:hAnsi="標楷體" w:hint="eastAsia"/>
          <w:color w:val="000000" w:themeColor="text1"/>
        </w:rPr>
        <w:t>萬餘元（</w:t>
      </w:r>
      <w:r w:rsidR="009339DF" w:rsidRPr="009D11AD">
        <w:rPr>
          <w:rFonts w:hAnsi="標楷體" w:hint="eastAsia"/>
          <w:color w:val="000000" w:themeColor="text1"/>
        </w:rPr>
        <w:t>3.</w:t>
      </w:r>
      <w:r w:rsidR="009339DF" w:rsidRPr="009D11AD">
        <w:rPr>
          <w:rFonts w:hAnsi="標楷體"/>
          <w:color w:val="000000" w:themeColor="text1"/>
        </w:rPr>
        <w:t>62</w:t>
      </w:r>
      <w:r w:rsidR="004E09EE" w:rsidRPr="009D11AD">
        <w:rPr>
          <w:rFonts w:hAnsi="標楷體" w:hint="eastAsia"/>
          <w:color w:val="000000" w:themeColor="text1"/>
        </w:rPr>
        <w:t>％</w:t>
      </w:r>
      <w:r w:rsidR="00BE048D" w:rsidRPr="009D11AD">
        <w:rPr>
          <w:rFonts w:hAnsi="標楷體" w:hint="eastAsia"/>
          <w:color w:val="000000" w:themeColor="text1"/>
        </w:rPr>
        <w:t>）</w:t>
      </w:r>
      <w:r w:rsidR="00650851" w:rsidRPr="009D11AD">
        <w:rPr>
          <w:rFonts w:hAnsi="標楷體" w:hint="eastAsia"/>
          <w:color w:val="000000" w:themeColor="text1"/>
        </w:rPr>
        <w:t>，主要係</w:t>
      </w:r>
      <w:r w:rsidR="00DF204B" w:rsidRPr="009D11AD">
        <w:rPr>
          <w:rFonts w:hAnsi="標楷體" w:hint="eastAsia"/>
          <w:color w:val="000000" w:themeColor="text1"/>
        </w:rPr>
        <w:t>中央選舉委員會因應防疫政策鬆綁，部分防疫物品未購置之賸餘；</w:t>
      </w:r>
      <w:r w:rsidR="007E0983" w:rsidRPr="009D11AD">
        <w:rPr>
          <w:rFonts w:hAnsi="標楷體" w:hint="eastAsia"/>
          <w:color w:val="000000" w:themeColor="text1"/>
        </w:rPr>
        <w:t>行政院人事行政總處</w:t>
      </w:r>
      <w:r w:rsidR="0017644D" w:rsidRPr="009D11AD">
        <w:rPr>
          <w:rFonts w:hAnsi="標楷體" w:hint="eastAsia"/>
          <w:color w:val="000000" w:themeColor="text1"/>
        </w:rPr>
        <w:t>核發</w:t>
      </w:r>
      <w:r w:rsidR="00055AD5" w:rsidRPr="009D11AD">
        <w:rPr>
          <w:rFonts w:hAnsi="標楷體" w:hint="eastAsia"/>
          <w:color w:val="000000" w:themeColor="text1"/>
        </w:rPr>
        <w:t>各機關</w:t>
      </w:r>
      <w:r w:rsidR="006C1F76" w:rsidRPr="009D11AD">
        <w:rPr>
          <w:rFonts w:hAnsi="標楷體" w:hint="eastAsia"/>
          <w:color w:val="000000" w:themeColor="text1"/>
        </w:rPr>
        <w:t>人員婚喪生育及子女教育補助</w:t>
      </w:r>
      <w:r w:rsidR="00055AD5" w:rsidRPr="009D11AD">
        <w:rPr>
          <w:rFonts w:hAnsi="標楷體" w:hint="eastAsia"/>
          <w:color w:val="000000" w:themeColor="text1"/>
        </w:rPr>
        <w:t>之金額，較預計減少</w:t>
      </w:r>
      <w:r w:rsidR="004E09EE" w:rsidRPr="009D11AD">
        <w:rPr>
          <w:rFonts w:hAnsi="標楷體" w:hint="eastAsia"/>
          <w:color w:val="000000" w:themeColor="text1"/>
        </w:rPr>
        <w:t>；</w:t>
      </w:r>
      <w:r w:rsidR="00117794" w:rsidRPr="009D11AD">
        <w:rPr>
          <w:rFonts w:hAnsi="標楷體" w:hint="eastAsia"/>
          <w:color w:val="000000" w:themeColor="text1"/>
        </w:rPr>
        <w:t>大陸委員會</w:t>
      </w:r>
      <w:r w:rsidR="00C34AFC" w:rsidRPr="009D11AD">
        <w:rPr>
          <w:rFonts w:hAnsi="標楷體" w:hint="eastAsia"/>
          <w:color w:val="000000" w:themeColor="text1"/>
        </w:rPr>
        <w:t>派駐香港地區人員返臺，該地辦公室需求面積減少之</w:t>
      </w:r>
      <w:r w:rsidR="00B95C0A" w:rsidRPr="009D11AD">
        <w:rPr>
          <w:rFonts w:hAnsi="標楷體" w:hint="eastAsia"/>
          <w:color w:val="000000" w:themeColor="text1"/>
        </w:rPr>
        <w:t>租金經費賸餘</w:t>
      </w:r>
      <w:r w:rsidR="00264DF5" w:rsidRPr="009D11AD">
        <w:rPr>
          <w:rFonts w:hAnsi="標楷體" w:hint="eastAsia"/>
          <w:color w:val="000000" w:themeColor="text1"/>
        </w:rPr>
        <w:t>；</w:t>
      </w:r>
      <w:r w:rsidR="004E09EE" w:rsidRPr="009D11AD">
        <w:rPr>
          <w:rFonts w:hAnsi="標楷體" w:hint="eastAsia"/>
          <w:color w:val="000000" w:themeColor="text1"/>
        </w:rPr>
        <w:t>部分機關實際進用人員較少之人事費結餘，</w:t>
      </w:r>
      <w:r w:rsidR="00CA09E8" w:rsidRPr="009D11AD">
        <w:rPr>
          <w:rFonts w:hAnsi="標楷體" w:hint="eastAsia"/>
          <w:color w:val="000000" w:themeColor="text1"/>
        </w:rPr>
        <w:t>或</w:t>
      </w:r>
      <w:r w:rsidR="001445CA" w:rsidRPr="009D11AD">
        <w:rPr>
          <w:rFonts w:hAnsi="標楷體" w:hint="eastAsia"/>
          <w:color w:val="000000" w:themeColor="text1"/>
        </w:rPr>
        <w:t>按業務需要減少支付之賸餘</w:t>
      </w:r>
      <w:r w:rsidR="004E09EE" w:rsidRPr="009D11AD">
        <w:rPr>
          <w:rFonts w:hAnsi="標楷體" w:hint="eastAsia"/>
          <w:color w:val="000000" w:themeColor="text1"/>
        </w:rPr>
        <w:t>。</w:t>
      </w:r>
    </w:p>
    <w:p w14:paraId="632EBDA2" w14:textId="45B33943" w:rsidR="00650851" w:rsidRPr="009D11AD" w:rsidRDefault="009876C8" w:rsidP="009876C8">
      <w:pPr>
        <w:pStyle w:val="13"/>
        <w:overflowPunct w:val="0"/>
        <w:spacing w:afterLines="20" w:after="72" w:line="416" w:lineRule="exact"/>
        <w:ind w:firstLineChars="200" w:firstLine="480"/>
        <w:rPr>
          <w:rFonts w:hAnsi="標楷體"/>
          <w:color w:val="000000" w:themeColor="text1"/>
        </w:rPr>
      </w:pPr>
      <w:r>
        <w:rPr>
          <w:rFonts w:hAnsi="標楷體" w:hint="eastAsia"/>
          <w:color w:val="000000" w:themeColor="text1"/>
        </w:rPr>
        <w:t>（四）</w:t>
      </w:r>
      <w:r w:rsidR="00650851" w:rsidRPr="009D11AD">
        <w:rPr>
          <w:rFonts w:hAnsi="標楷體" w:hint="eastAsia"/>
          <w:color w:val="000000" w:themeColor="text1"/>
        </w:rPr>
        <w:t xml:space="preserve">　以前年度歲出轉入數計</w:t>
      </w:r>
      <w:r w:rsidR="00F2375D" w:rsidRPr="009D11AD">
        <w:rPr>
          <w:rFonts w:hAnsi="標楷體"/>
          <w:color w:val="000000" w:themeColor="text1"/>
        </w:rPr>
        <w:t>19</w:t>
      </w:r>
      <w:r w:rsidR="00650851" w:rsidRPr="009D11AD">
        <w:rPr>
          <w:rFonts w:hAnsi="標楷體" w:hint="eastAsia"/>
          <w:color w:val="000000" w:themeColor="text1"/>
        </w:rPr>
        <w:t>億</w:t>
      </w:r>
      <w:r w:rsidR="00F2375D" w:rsidRPr="009D11AD">
        <w:rPr>
          <w:rFonts w:hAnsi="標楷體"/>
          <w:color w:val="000000" w:themeColor="text1"/>
        </w:rPr>
        <w:t>7</w:t>
      </w:r>
      <w:r w:rsidR="00907C87" w:rsidRPr="009D11AD">
        <w:rPr>
          <w:rFonts w:hAnsi="標楷體" w:hint="eastAsia"/>
          <w:color w:val="000000" w:themeColor="text1"/>
        </w:rPr>
        <w:t>,</w:t>
      </w:r>
      <w:r w:rsidR="00F2375D" w:rsidRPr="009D11AD">
        <w:rPr>
          <w:rFonts w:hAnsi="標楷體"/>
          <w:color w:val="000000" w:themeColor="text1"/>
        </w:rPr>
        <w:t>711</w:t>
      </w:r>
      <w:r w:rsidR="00650851" w:rsidRPr="009D11AD">
        <w:rPr>
          <w:rFonts w:hAnsi="標楷體" w:hint="eastAsia"/>
          <w:color w:val="000000" w:themeColor="text1"/>
        </w:rPr>
        <w:t>萬</w:t>
      </w:r>
      <w:r w:rsidR="00AD07A8" w:rsidRPr="009D11AD">
        <w:rPr>
          <w:rFonts w:hAnsi="標楷體" w:hint="eastAsia"/>
          <w:color w:val="000000" w:themeColor="text1"/>
        </w:rPr>
        <w:t>餘</w:t>
      </w:r>
      <w:r w:rsidR="00650851" w:rsidRPr="009D11AD">
        <w:rPr>
          <w:rFonts w:hAnsi="標楷體" w:hint="eastAsia"/>
          <w:color w:val="000000" w:themeColor="text1"/>
        </w:rPr>
        <w:t>元，決算審核結果，</w:t>
      </w:r>
      <w:r w:rsidR="00F2375D" w:rsidRPr="009D11AD">
        <w:rPr>
          <w:rFonts w:hAnsi="標楷體" w:hint="eastAsia"/>
          <w:color w:val="000000" w:themeColor="text1"/>
        </w:rPr>
        <w:t>修正</w:t>
      </w:r>
      <w:r w:rsidR="00DF204B" w:rsidRPr="009D11AD">
        <w:rPr>
          <w:rFonts w:hAnsi="標楷體" w:hint="eastAsia"/>
          <w:color w:val="000000" w:themeColor="text1"/>
        </w:rPr>
        <w:t>減列實現數</w:t>
      </w:r>
      <w:r w:rsidR="00DF204B" w:rsidRPr="009D11AD">
        <w:rPr>
          <w:rFonts w:hAnsi="標楷體"/>
          <w:color w:val="000000" w:themeColor="text1"/>
        </w:rPr>
        <w:t>39</w:t>
      </w:r>
      <w:r w:rsidR="00DF204B" w:rsidRPr="009D11AD">
        <w:rPr>
          <w:rFonts w:hAnsi="標楷體" w:hint="eastAsia"/>
          <w:color w:val="000000" w:themeColor="text1"/>
        </w:rPr>
        <w:t>萬餘元，如數</w:t>
      </w:r>
      <w:r w:rsidR="00F2375D" w:rsidRPr="009D11AD">
        <w:rPr>
          <w:rFonts w:hAnsi="標楷體" w:hint="eastAsia"/>
          <w:color w:val="000000" w:themeColor="text1"/>
        </w:rPr>
        <w:t>增列減免</w:t>
      </w:r>
      <w:r w:rsidR="00DF204B" w:rsidRPr="009D11AD">
        <w:rPr>
          <w:rFonts w:hAnsi="標楷體" w:hint="eastAsia"/>
          <w:color w:val="000000" w:themeColor="text1"/>
        </w:rPr>
        <w:t>（註銷）</w:t>
      </w:r>
      <w:r w:rsidR="00F2375D" w:rsidRPr="009D11AD">
        <w:rPr>
          <w:rFonts w:hAnsi="標楷體" w:hint="eastAsia"/>
          <w:color w:val="000000" w:themeColor="text1"/>
        </w:rPr>
        <w:t>數</w:t>
      </w:r>
      <w:r w:rsidR="009A1CD9" w:rsidRPr="009D11AD">
        <w:rPr>
          <w:rFonts w:hAnsi="標楷體" w:hint="eastAsia"/>
          <w:color w:val="000000" w:themeColor="text1"/>
        </w:rPr>
        <w:t>，係</w:t>
      </w:r>
      <w:r w:rsidR="00DF204B" w:rsidRPr="009D11AD">
        <w:rPr>
          <w:rFonts w:hAnsi="標楷體" w:hint="eastAsia"/>
          <w:color w:val="000000" w:themeColor="text1"/>
        </w:rPr>
        <w:t>客家委員會及所屬</w:t>
      </w:r>
      <w:r w:rsidR="009A1CD9" w:rsidRPr="009D11AD">
        <w:rPr>
          <w:rFonts w:hAnsi="標楷體" w:hint="eastAsia"/>
          <w:color w:val="000000" w:themeColor="text1"/>
        </w:rPr>
        <w:t>涉有疑義且已作正列支之政策宣導經費</w:t>
      </w:r>
      <w:r w:rsidR="00DF204B" w:rsidRPr="009D11AD">
        <w:rPr>
          <w:rFonts w:hAnsi="標楷體" w:hint="eastAsia"/>
          <w:color w:val="000000" w:themeColor="text1"/>
        </w:rPr>
        <w:t>，經本部減列後不予保留</w:t>
      </w:r>
      <w:r w:rsidR="0071421C" w:rsidRPr="009D11AD">
        <w:rPr>
          <w:rFonts w:hAnsi="標楷體" w:hint="eastAsia"/>
          <w:color w:val="000000" w:themeColor="text1"/>
        </w:rPr>
        <w:t>；</w:t>
      </w:r>
      <w:r w:rsidR="00650851" w:rsidRPr="009D11AD">
        <w:rPr>
          <w:rFonts w:hAnsi="標楷體" w:hint="eastAsia"/>
          <w:color w:val="000000" w:themeColor="text1"/>
        </w:rPr>
        <w:t>審定實現數</w:t>
      </w:r>
      <w:r w:rsidR="00F2375D" w:rsidRPr="009D11AD">
        <w:rPr>
          <w:rFonts w:hAnsi="標楷體"/>
          <w:color w:val="000000" w:themeColor="text1"/>
        </w:rPr>
        <w:t>15</w:t>
      </w:r>
      <w:r w:rsidR="00A029D8" w:rsidRPr="009D11AD">
        <w:rPr>
          <w:rFonts w:hAnsi="標楷體" w:hint="eastAsia"/>
          <w:color w:val="000000" w:themeColor="text1"/>
        </w:rPr>
        <w:t>億</w:t>
      </w:r>
      <w:r w:rsidR="00F2375D" w:rsidRPr="009D11AD">
        <w:rPr>
          <w:rFonts w:hAnsi="標楷體"/>
          <w:color w:val="000000" w:themeColor="text1"/>
        </w:rPr>
        <w:t>3</w:t>
      </w:r>
      <w:r w:rsidR="00A029D8" w:rsidRPr="009D11AD">
        <w:rPr>
          <w:rFonts w:hAnsi="標楷體" w:hint="eastAsia"/>
          <w:color w:val="000000" w:themeColor="text1"/>
        </w:rPr>
        <w:t>,</w:t>
      </w:r>
      <w:r w:rsidR="00F2375D" w:rsidRPr="009D11AD">
        <w:rPr>
          <w:rFonts w:hAnsi="標楷體"/>
          <w:color w:val="000000" w:themeColor="text1"/>
        </w:rPr>
        <w:t>264</w:t>
      </w:r>
      <w:r w:rsidR="00A029D8" w:rsidRPr="009D11AD">
        <w:rPr>
          <w:rFonts w:hAnsi="標楷體" w:hint="eastAsia"/>
          <w:color w:val="000000" w:themeColor="text1"/>
        </w:rPr>
        <w:t>萬餘元（</w:t>
      </w:r>
      <w:r w:rsidR="00F2375D" w:rsidRPr="009D11AD">
        <w:rPr>
          <w:rFonts w:hAnsi="標楷體"/>
          <w:color w:val="000000" w:themeColor="text1"/>
        </w:rPr>
        <w:t>77</w:t>
      </w:r>
      <w:r w:rsidR="00EA75BA" w:rsidRPr="009D11AD">
        <w:rPr>
          <w:rFonts w:hAnsi="標楷體" w:hint="eastAsia"/>
          <w:color w:val="000000" w:themeColor="text1"/>
        </w:rPr>
        <w:t>.</w:t>
      </w:r>
      <w:r w:rsidR="00F2375D" w:rsidRPr="009D11AD">
        <w:rPr>
          <w:rFonts w:hAnsi="標楷體"/>
          <w:color w:val="000000" w:themeColor="text1"/>
        </w:rPr>
        <w:t>52</w:t>
      </w:r>
      <w:r w:rsidR="00A029D8" w:rsidRPr="009D11AD">
        <w:rPr>
          <w:rFonts w:hAnsi="標楷體" w:hint="eastAsia"/>
          <w:color w:val="000000" w:themeColor="text1"/>
        </w:rPr>
        <w:t>％</w:t>
      </w:r>
      <w:r w:rsidR="00BE048D" w:rsidRPr="009D11AD">
        <w:rPr>
          <w:rFonts w:hAnsi="標楷體" w:hint="eastAsia"/>
          <w:color w:val="000000" w:themeColor="text1"/>
        </w:rPr>
        <w:t>）</w:t>
      </w:r>
      <w:r w:rsidR="00650851" w:rsidRPr="009D11AD">
        <w:rPr>
          <w:rFonts w:hAnsi="標楷體" w:hint="eastAsia"/>
          <w:color w:val="000000" w:themeColor="text1"/>
        </w:rPr>
        <w:t>，減免</w:t>
      </w:r>
      <w:r w:rsidR="00DF204B" w:rsidRPr="009D11AD">
        <w:rPr>
          <w:rFonts w:hAnsi="標楷體" w:hint="eastAsia"/>
          <w:color w:val="000000" w:themeColor="text1"/>
        </w:rPr>
        <w:t>（註銷）</w:t>
      </w:r>
      <w:r w:rsidR="00650851" w:rsidRPr="009D11AD">
        <w:rPr>
          <w:rFonts w:hAnsi="標楷體" w:hint="eastAsia"/>
          <w:color w:val="000000" w:themeColor="text1"/>
        </w:rPr>
        <w:t>數</w:t>
      </w:r>
      <w:r w:rsidR="00F2375D" w:rsidRPr="009D11AD">
        <w:rPr>
          <w:rFonts w:hAnsi="標楷體" w:hint="eastAsia"/>
          <w:color w:val="000000" w:themeColor="text1"/>
        </w:rPr>
        <w:t>1億686</w:t>
      </w:r>
      <w:r w:rsidR="004B5A4A" w:rsidRPr="009D11AD">
        <w:rPr>
          <w:rFonts w:hAnsi="標楷體" w:hint="eastAsia"/>
          <w:color w:val="000000" w:themeColor="text1"/>
        </w:rPr>
        <w:t>萬餘元</w:t>
      </w:r>
      <w:r w:rsidR="00A029D8" w:rsidRPr="009D11AD">
        <w:rPr>
          <w:rFonts w:hAnsi="標楷體" w:hint="eastAsia"/>
          <w:color w:val="000000" w:themeColor="text1"/>
        </w:rPr>
        <w:t>（</w:t>
      </w:r>
      <w:r w:rsidR="00F2375D" w:rsidRPr="009D11AD">
        <w:rPr>
          <w:rFonts w:hAnsi="標楷體" w:hint="eastAsia"/>
          <w:color w:val="000000" w:themeColor="text1"/>
        </w:rPr>
        <w:t>5</w:t>
      </w:r>
      <w:r w:rsidR="00EA75BA" w:rsidRPr="009D11AD">
        <w:rPr>
          <w:rFonts w:hAnsi="標楷體" w:hint="eastAsia"/>
          <w:color w:val="000000" w:themeColor="text1"/>
        </w:rPr>
        <w:t>.</w:t>
      </w:r>
      <w:r w:rsidR="00F2375D" w:rsidRPr="009D11AD">
        <w:rPr>
          <w:rFonts w:hAnsi="標楷體" w:hint="eastAsia"/>
          <w:color w:val="000000" w:themeColor="text1"/>
        </w:rPr>
        <w:t>41</w:t>
      </w:r>
      <w:r w:rsidR="00A029D8" w:rsidRPr="009D11AD">
        <w:rPr>
          <w:rFonts w:hAnsi="標楷體" w:hint="eastAsia"/>
          <w:color w:val="000000" w:themeColor="text1"/>
        </w:rPr>
        <w:t>％</w:t>
      </w:r>
      <w:r w:rsidR="00BE048D" w:rsidRPr="009D11AD">
        <w:rPr>
          <w:rFonts w:hAnsi="標楷體" w:hint="eastAsia"/>
          <w:color w:val="000000" w:themeColor="text1"/>
        </w:rPr>
        <w:t>）</w:t>
      </w:r>
      <w:r w:rsidR="00650851" w:rsidRPr="009D11AD">
        <w:rPr>
          <w:rFonts w:hAnsi="標楷體" w:hint="eastAsia"/>
          <w:color w:val="000000" w:themeColor="text1"/>
        </w:rPr>
        <w:t>，</w:t>
      </w:r>
      <w:r w:rsidR="00650851" w:rsidRPr="009D11AD">
        <w:rPr>
          <w:rFonts w:hAnsi="標楷體" w:hint="eastAsia"/>
        </w:rPr>
        <w:t>主要係</w:t>
      </w:r>
      <w:r w:rsidR="004A31D9" w:rsidRPr="009D11AD">
        <w:rPr>
          <w:rFonts w:hAnsi="標楷體" w:hint="eastAsia"/>
        </w:rPr>
        <w:t>原住民族委員會</w:t>
      </w:r>
      <w:r w:rsidR="00DF204B" w:rsidRPr="009D11AD">
        <w:rPr>
          <w:rFonts w:hAnsi="標楷體" w:hint="eastAsia"/>
          <w:color w:val="000000" w:themeColor="text1"/>
        </w:rPr>
        <w:t>補助建置原住民族廣播電臺計畫，未完成轉播站用地取得，已逾預算保留年限，不予保留</w:t>
      </w:r>
      <w:r w:rsidR="00785239" w:rsidRPr="009D11AD">
        <w:rPr>
          <w:rFonts w:hAnsi="標楷體" w:hint="eastAsia"/>
          <w:color w:val="000000" w:themeColor="text1"/>
        </w:rPr>
        <w:t>；</w:t>
      </w:r>
      <w:r w:rsidR="00650851" w:rsidRPr="009D11AD">
        <w:rPr>
          <w:rFonts w:hAnsi="標楷體" w:hint="eastAsia"/>
          <w:color w:val="000000" w:themeColor="text1"/>
        </w:rPr>
        <w:t>應付保留數</w:t>
      </w:r>
      <w:r w:rsidR="00A37829" w:rsidRPr="009D11AD">
        <w:rPr>
          <w:rFonts w:hAnsi="標楷體" w:hint="eastAsia"/>
          <w:color w:val="000000" w:themeColor="text1"/>
        </w:rPr>
        <w:t>3</w:t>
      </w:r>
      <w:r w:rsidR="00A029D8" w:rsidRPr="009D11AD">
        <w:rPr>
          <w:rFonts w:hAnsi="標楷體" w:hint="eastAsia"/>
          <w:color w:val="000000" w:themeColor="text1"/>
        </w:rPr>
        <w:t>億</w:t>
      </w:r>
      <w:r w:rsidR="00A37829" w:rsidRPr="009D11AD">
        <w:rPr>
          <w:rFonts w:hAnsi="標楷體" w:hint="eastAsia"/>
          <w:color w:val="000000" w:themeColor="text1"/>
        </w:rPr>
        <w:t>3</w:t>
      </w:r>
      <w:r w:rsidR="00315867" w:rsidRPr="009D11AD">
        <w:rPr>
          <w:rFonts w:hAnsi="標楷體" w:hint="eastAsia"/>
          <w:color w:val="000000" w:themeColor="text1"/>
        </w:rPr>
        <w:t>,</w:t>
      </w:r>
      <w:r w:rsidR="00A37829" w:rsidRPr="009D11AD">
        <w:rPr>
          <w:rFonts w:hAnsi="標楷體" w:hint="eastAsia"/>
          <w:color w:val="000000" w:themeColor="text1"/>
        </w:rPr>
        <w:t>759</w:t>
      </w:r>
      <w:r w:rsidR="00A029D8" w:rsidRPr="009D11AD">
        <w:rPr>
          <w:rFonts w:hAnsi="標楷體" w:hint="eastAsia"/>
          <w:color w:val="000000" w:themeColor="text1"/>
        </w:rPr>
        <w:t>萬餘元（</w:t>
      </w:r>
      <w:r w:rsidR="00315867" w:rsidRPr="009D11AD">
        <w:rPr>
          <w:rFonts w:hAnsi="標楷體" w:hint="eastAsia"/>
          <w:color w:val="000000" w:themeColor="text1"/>
        </w:rPr>
        <w:t>1</w:t>
      </w:r>
      <w:r w:rsidR="00A37829" w:rsidRPr="009D11AD">
        <w:rPr>
          <w:rFonts w:hAnsi="標楷體" w:hint="eastAsia"/>
          <w:color w:val="000000" w:themeColor="text1"/>
        </w:rPr>
        <w:t>7</w:t>
      </w:r>
      <w:r w:rsidR="00EA75BA" w:rsidRPr="009D11AD">
        <w:rPr>
          <w:rFonts w:hAnsi="標楷體" w:hint="eastAsia"/>
          <w:color w:val="000000" w:themeColor="text1"/>
        </w:rPr>
        <w:t>.</w:t>
      </w:r>
      <w:r w:rsidR="00A37829" w:rsidRPr="009D11AD">
        <w:rPr>
          <w:rFonts w:hAnsi="標楷體" w:hint="eastAsia"/>
          <w:color w:val="000000" w:themeColor="text1"/>
        </w:rPr>
        <w:t>08</w:t>
      </w:r>
      <w:r w:rsidR="00A029D8" w:rsidRPr="009D11AD">
        <w:rPr>
          <w:rFonts w:hAnsi="標楷體" w:hint="eastAsia"/>
          <w:color w:val="000000" w:themeColor="text1"/>
        </w:rPr>
        <w:t>％</w:t>
      </w:r>
      <w:r w:rsidR="00BE048D" w:rsidRPr="009D11AD">
        <w:rPr>
          <w:rFonts w:hAnsi="標楷體" w:hint="eastAsia"/>
          <w:color w:val="000000" w:themeColor="text1"/>
        </w:rPr>
        <w:t>）</w:t>
      </w:r>
      <w:r w:rsidR="00650851" w:rsidRPr="009D11AD">
        <w:rPr>
          <w:rFonts w:hAnsi="標楷體" w:hint="eastAsia"/>
          <w:color w:val="000000" w:themeColor="text1"/>
        </w:rPr>
        <w:t>，</w:t>
      </w:r>
      <w:r w:rsidR="009009F6" w:rsidRPr="009D11AD">
        <w:rPr>
          <w:rFonts w:hAnsi="標楷體" w:hint="eastAsia"/>
          <w:color w:val="000000" w:themeColor="text1"/>
        </w:rPr>
        <w:t>主要係國家發展委員會檔案管理局委託內政部代辦「國家檔案館新建工程」受規劃或發包作業時程影響，及原住民族委員會「原住民教育推展」工作計畫相關委託辦理案件等，尚在執行中</w:t>
      </w:r>
      <w:r w:rsidR="00F7765A" w:rsidRPr="009D11AD">
        <w:rPr>
          <w:rFonts w:hAnsi="標楷體" w:hint="eastAsia"/>
          <w:color w:val="000000" w:themeColor="text1"/>
        </w:rPr>
        <w:t>。</w:t>
      </w:r>
    </w:p>
    <w:p w14:paraId="132DDDD9" w14:textId="77777777" w:rsidR="006B0827" w:rsidRPr="009D11AD" w:rsidRDefault="00FE73F8" w:rsidP="00860D54">
      <w:pPr>
        <w:pStyle w:val="10"/>
        <w:overflowPunct w:val="0"/>
        <w:spacing w:beforeLines="20" w:before="72" w:afterLines="20" w:after="72" w:line="430" w:lineRule="exact"/>
        <w:ind w:firstLineChars="100" w:firstLine="320"/>
        <w:rPr>
          <w:rFonts w:ascii="標楷體" w:eastAsia="標楷體" w:hAnsi="標楷體"/>
          <w:color w:val="000000" w:themeColor="text1"/>
          <w:sz w:val="32"/>
          <w:szCs w:val="32"/>
        </w:rPr>
      </w:pPr>
      <w:r w:rsidRPr="009D11AD">
        <w:rPr>
          <w:rFonts w:ascii="標楷體" w:eastAsia="標楷體" w:hAnsi="標楷體" w:hint="eastAsia"/>
          <w:color w:val="000000" w:themeColor="text1"/>
          <w:sz w:val="32"/>
          <w:szCs w:val="32"/>
        </w:rPr>
        <w:t>三</w:t>
      </w:r>
      <w:r w:rsidR="006B0827" w:rsidRPr="009D11AD">
        <w:rPr>
          <w:rFonts w:ascii="標楷體" w:eastAsia="標楷體" w:hAnsi="標楷體" w:hint="eastAsia"/>
          <w:color w:val="000000" w:themeColor="text1"/>
          <w:sz w:val="32"/>
          <w:szCs w:val="32"/>
        </w:rPr>
        <w:t>、提供行政院決定施政方針之建議意見</w:t>
      </w:r>
    </w:p>
    <w:p w14:paraId="61A49A2F" w14:textId="04182F46" w:rsidR="00E522F1" w:rsidRPr="009D11AD" w:rsidRDefault="0032669B" w:rsidP="00860D54">
      <w:pPr>
        <w:pStyle w:val="a7"/>
        <w:overflowPunct w:val="0"/>
        <w:spacing w:line="440" w:lineRule="exact"/>
        <w:ind w:firstLineChars="200" w:firstLine="480"/>
        <w:jc w:val="both"/>
        <w:rPr>
          <w:rFonts w:ascii="標楷體" w:eastAsia="標楷體" w:hAnsi="標楷體"/>
          <w:color w:val="000000" w:themeColor="text1"/>
          <w:szCs w:val="24"/>
        </w:rPr>
      </w:pPr>
      <w:r w:rsidRPr="009D11AD">
        <w:rPr>
          <w:rFonts w:ascii="標楷體" w:eastAsia="標楷體" w:hAnsi="標楷體" w:hint="eastAsia"/>
          <w:color w:val="000000" w:themeColor="text1"/>
          <w:szCs w:val="24"/>
        </w:rPr>
        <w:t>依審計法第70條及預算法第28條規定，本部應提供審核中央政府以前年度歲入、歲出、財務（物</w:t>
      </w:r>
      <w:r w:rsidR="00BE048D" w:rsidRPr="009D11AD">
        <w:rPr>
          <w:rFonts w:ascii="標楷體" w:eastAsia="標楷體" w:hAnsi="標楷體" w:hint="eastAsia"/>
          <w:color w:val="000000" w:themeColor="text1"/>
          <w:szCs w:val="24"/>
        </w:rPr>
        <w:t>）</w:t>
      </w:r>
      <w:r w:rsidRPr="009D11AD">
        <w:rPr>
          <w:rFonts w:ascii="標楷體" w:eastAsia="標楷體" w:hAnsi="標楷體" w:hint="eastAsia"/>
          <w:color w:val="000000" w:themeColor="text1"/>
          <w:szCs w:val="24"/>
        </w:rPr>
        <w:t>經營管理、附屬單位預算</w:t>
      </w:r>
      <w:r w:rsidR="00D90ECE" w:rsidRPr="009D11AD">
        <w:rPr>
          <w:rFonts w:ascii="標楷體" w:eastAsia="標楷體" w:hAnsi="標楷體" w:hint="eastAsia"/>
          <w:color w:val="000000" w:themeColor="text1"/>
          <w:szCs w:val="24"/>
        </w:rPr>
        <w:t>（</w:t>
      </w:r>
      <w:r w:rsidRPr="009D11AD">
        <w:rPr>
          <w:rFonts w:ascii="標楷體" w:eastAsia="標楷體" w:hAnsi="標楷體" w:hint="eastAsia"/>
          <w:color w:val="000000" w:themeColor="text1"/>
          <w:szCs w:val="24"/>
        </w:rPr>
        <w:t>包含營業及非營業部分</w:t>
      </w:r>
      <w:r w:rsidR="00BE048D" w:rsidRPr="009D11AD">
        <w:rPr>
          <w:rFonts w:ascii="標楷體" w:eastAsia="標楷體" w:hAnsi="標楷體" w:hint="eastAsia"/>
          <w:color w:val="000000" w:themeColor="text1"/>
          <w:szCs w:val="24"/>
        </w:rPr>
        <w:t>）</w:t>
      </w:r>
      <w:r w:rsidRPr="009D11AD">
        <w:rPr>
          <w:rFonts w:ascii="標楷體" w:eastAsia="標楷體" w:hAnsi="標楷體" w:hint="eastAsia"/>
          <w:color w:val="000000" w:themeColor="text1"/>
          <w:szCs w:val="24"/>
        </w:rPr>
        <w:t>等預算執行之有關資料，及財務上增進效能與減少不經濟支出之建議，以供行政院作為決定</w:t>
      </w:r>
      <w:r w:rsidR="0044682C" w:rsidRPr="009D11AD">
        <w:rPr>
          <w:rFonts w:ascii="標楷體" w:eastAsia="標楷體" w:hAnsi="標楷體" w:hint="eastAsia"/>
          <w:color w:val="000000" w:themeColor="text1"/>
          <w:szCs w:val="24"/>
        </w:rPr>
        <w:t>113</w:t>
      </w:r>
      <w:r w:rsidRPr="009D11AD">
        <w:rPr>
          <w:rFonts w:ascii="標楷體" w:eastAsia="標楷體" w:hAnsi="標楷體" w:hint="eastAsia"/>
          <w:color w:val="000000" w:themeColor="text1"/>
          <w:szCs w:val="24"/>
        </w:rPr>
        <w:t>年度施政方針之參考。茲將</w:t>
      </w:r>
      <w:r w:rsidRPr="009876C8">
        <w:rPr>
          <w:rFonts w:ascii="標楷體" w:eastAsia="標楷體" w:hAnsi="標楷體" w:hint="eastAsia"/>
          <w:color w:val="000000" w:themeColor="text1"/>
          <w:szCs w:val="24"/>
        </w:rPr>
        <w:t>所提建議意見，摘述如次：</w:t>
      </w:r>
    </w:p>
    <w:p w14:paraId="62A525DB" w14:textId="6576E52B" w:rsidR="0044682C" w:rsidRPr="009C3D78" w:rsidRDefault="0044682C" w:rsidP="00860D54">
      <w:pPr>
        <w:pStyle w:val="2"/>
        <w:overflowPunct w:val="0"/>
        <w:spacing w:beforeLines="20" w:before="72" w:afterLines="20" w:after="72" w:line="424" w:lineRule="exact"/>
        <w:ind w:left="0" w:firstLineChars="200" w:firstLine="561"/>
        <w:rPr>
          <w:rFonts w:hAnsi="標楷體"/>
          <w:b/>
          <w:color w:val="000000" w:themeColor="text1"/>
          <w:sz w:val="28"/>
          <w:szCs w:val="28"/>
        </w:rPr>
      </w:pPr>
      <w:r w:rsidRPr="009C3D78">
        <w:rPr>
          <w:rFonts w:hAnsi="標楷體" w:hint="eastAsia"/>
          <w:b/>
          <w:color w:val="000000" w:themeColor="text1"/>
          <w:sz w:val="28"/>
          <w:szCs w:val="28"/>
        </w:rPr>
        <w:lastRenderedPageBreak/>
        <w:t xml:space="preserve">（一）　</w:t>
      </w:r>
      <w:r w:rsidR="00214152" w:rsidRPr="009C3D78">
        <w:rPr>
          <w:rFonts w:hAnsi="標楷體" w:hint="eastAsia"/>
          <w:b/>
          <w:color w:val="000000" w:themeColor="text1"/>
          <w:sz w:val="28"/>
          <w:szCs w:val="28"/>
        </w:rPr>
        <w:t>政府為降低氣候變遷產生之衝擊及呼應國際淨零排放趨勢，投入鉅額經費，推行氣候變遷減緩及調適策略，惟第一期溫室氣體階段管制目標未能如期達成，且氣候變遷因應法雖已導入國際碳定價經驗開徵碳費，尚待修訂相關子法及配套措施；</w:t>
      </w:r>
      <w:r w:rsidR="00214152" w:rsidRPr="00900E58">
        <w:rPr>
          <w:rFonts w:hAnsi="標楷體" w:hint="eastAsia"/>
          <w:b/>
          <w:color w:val="000000" w:themeColor="text1"/>
          <w:spacing w:val="-1"/>
          <w:sz w:val="28"/>
          <w:szCs w:val="28"/>
        </w:rPr>
        <w:t>又調適策略之目標設定、執行成果盤點與檢討機制等尚乏明確規範，允宜督促權責機關研謀妥處，以發揮財務效能，有效增進氣候變遷因應量能</w:t>
      </w:r>
      <w:r w:rsidRPr="00900E58">
        <w:rPr>
          <w:rFonts w:hAnsi="標楷體" w:hint="eastAsia"/>
          <w:b/>
          <w:color w:val="000000" w:themeColor="text1"/>
          <w:spacing w:val="-1"/>
          <w:sz w:val="28"/>
          <w:szCs w:val="28"/>
        </w:rPr>
        <w:t>。</w:t>
      </w:r>
    </w:p>
    <w:p w14:paraId="2EDA3645" w14:textId="472FC6D4" w:rsidR="0044682C" w:rsidRPr="009C3D78" w:rsidRDefault="00240E02" w:rsidP="009C3D78">
      <w:pPr>
        <w:pStyle w:val="a7"/>
        <w:overflowPunct w:val="0"/>
        <w:spacing w:line="420" w:lineRule="exact"/>
        <w:ind w:firstLineChars="200" w:firstLine="480"/>
        <w:jc w:val="both"/>
        <w:rPr>
          <w:rFonts w:ascii="標楷體" w:eastAsia="標楷體" w:hAnsi="標楷體"/>
          <w:color w:val="000000" w:themeColor="text1"/>
          <w:szCs w:val="24"/>
        </w:rPr>
      </w:pPr>
      <w:r w:rsidRPr="009C3D78">
        <w:rPr>
          <w:rFonts w:ascii="標楷體" w:eastAsia="標楷體" w:hAnsi="標楷體" w:hint="eastAsia"/>
          <w:color w:val="000000" w:themeColor="text1"/>
          <w:szCs w:val="24"/>
        </w:rPr>
        <w:t>政府為因應全球氣候變遷，於104年7月1日制定公布施行溫室氣體減量及管理法，依該法第4條第1項規定，國家溫室氣體長期減量目標為139年排放量降為94年排放量50％以下，並依法陸續訂頒國家因應氣候變遷行動綱領、溫室氣體減量推動方案、部門溫室氣體排放管制行動方案等多項策略，據以落實執行溫室氣體減量工作，107至109年度合計編列預算數2,271億5,397萬餘元，截至110年底止，累計實現數2,060億4,416萬餘元。又為呼應國際淨零排放趨勢，國家發展委員會於111年3月30日公布「臺灣2050淨零排放路徑」，在國家長期減量路徑規劃中，以氣溫升幅低於1.5℃為目標，納入2050年淨零排放目標，並規劃於119年底前投入約9千億元預算或投資，逐步實現淨零排放之永續社會，惟據環境保護署111年8月發布之國家溫室氣體排放清冊報告（2022年版），國家溫室氣體淨排放量自107年起，雖已連續3年呈下降趨勢，仍未達第一期溫室氣體階段管制目標；又近年來歐盟執委會為避免歐盟會員國企業將碳密集製造業移往碳定價政策較為寬鬆的歐盟境外，或進口較低價的碳密集產品取代歐盟產品，導致「碳洩漏（Carbon leakage）」風險，爰於2021年7月14日公布碳邊境調整機制（Carbon Border Adjustment Mechanism, CBAM），針對鋼鐵、水泥、化肥、鋁及電力等碳洩漏高風險產品項目，要求歐盟授權進口商自歐盟境外進口上述產品時須購買「CBAM憑證」，使其價格得以反映歐盟境內碳定價，若進口商可提出已於第三國支付相對應碳價證明，則得減少須支付碳價，並預計自2023年10月1日起開始試辦，2027年起正式上路。行政院為配合2050年淨零排放目標，並與國際接軌及兼顧永續發展需求，於112年2月15日修正公布氣候變遷因應法，納入2050年淨零排放目標，並藉由導入國際碳定價經驗開徵碳費，惟尚待訂定相關子法及配套措施，鑑於歐盟碳邊境調整機制訂於2023年10月1日試辦，倘屆時國內尚未實施總量管制及排放交易制度或徵收碳費作為碳定價工具，恐對臺灣產業出口競爭力造成相當程度衝擊。另世界主要國家在面對減少溫室氣體緩不濟急及全球暖化加劇情況下，已將氣候變遷調適策略作為因應氣候變遷重點，提出符合自己國家之氣候變遷調適策略，連結災害防救作為，因應極端氣候可能造成之潛在風險，以降低無法處理氣候變遷負面影響之脆弱度，同時持續透過減緩策略，加強推動溫室氣體減量，以減低氣候變遷造成之負面影響；行政院為健全國家調適能力，已於108年9月9日核定「國家氣候變遷調適行動方案」（107－111年），共區分為災害、維生基礎設施、水資源、土地利用、海洋及海岸、能源供給及產業、農業生產及生物多樣性、健康等8大調適領域，分由環境保護署、科技部（現為國家科學及技術委員會）、交通部、經濟部等16個部會辦理，各中央目的事業主管機關每年均依規定，將前一年調適策略執行成果提送中央主</w:t>
      </w:r>
      <w:r w:rsidRPr="009C3D78">
        <w:rPr>
          <w:rFonts w:ascii="標楷體" w:eastAsia="標楷體" w:hAnsi="標楷體" w:hint="eastAsia"/>
          <w:color w:val="000000" w:themeColor="text1"/>
          <w:szCs w:val="24"/>
        </w:rPr>
        <w:lastRenderedPageBreak/>
        <w:t>管機關（環境保護署）彙整，惟有關調適策略之目標設定、績效衡量指標、跨機關分工協調、執行成果盤點與檢討機制等，均待訂修相關子法及配套措施，據以檢視調適策略推動成效。按2022年11月6至18日於埃及召開之第27屆聯合國氣候變遷大會（COP27），以「共同落實」（Together For Implementation）為號召，透過減緩（Mitigation）、調適（Adaptation）、賠償（Reparation）三大機制落實減碳承諾，其中氣候調適則設為首要目標，顯示氣候變遷減緩與調適策略並重已為未來世界各國所關注議題，允宜督促環境保護署儘速依氣候變遷因應法所定，完成氣候變遷減緩與調適策略及開徵碳費之相關子法及配套措施，完備相關法制規範，並督促權責機關依國家發展委員會111年3月30日公布「臺灣2050淨零排放路徑」重新評估各部門減碳目標設定，以發揮財務效能，有效增進氣候變遷因應量能，達成2050年淨零排放目標</w:t>
      </w:r>
      <w:r w:rsidR="0044682C" w:rsidRPr="009C3D78">
        <w:rPr>
          <w:rFonts w:ascii="標楷體" w:eastAsia="標楷體" w:hAnsi="標楷體" w:hint="eastAsia"/>
          <w:color w:val="000000" w:themeColor="text1"/>
          <w:szCs w:val="24"/>
        </w:rPr>
        <w:t>。</w:t>
      </w:r>
    </w:p>
    <w:p w14:paraId="51ACC1F0" w14:textId="1D08C73D" w:rsidR="00F146F6" w:rsidRPr="009D11AD" w:rsidRDefault="00F146F6" w:rsidP="00860D54">
      <w:pPr>
        <w:pStyle w:val="2"/>
        <w:overflowPunct w:val="0"/>
        <w:spacing w:beforeLines="20" w:before="72" w:afterLines="20" w:after="72" w:line="424"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（二）　政府為實現在地老化之政策目標，持續布建社區式服務資源，有利民眾獲得便利多元之長照服務，惟推動整建長照衛福據點計畫執行進度長期落後，且諸多案件完工驗收後遲未開辦服務，允宜督促落實相關督導考核機制，加速布建長照據點及開辦服務，以增進財務資源投入效能。</w:t>
      </w:r>
    </w:p>
    <w:p w14:paraId="743E762D" w14:textId="0EEB8810" w:rsidR="00F146F6" w:rsidRPr="009D11AD" w:rsidRDefault="00F71061" w:rsidP="009C3D78">
      <w:pPr>
        <w:pStyle w:val="a7"/>
        <w:overflowPunct w:val="0"/>
        <w:spacing w:line="430" w:lineRule="exact"/>
        <w:ind w:firstLineChars="200" w:firstLine="480"/>
        <w:jc w:val="both"/>
        <w:rPr>
          <w:rFonts w:ascii="標楷體" w:eastAsia="標楷體" w:hAnsi="標楷體"/>
          <w:color w:val="000000" w:themeColor="text1"/>
          <w:szCs w:val="24"/>
        </w:rPr>
      </w:pPr>
      <w:r w:rsidRPr="009D11AD">
        <w:rPr>
          <w:rFonts w:ascii="標楷體" w:eastAsia="標楷體" w:hAnsi="標楷體" w:hint="eastAsia"/>
          <w:color w:val="000000" w:themeColor="text1"/>
          <w:szCs w:val="24"/>
        </w:rPr>
        <w:t>衛生福利部</w:t>
      </w:r>
      <w:r w:rsidR="009009F6" w:rsidRPr="009D11AD">
        <w:rPr>
          <w:rFonts w:ascii="標楷體" w:eastAsia="標楷體" w:hAnsi="標楷體" w:hint="eastAsia"/>
          <w:color w:val="000000" w:themeColor="text1"/>
          <w:szCs w:val="24"/>
        </w:rPr>
        <w:t>為建構以社區為基礎之整合式服務，自105年10月起推動社區整體照顧服務體系，持續協同地方政府布建社區整合型服務中心（下稱A單位）、複合型服務中心（下稱B單位）及巷弄長照站（下稱C單位）等各類服務單位，截至111年8月底止，累計布建11,603個服務單位，包括680個A單位、7,191個B單位、3,732個C單位，增進長照服務單位密度，有利民眾獲得近便多元服務。復為加速布建社區照顧資源，自106年9月起以前瞻基礎建設計畫特別預算辦理「前瞻基礎建設計畫－城鄉建設－公共服務據點整備－整建長照衛福據點計畫」（下稱整建長照衛福據點計畫），計畫總經費需求107億餘元，計分5期辦理，執行期間至114年底，工作項目包括「整建長照ABC據點」、「照顧管理中心照管分站」、「長照創新整合型服務場館」及「社區式長照資源」等4項，係補助</w:t>
      </w:r>
      <w:r w:rsidRPr="009D11AD">
        <w:rPr>
          <w:rFonts w:ascii="標楷體" w:eastAsia="標楷體" w:hAnsi="標楷體" w:hint="eastAsia"/>
          <w:color w:val="000000" w:themeColor="text1"/>
          <w:szCs w:val="24"/>
        </w:rPr>
        <w:t>衛生福利部</w:t>
      </w:r>
      <w:r w:rsidR="009009F6" w:rsidRPr="009D11AD">
        <w:rPr>
          <w:rFonts w:ascii="標楷體" w:eastAsia="標楷體" w:hAnsi="標楷體" w:hint="eastAsia"/>
          <w:color w:val="000000" w:themeColor="text1"/>
          <w:szCs w:val="24"/>
        </w:rPr>
        <w:t>所屬機構及地方政府運用公有空間，設置長照據點、擴增照管分站及建設具在地性、多功能性服務場館，加速發展社區整體照顧服務體系。經查</w:t>
      </w:r>
      <w:r w:rsidRPr="009D11AD">
        <w:rPr>
          <w:rFonts w:ascii="標楷體" w:eastAsia="標楷體" w:hAnsi="標楷體" w:hint="eastAsia"/>
          <w:color w:val="000000" w:themeColor="text1"/>
          <w:szCs w:val="24"/>
        </w:rPr>
        <w:t>衛生福利部</w:t>
      </w:r>
      <w:r w:rsidR="009009F6" w:rsidRPr="009D11AD">
        <w:rPr>
          <w:rFonts w:ascii="標楷體" w:eastAsia="標楷體" w:hAnsi="標楷體" w:hint="eastAsia"/>
          <w:color w:val="000000" w:themeColor="text1"/>
          <w:szCs w:val="24"/>
        </w:rPr>
        <w:t>及所屬辦理整建長照衛福據點計畫第1至3期合計編列預算85億6,682萬餘元，執行期間自106年9月至111年度。執行結果，111年</w:t>
      </w:r>
      <w:r w:rsidR="002E59B9">
        <w:rPr>
          <w:rFonts w:ascii="標楷體" w:eastAsia="標楷體" w:hAnsi="標楷體" w:hint="eastAsia"/>
          <w:color w:val="000000" w:themeColor="text1"/>
          <w:szCs w:val="24"/>
        </w:rPr>
        <w:t>度</w:t>
      </w:r>
      <w:r w:rsidR="009009F6" w:rsidRPr="009D11AD">
        <w:rPr>
          <w:rFonts w:ascii="標楷體" w:eastAsia="標楷體" w:hAnsi="標楷體" w:hint="eastAsia"/>
          <w:color w:val="000000" w:themeColor="text1"/>
          <w:szCs w:val="24"/>
        </w:rPr>
        <w:t>截至11月底止，第1期前瞻基礎建設計畫特別預算保留數3億5,494萬餘元，實現數1億1,957萬餘元，僅占保留數之33.69％；第2期特別預算保留數28億2,034萬餘元，實現數9億3,213萬餘元，僅占保留數之33.05％；第3期特別預算累計分配數9億985萬餘元，累計實現數8,439萬餘元，實現率僅9.28％，顯示第1期計畫屆期3年11個月，預算仍未執行完竣；第2期計畫屆期1年11個月，預算保留金額仍鉅且執行率偏低；第3期計畫距計畫屆期僅餘1個月，實現率僅9.28％，占計畫編列預算數之比率更僅有6.49％，預算執行成效明顯偏低。復查，整建長照衛福據點計畫第1、2期原規劃於106年9月至109年</w:t>
      </w:r>
      <w:r w:rsidR="002E59B9">
        <w:rPr>
          <w:rFonts w:ascii="標楷體" w:eastAsia="標楷體" w:hAnsi="標楷體" w:hint="eastAsia"/>
          <w:color w:val="000000" w:themeColor="text1"/>
          <w:szCs w:val="24"/>
        </w:rPr>
        <w:t>度</w:t>
      </w:r>
      <w:r w:rsidR="009009F6" w:rsidRPr="009D11AD">
        <w:rPr>
          <w:rFonts w:ascii="標楷體" w:eastAsia="標楷體" w:hAnsi="標楷體" w:hint="eastAsia"/>
          <w:color w:val="000000" w:themeColor="text1"/>
          <w:szCs w:val="24"/>
        </w:rPr>
        <w:t>結合公有空間整建設置604處長照ABC據點（71A-149B-384C）、</w:t>
      </w:r>
      <w:r w:rsidR="009009F6" w:rsidRPr="009D11AD">
        <w:rPr>
          <w:rFonts w:ascii="標楷體" w:eastAsia="標楷體" w:hAnsi="標楷體" w:hint="eastAsia"/>
          <w:color w:val="000000" w:themeColor="text1"/>
          <w:szCs w:val="24"/>
        </w:rPr>
        <w:lastRenderedPageBreak/>
        <w:t>5處長照創新整合型服務場館。案經</w:t>
      </w:r>
      <w:r w:rsidRPr="009D11AD">
        <w:rPr>
          <w:rFonts w:ascii="標楷體" w:eastAsia="標楷體" w:hAnsi="標楷體" w:hint="eastAsia"/>
          <w:color w:val="000000" w:themeColor="text1"/>
          <w:szCs w:val="24"/>
        </w:rPr>
        <w:t>衛生福利部</w:t>
      </w:r>
      <w:r w:rsidR="009009F6" w:rsidRPr="009D11AD">
        <w:rPr>
          <w:rFonts w:ascii="標楷體" w:eastAsia="標楷體" w:hAnsi="標楷體" w:hint="eastAsia"/>
          <w:color w:val="000000" w:themeColor="text1"/>
          <w:szCs w:val="24"/>
        </w:rPr>
        <w:t>補助地方政府辦理「整建長照ABC據點」及「長照創新整合型服務場館」項目，核定執行案件共769件（含延續性補助案件69件），截至111年4月底止，已完工案件數計669件，占約87.00％。惟第1期計畫之「整建長照ABC據點」項目核定執行案件共441件，執行結果，尚有17件未竣工，及67件於竣工驗收後，迄未開辦長照據點服務，未如期達預計目標之案件合計84件，占核定執行案件數之19.05％；另第2期計畫之「整建長照ABC據點」及「長照創新整合型服務場館」項目核定執行案件共328件，執行結果，尚有83件未竣工，及60件於竣工驗收後，迄未開辦長照據點服務，未如期達預計目標之案件合計143件，占核定執行案件數之43.60％。上開已完工驗收卻未開辦服務之補助案件，自特別預算結束年度迄至111年4月底止，已逾1至3年不等，核定補助金額達13億3,596萬餘元，惟囿於社區量能不足或缺乏辦理意願等，遲未開辦長照據點服務，致相關投入經費未能產生效益，嚴重影響計畫執行成效。次查，</w:t>
      </w:r>
      <w:r w:rsidRPr="009D11AD">
        <w:rPr>
          <w:rFonts w:ascii="標楷體" w:eastAsia="標楷體" w:hAnsi="標楷體" w:hint="eastAsia"/>
          <w:color w:val="000000" w:themeColor="text1"/>
          <w:szCs w:val="24"/>
        </w:rPr>
        <w:t>衛生福利部</w:t>
      </w:r>
      <w:r w:rsidR="009009F6" w:rsidRPr="009D11AD">
        <w:rPr>
          <w:rFonts w:ascii="標楷體" w:eastAsia="標楷體" w:hAnsi="標楷體" w:hint="eastAsia"/>
          <w:color w:val="000000" w:themeColor="text1"/>
          <w:szCs w:val="24"/>
        </w:rPr>
        <w:t>於110年10月1日修正「公共服務據點整備之整建長照衛福據點計畫補助及評選作業要點」，據該要點第14點第5款第3目之4及第4目之4規定，對於各市縣政府執行補助計畫自工程結算驗收證明書填發次日起，經該部核定補助之長照服務，未依長期照顧服務法相關法規取得設立許可或相關方案計畫規定提供服務逾1年者，該部得終止補助計畫，並以書面限期命其返還補助款。前開計畫第1、2期已完工尚未開辦服務據點案件分別計有67件及60件（含延續性補助案件22</w:t>
      </w:r>
      <w:r w:rsidR="009009F6" w:rsidRPr="00CE57F9">
        <w:rPr>
          <w:rFonts w:ascii="標楷體" w:eastAsia="標楷體" w:hAnsi="標楷體" w:hint="eastAsia"/>
          <w:color w:val="000000" w:themeColor="text1"/>
          <w:szCs w:val="24"/>
        </w:rPr>
        <w:t>件），迄</w:t>
      </w:r>
      <w:r w:rsidR="009009F6" w:rsidRPr="009D11AD">
        <w:rPr>
          <w:rFonts w:ascii="標楷體" w:eastAsia="標楷體" w:hAnsi="標楷體" w:hint="eastAsia"/>
          <w:color w:val="000000" w:themeColor="text1"/>
          <w:szCs w:val="24"/>
        </w:rPr>
        <w:t>至111年4月底止，尚無依上開規定返還補助款之案件，且111年度之預算執行率仍明顯偏低，相關督導考核機制有待落實或研謀強化。鑑於該部持續推動第3至5期計畫，待執行經費龐鉅，且補助案件繁多，允宜督促</w:t>
      </w:r>
      <w:r w:rsidRPr="009D11AD">
        <w:rPr>
          <w:rFonts w:ascii="標楷體" w:eastAsia="標楷體" w:hAnsi="標楷體" w:hint="eastAsia"/>
          <w:color w:val="000000" w:themeColor="text1"/>
          <w:szCs w:val="24"/>
        </w:rPr>
        <w:t>衛生福利部</w:t>
      </w:r>
      <w:r w:rsidR="009009F6" w:rsidRPr="009D11AD">
        <w:rPr>
          <w:rFonts w:ascii="標楷體" w:eastAsia="標楷體" w:hAnsi="標楷體" w:hint="eastAsia"/>
          <w:color w:val="000000" w:themeColor="text1"/>
          <w:szCs w:val="24"/>
        </w:rPr>
        <w:t>妥謀增進經費執行效率之策略，及強化督導考核機制，並輔導完成空間整建後遲未開辦據點服務者早日開辦服務，以加速推動整體計畫，增進財務資源投入效能。</w:t>
      </w:r>
    </w:p>
    <w:p w14:paraId="637F23E2" w14:textId="7CCF8781" w:rsidR="009009F6" w:rsidRPr="009D11AD" w:rsidRDefault="009009F6" w:rsidP="00860D54">
      <w:pPr>
        <w:pStyle w:val="2"/>
        <w:overflowPunct w:val="0"/>
        <w:spacing w:beforeLines="20" w:before="72" w:afterLines="20" w:after="72" w:line="424"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（三）　政府為因應經濟自由化及提升事業經營績效，推動公營事業民營化政策，</w:t>
      </w:r>
      <w:r w:rsidR="002E59B9">
        <w:rPr>
          <w:rFonts w:hAnsi="標楷體" w:hint="eastAsia"/>
          <w:b/>
          <w:color w:val="000000" w:themeColor="text1"/>
          <w:sz w:val="28"/>
          <w:szCs w:val="28"/>
        </w:rPr>
        <w:t>自</w:t>
      </w:r>
      <w:r w:rsidRPr="009D11AD">
        <w:rPr>
          <w:rFonts w:hAnsi="標楷體" w:hint="eastAsia"/>
          <w:b/>
          <w:color w:val="000000" w:themeColor="text1"/>
          <w:sz w:val="28"/>
          <w:szCs w:val="28"/>
        </w:rPr>
        <w:t>87年</w:t>
      </w:r>
      <w:r w:rsidR="002E59B9">
        <w:rPr>
          <w:rFonts w:hAnsi="標楷體" w:hint="eastAsia"/>
          <w:b/>
          <w:color w:val="000000" w:themeColor="text1"/>
          <w:sz w:val="28"/>
          <w:szCs w:val="28"/>
        </w:rPr>
        <w:t>度</w:t>
      </w:r>
      <w:r w:rsidRPr="009D11AD">
        <w:rPr>
          <w:rFonts w:hAnsi="標楷體" w:hint="eastAsia"/>
          <w:b/>
          <w:color w:val="000000" w:themeColor="text1"/>
          <w:sz w:val="28"/>
          <w:szCs w:val="28"/>
        </w:rPr>
        <w:t>起編列台灣中油公司等5家公營事業之釋股預算，惟釋股歲入預算長期保留甚達20年以上，仍無執行進展，迭遭外界質疑恐有虛列歲入預算之虞，允宜督促權責機關檢討預算保留之必要性，並積極研謀具體可行措施，以提升政府財務運用效能。</w:t>
      </w:r>
    </w:p>
    <w:p w14:paraId="1F908306" w14:textId="64F50BA0" w:rsidR="009009F6" w:rsidRPr="009D11AD" w:rsidRDefault="009009F6" w:rsidP="00860D54">
      <w:pPr>
        <w:overflowPunct w:val="0"/>
        <w:spacing w:line="424" w:lineRule="exact"/>
        <w:ind w:firstLineChars="200" w:firstLine="480"/>
        <w:jc w:val="both"/>
        <w:rPr>
          <w:rFonts w:ascii="標楷體" w:eastAsia="標楷體" w:hAnsi="標楷體"/>
        </w:rPr>
      </w:pPr>
      <w:r w:rsidRPr="009D11AD">
        <w:rPr>
          <w:rFonts w:ascii="標楷體" w:eastAsia="標楷體" w:hAnsi="標楷體" w:hint="eastAsia"/>
        </w:rPr>
        <w:t>行政院為因應全球經濟朝自由化、國際化趨勢，自78年起推動公營事業民營化政策，期提升事業經營績效，並於同年成立行政院公營事業民營化推動專案小組，嗣為協調解決各民營化方案執行遭遇困難等事項，於101年8月發布行政院公營事業民營化推動及監督會設置要點，迄至106年10月停止適用，共計完成39家公營事業民營化（全部或一部移轉民營），結束營業17家（截至110年底止，除榮民工程股份有限公司因訴訟案尚未完成清理外，其餘事業均已清理完畢）。又行政院為運用公營事業移轉民營政府所得之部分資金，支應財務艱困事業不足支付移轉民營之給與支出等，於90年設立行政院公營事業民營化基金（下稱民營化基金），截至110</w:t>
      </w:r>
      <w:r w:rsidRPr="009D11AD">
        <w:rPr>
          <w:rFonts w:ascii="標楷體" w:eastAsia="標楷體" w:hAnsi="標楷體" w:hint="eastAsia"/>
        </w:rPr>
        <w:lastRenderedPageBreak/>
        <w:t>年底止，共計執行合作金庫銀行等11家公司釋股，執行金額209億餘元。依據決算法第7條規定，決算所列各項保留數準備，於其年度終了屆滿4年，而仍未能實現者，可免予編列。經查經濟部、財政部及民營化基金為配合政府推動民營化政策編列釋股預算，惟保留多年之釋股預算，多數尚難確認執行期程等情事，迭遭外界質疑恐有虛列歲入預算之嫌，經監察院於102年5月8日糾正行政院，本部</w:t>
      </w:r>
      <w:r w:rsidR="00A9224E">
        <w:rPr>
          <w:rFonts w:ascii="標楷體" w:eastAsia="標楷體" w:hAnsi="標楷體" w:hint="eastAsia"/>
        </w:rPr>
        <w:t>並曾多次函請行政院及相關主管機關審慎評估釋股預算續保留必要性。據</w:t>
      </w:r>
      <w:r w:rsidRPr="009D11AD">
        <w:rPr>
          <w:rFonts w:ascii="標楷體" w:eastAsia="標楷體" w:hAnsi="標楷體" w:hint="eastAsia"/>
        </w:rPr>
        <w:t>復各主管機關仍持續推動公營事業民營化計畫，並賡續與工會協商以取得共識，釋股預算仍宜繼續保留，如確定民營化釋股預算無法執行，將在累計賸餘不發生短絀及不影響民營化基金業務推動前提下，適時檢討註銷。案經追蹤結果，截至110年底止，經濟部及民營化基金待執行釋股預算2,425億餘元（均為以前年度轉入數），僅較101年底之2,839億餘元減少413億餘元，保留期間皆逾10年，甚至長達20年以上。保留待執行之釋股預算公營事業包括台灣中油、台灣電力、中國鋼鐵、臺鹽實業及中央再保險等股份有限公司，其中除中央再保險股份有限公司93及97年度編列10億餘元仍持續釋股外，其餘台灣中油股份有限公司於87至92年度編列1,689億餘元，占全部待執行釋股預算之69.66％，因依據立法院92年決議，針對民營化、釋股及員工權益等事宜，應與工會協商，並將協商結論併入民營化計畫書，向立法院專案報告後辦理釋股，惟尚未完成溝通等作業；台灣電力股份有限公司於88及99年度編列626億餘元，占全部待執行釋股預算之25.83％，因依電業法規定台灣電力股份公司應於6至9年內完成發電與輸配電分離，未來須俟廠網分離辦理情形，方能進一步檢討規劃民營化；中國鋼鐵股份有限公司於91至97年度編列79億餘元，因立法院分別於93、97及104年間決議其官股應維持20％；臺鹽實業股份有限公司於97及98年度編列19億餘元，因釋股價格不得低於全年及前3個月之平均價格等，致釋股預算未能執行。鑑於各該保留之釋股預算於短期內執行可能性極低，惟仍列入各年度之累計餘絀計算，有虛增累計賸餘及美化政府財政之虞，且民營化基金已於110年5月14日經行政院核定於113年1月1日裁撤，允宜督促相關權責機關檢討釋股預算保留之必要性，並積極研謀具體可行措施，以提升政府財務運用效能。</w:t>
      </w:r>
    </w:p>
    <w:p w14:paraId="0F6A6158" w14:textId="77777777" w:rsidR="009009F6" w:rsidRPr="009D11AD" w:rsidRDefault="009009F6" w:rsidP="00860D54">
      <w:pPr>
        <w:pStyle w:val="2"/>
        <w:overflowPunct w:val="0"/>
        <w:spacing w:beforeLines="20" w:before="72" w:afterLines="20" w:after="72" w:line="424"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（四）　財政部為防杜企業跨境避稅，提升稅務資訊透明度，已參據經濟合作暨發展組織稅基侵蝕及利潤移轉報告行動計畫，發布相關作業規範，惟我國僅與少數國家進行稅務用途金融帳戶資訊交換，致稽徵機關尚無法全面掌握跨國企業稅務資訊。鑑於全球稅改方案施行在即，我國倘未導入實施，恐將喪失跨國企業利潤課稅權並侵蝕稅基，允宜督促研謀因應，俾利接軌國際並維護課稅主權。</w:t>
      </w:r>
    </w:p>
    <w:p w14:paraId="7F2520BE" w14:textId="408E5AD2" w:rsidR="009009F6" w:rsidRPr="009D11AD" w:rsidRDefault="009009F6" w:rsidP="00860D54">
      <w:pPr>
        <w:overflowPunct w:val="0"/>
        <w:spacing w:line="424" w:lineRule="exact"/>
        <w:ind w:firstLineChars="200" w:firstLine="480"/>
        <w:jc w:val="both"/>
        <w:rPr>
          <w:rFonts w:ascii="標楷體" w:eastAsia="標楷體" w:hAnsi="標楷體"/>
        </w:rPr>
      </w:pPr>
      <w:r w:rsidRPr="009D11AD">
        <w:rPr>
          <w:rFonts w:ascii="標楷體" w:eastAsia="標楷體" w:hAnsi="標楷體" w:hint="eastAsia"/>
        </w:rPr>
        <w:t>經濟合作暨發展組織（The Organisation for Economic Co-operation and Development, OECD）為建立國際租稅規範，防杜跨國企業利用各國稅制差異與租稅規範漏洞規避稅負，於2013年2月發布防止稅基侵蝕及利潤移轉報告（Base Erosion and Profit Shifting, BEPS）之15項行動計畫，嗣為落實部分行動計畫之相關措施，於2014年界定國際新資訊透明標準，發布「共</w:t>
      </w:r>
      <w:r w:rsidRPr="009D11AD">
        <w:rPr>
          <w:rFonts w:ascii="標楷體" w:eastAsia="標楷體" w:hAnsi="標楷體" w:hint="eastAsia"/>
        </w:rPr>
        <w:lastRenderedPageBreak/>
        <w:t>同申報及盡職審查準則（Common Reporting Standard, CRS）」及主管機關協定（Competent Authority Agreement, CAA），作為各國執行稅務用途金融帳戶資訊自動交換及國際間同儕檢視之標準。財政部為符合OECD所訂國際新資訊透明規範，依稅捐稽徵法第5條之1第6項授權規定，分別於106年11月及同年12月發布實施金融機構執行共同申報及盡職審查作業辦法、租稅協定稅務用途資訊交換作業辦法，規定金融機構應進行金融帳戶盡職審查，就財政部公告與我國進行金融帳戶資訊自動交換之應申報國居住者金融帳戶資訊，向稅捐稽徵機關申報該居住者之帳戶餘額、年度支付及記入存款帳戶之資訊，再由財政部依已簽署之所得稅協定及商訂稅務用途資訊交換規定，進行帳戶資訊自動交換，落實稅務資訊透明，期消除因所得稅課稅差異所造成雙重課稅之跨境投資障礙，改善稅基流失並維護雙方稅收。依財政部說明，我國已與新加坡等34個國家或地區（下稱租稅協定夥伴國）簽署所得稅協定，其中經該部商訂自109年或110年起執行稅務用途金融帳戶資訊自動交換合作之租稅協定夥伴國，計有日本、澳大利亞及英國等3個國家，占已簽署所得稅協定國家或地區未及1成。又據財政部統計，109至111年度日本、澳大利亞兩國提供屬我國居住者金融帳戶資訊，累計取得帳戶資訊筆數82萬餘筆、帳戶餘額3,928億餘元、收入金額350億元，有助稽徵機關掌握跨國稅務資訊。惟我國僅與日本等3個國家商訂執行稅務用途金融帳戶資訊自動交換合作，尚有31個租稅協定夥伴國刻由財政部洽商合作事宜，</w:t>
      </w:r>
      <w:r w:rsidR="002E59B9">
        <w:rPr>
          <w:rFonts w:ascii="標楷體" w:eastAsia="標楷體" w:hAnsi="標楷體" w:hint="eastAsia"/>
        </w:rPr>
        <w:t>仍</w:t>
      </w:r>
      <w:r w:rsidRPr="009D11AD">
        <w:rPr>
          <w:rFonts w:ascii="標楷體" w:eastAsia="標楷體" w:hAnsi="標楷體" w:hint="eastAsia"/>
        </w:rPr>
        <w:t>待積極籌劃可行策略儘速完成商訂，俾早日透過自動交換機制相互提供跨國稅務資料，以維護雙方稅收。又OECD為建立國際租稅規範，解決稅基侵蝕及利潤移轉問題，2013年2月發布BEPS之15項行動計畫後，由140個國家所組成之BEPS包容性架構，於2021年7月共同發布「解決經濟數位化課稅挑戰之兩項支柱聲明」（下稱兩項支柱），倡議全球稅改方案，預計2023年實施，以解決跨國企業營利所得之課稅權分配競爭，並確保跨國企業集團於市場所在地國負擔合宜之納稅義務。按OECD於2021年10月更新發布兩項支柱之適用對象及原則，第一支柱（Pillar One）係一致性課稅方式，於跨國企業集團全球營收超過200億歐元，且稅前淨利率超過10％時，應就賸餘利潤之25％，重新分配予集團成員營收達100萬歐元之消費市場所在地國，由該國取得賸餘利潤課稅權；第二支柱（Pillar Two）係全球反稅基侵蝕規定（即全球最低稅負制），規範跨國企業集團全球營收前4個會計年度中，至少有2個會計年度超過7.5億歐元，其集團成員於所在地國繳納之實質稅率最低應達15％。經查，OECD已於2022年陸續發布兩項支柱之立法範本，另預計於2023年公布第二支柱之多邊公約文本，供成員國據以制定法規後實施。又據財政部統計，截至111年11月底止，符合第一支柱條件，且跨國企業集團母公司（下稱集團母公司）在我國境內者有1家；至於集團母公司在境外，其在境內之集團成員營收是否達100萬歐元，因OECD尚未規範跨國企業集團於市場所在地國之相關收入來源、稅基認定及範圍，爰無法統計家數；另符合第二支柱，集團母公司分別在我國境內、外之跨國企業，分別計有191家、595家。我國雖非BEPS包容性架構成員，惟前述符合適用條件之企業將受兩項支柱稅改方案實施之影響，而該稅改方案實施在即，如未適時導入，則不得向境內跨國企業</w:t>
      </w:r>
      <w:r w:rsidRPr="009D11AD">
        <w:rPr>
          <w:rFonts w:ascii="標楷體" w:eastAsia="標楷體" w:hAnsi="標楷體" w:hint="eastAsia"/>
        </w:rPr>
        <w:lastRenderedPageBreak/>
        <w:t>集團成員所獲配賸餘利潤徵收稅款，及向境內之集團母公司課徵其境外集團成員繳納稅款差額，恐流失稅基；倘他國實施全球最低稅負制，則該國將取得境內集團成員繳納稅款之差額，亦損及我國課稅主權而侵蝕稅基。鑑於財政部已依OECD國際新資訊透明規範，完成稅務用途金融帳戶資訊自動交換之建置，又OECD已於2022年陸續發布兩項支柱立法範本，其中第二支柱全球最低稅負制實施在即，影響層面甚廣，允宜督促財政部儘速與租稅協定夥伴國完成金融帳戶資訊自動交換之商訂，並完善全球最低稅負制之租稅因應措施，俾順利接軌國際租稅規範，維護我國課稅主權。</w:t>
      </w:r>
    </w:p>
    <w:p w14:paraId="4E660691" w14:textId="77777777" w:rsidR="009009F6" w:rsidRPr="009D11AD" w:rsidRDefault="009009F6" w:rsidP="00860D54">
      <w:pPr>
        <w:pStyle w:val="2"/>
        <w:overflowPunct w:val="0"/>
        <w:spacing w:beforeLines="20" w:before="72" w:afterLines="20" w:after="72" w:line="424"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（五）　政府滾動調整少子女化對策計畫建構友善生育環境，總經費逾4,851億元，有偶婦女生育率已見止跌跡象，惟因有偶率持續下滑，總生育率仍未能回升；又平衡就業與家庭攸關國人生育意願，事業單位同意提供員工性別工作平等法相關措施之比率雖多數已逾8成，惟計畫推動後未再顯著提升，允宜督促研謀善策因應，以發揮計畫財務效能。</w:t>
      </w:r>
    </w:p>
    <w:p w14:paraId="3B16D818" w14:textId="76338097" w:rsidR="009009F6" w:rsidRPr="009D11AD" w:rsidRDefault="009009F6" w:rsidP="00860D54">
      <w:pPr>
        <w:overflowPunct w:val="0"/>
        <w:spacing w:line="424" w:lineRule="exact"/>
        <w:ind w:firstLineChars="200" w:firstLine="480"/>
        <w:jc w:val="both"/>
        <w:rPr>
          <w:rFonts w:ascii="標楷體" w:eastAsia="標楷體" w:hAnsi="標楷體"/>
          <w:b/>
          <w:sz w:val="28"/>
          <w:szCs w:val="28"/>
        </w:rPr>
      </w:pPr>
      <w:r w:rsidRPr="009D11AD">
        <w:rPr>
          <w:rFonts w:ascii="標楷體" w:eastAsia="標楷體" w:hAnsi="標楷體" w:hint="eastAsia"/>
        </w:rPr>
        <w:t>政府為因應少子女化危機，自107年7月起推動「我國少子女化對策計畫」（下稱少子女化對策計畫），</w:t>
      </w:r>
      <w:r w:rsidRPr="00CE57F9">
        <w:rPr>
          <w:rFonts w:ascii="標楷體" w:eastAsia="標楷體" w:hAnsi="標楷體" w:hint="eastAsia"/>
        </w:rPr>
        <w:t>於</w:t>
      </w:r>
      <w:r w:rsidRPr="00CE57F9">
        <w:rPr>
          <w:rFonts w:ascii="標楷體" w:eastAsia="標楷體" w:hAnsi="標楷體"/>
        </w:rPr>
        <w:t>108至110年度間歷經4次修正</w:t>
      </w:r>
      <w:r w:rsidRPr="00CE57F9">
        <w:rPr>
          <w:rFonts w:ascii="標楷體" w:eastAsia="標楷體" w:hAnsi="標楷體" w:hint="eastAsia"/>
        </w:rPr>
        <w:t>，</w:t>
      </w:r>
      <w:r w:rsidRPr="009D11AD">
        <w:rPr>
          <w:rFonts w:ascii="標楷體" w:eastAsia="標楷體" w:hAnsi="標楷體" w:hint="eastAsia"/>
        </w:rPr>
        <w:t>將107至113年度計畫總經費提高至4,851億餘元，其中110年度2度修正計畫，主要係落實「0-6歲國家一起養」政策，於110年8月及111年8月兩階段加碼育兒津貼、提高公共化及準公共托育與幼兒園之政府補助或分攤費用，以減輕育兒家庭經濟負擔，並擴大不孕症試管嬰兒補助對象、增加產檢次數及產檢假日數、放寬育嬰留職停薪（津貼）申請彈性及提高薪資替代率等，建構更為友善的生育環境。依110年8月修正之少子女化對策計畫，造成國人低生育率的原因為「晚婚及不婚影響生育人數」、「育齡婦女生育年齡延後，影響生育胎次」、「育兒成本高，家庭經濟負擔沉重」、「婦女難兼顧家庭與就業，影響生育意願及勞動參與率」等。對策計畫措施包含0至2歲（未滿）嬰幼兒照顧、2至6歲（未滿）幼兒教育與照顧、友善職場的育兒措施、鼓</w:t>
      </w:r>
      <w:r w:rsidRPr="00AE01F6">
        <w:rPr>
          <w:rFonts w:ascii="標楷體" w:eastAsia="標楷體" w:hAnsi="標楷體" w:hint="eastAsia"/>
        </w:rPr>
        <w:t>勵婚育與家庭教育等</w:t>
      </w:r>
      <w:r w:rsidRPr="00AE01F6">
        <w:rPr>
          <w:rFonts w:ascii="標楷體" w:eastAsia="標楷體" w:hAnsi="標楷體"/>
        </w:rPr>
        <w:t>13項主要工作項目，分由衛生福利部、教育部、勞動部、內政部等機關共同推動，期能實現性別平等（平衡就業與家庭）、減輕家庭育兒負擔、提升嬰幼兒照顧品質及達成119年我國總生育率回升至1.40人等4項政策目標。截至111年10</w:t>
      </w:r>
      <w:r w:rsidRPr="00CE57F9">
        <w:rPr>
          <w:rFonts w:ascii="標楷體" w:eastAsia="標楷體" w:hAnsi="標楷體"/>
        </w:rPr>
        <w:t>月底止，經檢視政策目標達成情形，在提升生育率方面，</w:t>
      </w:r>
      <w:r w:rsidRPr="00CE57F9">
        <w:rPr>
          <w:rFonts w:ascii="標楷體" w:eastAsia="標楷體" w:hAnsi="標楷體" w:hint="eastAsia"/>
        </w:rPr>
        <w:t>國內新生兒生母主要係25至39歲有偶婦女，110年度25至29歲、30至34歲及35至39歲有偶婦女生育率，相較於109年度分別增加</w:t>
      </w:r>
      <w:r w:rsidRPr="00CE57F9">
        <w:rPr>
          <w:rFonts w:ascii="標楷體" w:eastAsia="標楷體" w:hAnsi="標楷體"/>
        </w:rPr>
        <w:t>4個千分點</w:t>
      </w:r>
      <w:r w:rsidRPr="00CE57F9">
        <w:rPr>
          <w:rFonts w:ascii="標楷體" w:eastAsia="標楷體" w:hAnsi="標楷體" w:hint="eastAsia"/>
        </w:rPr>
        <w:t>、</w:t>
      </w:r>
      <w:r w:rsidRPr="00CE57F9">
        <w:rPr>
          <w:rFonts w:ascii="標楷體" w:eastAsia="標楷體" w:hAnsi="標楷體"/>
        </w:rPr>
        <w:t>4個千分點</w:t>
      </w:r>
      <w:r w:rsidRPr="00CE57F9">
        <w:rPr>
          <w:rFonts w:ascii="標楷體" w:eastAsia="標楷體" w:hAnsi="標楷體" w:hint="eastAsia"/>
        </w:rPr>
        <w:t>及2個千分點，已見止跌跡象，惟該等年齡層婦女有偶率仍較前</w:t>
      </w:r>
      <w:r w:rsidR="00AF70CC">
        <w:rPr>
          <w:rFonts w:ascii="標楷體" w:eastAsia="標楷體" w:hAnsi="標楷體" w:hint="eastAsia"/>
        </w:rPr>
        <w:t>一</w:t>
      </w:r>
      <w:r w:rsidRPr="00CE57F9">
        <w:rPr>
          <w:rFonts w:ascii="標楷體" w:eastAsia="標楷體" w:hAnsi="標楷體" w:hint="eastAsia"/>
        </w:rPr>
        <w:t>年度下滑0.40個百分點、1.02個百分點</w:t>
      </w:r>
      <w:r w:rsidR="00862F8D" w:rsidRPr="00CE57F9">
        <w:rPr>
          <w:rFonts w:ascii="標楷體" w:eastAsia="標楷體" w:hAnsi="標楷體" w:hint="eastAsia"/>
        </w:rPr>
        <w:t>及</w:t>
      </w:r>
      <w:r w:rsidRPr="009D11AD">
        <w:rPr>
          <w:rFonts w:ascii="標楷體" w:eastAsia="標楷體" w:hAnsi="標楷體" w:hint="eastAsia"/>
        </w:rPr>
        <w:t>0.75個百分點，顯示婦女晚婚、不婚問題尚未緩解，難以有效帶動總生育率回升。依據臺北市政府社會局110年度委託辦理「臺北市婦女生活狀況調查」總結報告，質性訪談資料呼應部分學者推估生育率低的主要來源是結婚率下降所致，為婚姻與生育緊密連結社會的共同困境；量化調查無配偶婦女有結婚、再婚意願者，隨著年紀增長下降，25至34歲為65％，35至44歲僅剩33.7％；未</w:t>
      </w:r>
      <w:r w:rsidRPr="009D11AD">
        <w:rPr>
          <w:rFonts w:ascii="標楷體" w:eastAsia="標楷體" w:hAnsi="標楷體" w:hint="eastAsia"/>
        </w:rPr>
        <w:lastRenderedPageBreak/>
        <w:t>婚受訪者以醫療定義35歲高齡產婦為婚育選擇切分的斷點，選擇進入婚姻與否，更多是經濟理性的決策過程，包含經濟、子女、原生家庭照顧責任、同住調適、婚後女性壓力等。據此，政府透過</w:t>
      </w:r>
      <w:r w:rsidRPr="00AE01F6">
        <w:rPr>
          <w:rFonts w:ascii="標楷體" w:eastAsia="標楷體" w:hAnsi="標楷體" w:hint="eastAsia"/>
        </w:rPr>
        <w:t>補助措施已於短期內快速提升國人育兒經濟支持，後續針對上開影響婚育決策之觀念與</w:t>
      </w:r>
      <w:r w:rsidRPr="002E59B9">
        <w:rPr>
          <w:rFonts w:ascii="標楷體" w:eastAsia="標楷體" w:hAnsi="標楷體" w:hint="eastAsia"/>
        </w:rPr>
        <w:t>因素，</w:t>
      </w:r>
      <w:r w:rsidR="00862F8D" w:rsidRPr="00CE57F9">
        <w:rPr>
          <w:rFonts w:ascii="標楷體" w:eastAsia="標楷體" w:hAnsi="標楷體" w:hint="eastAsia"/>
        </w:rPr>
        <w:t>有待</w:t>
      </w:r>
      <w:r w:rsidRPr="00AE01F6">
        <w:rPr>
          <w:rFonts w:ascii="標楷體" w:eastAsia="標楷體" w:hAnsi="標楷體" w:hint="eastAsia"/>
        </w:rPr>
        <w:t>加強提供婦女諮詢與協助，以提振婚育意願。另在實現性別平等（平衡就業與家庭）方面，政府於性別工作平等法明定友善生育職場環境措施，如：安胎休養、產檢假、流產假、產假、陪產假、減少（調整）工作時間、家庭照顧假、育嬰留職停薪、設立托兒服務機構或提供托兒措施等，勞動部亦透過補助機制協助建構安心懷孕與友善生育職場環境。</w:t>
      </w:r>
      <w:r w:rsidRPr="00AE01F6">
        <w:rPr>
          <w:rFonts w:ascii="標楷體" w:eastAsia="標楷體" w:hAnsi="標楷體"/>
        </w:rPr>
        <w:t>110年度事業單位同意員工申請（或有提供）性別工作平等法相關措施之比率，多數逾8成，惟除設立托兒服務機構或提供托兒措施、設置哺（集）乳室之比率，較106年度提升逾3個百分點外，其餘措</w:t>
      </w:r>
      <w:r w:rsidRPr="00CE57F9">
        <w:rPr>
          <w:rFonts w:ascii="標楷體" w:eastAsia="標楷體" w:hAnsi="標楷體"/>
        </w:rPr>
        <w:t>施，計畫實施後之比率未再顯著提升，尤以僱用人數較少之事業單位法令遵循情形較不理想，中小企業基於人力調度欠缺彈性，較難充分支持員工申請及提供相關友善育兒措施，致其員工未能共享政策效益</w:t>
      </w:r>
      <w:r w:rsidRPr="00CE57F9">
        <w:rPr>
          <w:rFonts w:ascii="標楷體" w:eastAsia="標楷體" w:hAnsi="標楷體" w:hint="eastAsia"/>
        </w:rPr>
        <w:t>。允宜針對影響</w:t>
      </w:r>
      <w:r w:rsidRPr="00AE01F6">
        <w:rPr>
          <w:rFonts w:ascii="標楷體" w:eastAsia="標楷體" w:hAnsi="標楷體" w:hint="eastAsia"/>
        </w:rPr>
        <w:t>國人婚育決策觀念與因素，如：適婚年齡、家庭照顧責任、同住調適、婚後女性壓力等，統籌相關部會資源，透過教育、宣導及社會支持系統，加強提供婦女諮詢與協助，以提振婚育</w:t>
      </w:r>
      <w:r w:rsidRPr="00CE57F9">
        <w:rPr>
          <w:rFonts w:ascii="標楷體" w:eastAsia="標楷體" w:hAnsi="標楷體" w:hint="eastAsia"/>
        </w:rPr>
        <w:t>意願，並督促勞動部會商經濟部</w:t>
      </w:r>
      <w:r w:rsidR="00AE01F6" w:rsidRPr="00CE57F9">
        <w:rPr>
          <w:rFonts w:ascii="標楷體" w:eastAsia="標楷體" w:hAnsi="標楷體" w:hint="eastAsia"/>
        </w:rPr>
        <w:t>對於申請友善生育職場環境措施未獲同意之員工，參考各方建言</w:t>
      </w:r>
      <w:r w:rsidRPr="00CE57F9">
        <w:rPr>
          <w:rFonts w:ascii="標楷體" w:eastAsia="標楷體" w:hAnsi="標楷體" w:hint="eastAsia"/>
        </w:rPr>
        <w:t>研議替</w:t>
      </w:r>
      <w:r w:rsidRPr="009D11AD">
        <w:rPr>
          <w:rFonts w:ascii="標楷體" w:eastAsia="標楷體" w:hAnsi="標楷體" w:hint="eastAsia"/>
        </w:rPr>
        <w:t>代性支持方案，落實雇主責任及確保員工權益，以加速相關政策目標之達成，發揮計畫財務效能。</w:t>
      </w:r>
    </w:p>
    <w:p w14:paraId="766CEE60" w14:textId="77777777" w:rsidR="009009F6" w:rsidRPr="009D11AD" w:rsidRDefault="009009F6" w:rsidP="00900E58">
      <w:pPr>
        <w:pStyle w:val="2"/>
        <w:overflowPunct w:val="0"/>
        <w:spacing w:beforeLines="20" w:before="72" w:afterLines="20" w:after="72" w:line="44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（六）　政府為改善國內毒品問題，投入鉅額經費積極推動毒品防制政策，已有效降低毒品新生人口，惟毒品再犯、新興毒品氾濫及吸毒年齡層下降等問題仍未能有效解決，允宜督促權責機關研謀妥處，提升政府反毒綜效，以發揮財務效能。</w:t>
      </w:r>
    </w:p>
    <w:p w14:paraId="4C01DB06" w14:textId="3C221C40" w:rsidR="009009F6" w:rsidRPr="009D11AD" w:rsidRDefault="009009F6" w:rsidP="00860D54">
      <w:pPr>
        <w:overflowPunct w:val="0"/>
        <w:spacing w:line="424" w:lineRule="exact"/>
        <w:ind w:firstLineChars="200" w:firstLine="480"/>
        <w:jc w:val="both"/>
        <w:rPr>
          <w:rFonts w:ascii="標楷體" w:eastAsia="標楷體" w:hAnsi="標楷體"/>
          <w:b/>
          <w:sz w:val="28"/>
          <w:szCs w:val="28"/>
        </w:rPr>
      </w:pPr>
      <w:r w:rsidRPr="009D11AD">
        <w:rPr>
          <w:rFonts w:ascii="標楷體" w:eastAsia="標楷體" w:hAnsi="標楷體" w:hint="eastAsia"/>
        </w:rPr>
        <w:t>行政院鑑於國內新型態毒品氾濫、吸毒年齡層下降，及毒品入侵校園等現象，於106年統合防毒、拒毒、緝毒、戒毒及修法配套等5大面向擘劃新世代反毒策略，核定「新世代反毒策略行動綱領」，以4年為期（106至109年），計投入96億餘元，由中央與地方政府共同推動毒品防制工作，執行結果，毒品新生人口呈逐年下降趨勢，已有相當成果，惟國內毒品再犯問題仍然嚴峻。行政院續於110年推動「新世代反毒策略行動綱領（第二期110－113年）」，預計再投入150億元推動反毒工作，期達到「抑制毒品再犯」、「降低毒品新生」雙重目標，並於111年8月訂定「施用毒品者再犯防止推進計畫」（111年至113年），除含括部分「新世代反毒策略行動綱領（第二期110－113年）」之戒毒策略措施外，亦提出強化各處遇階段間之轉銜與整合等策進作為，期協助施用毒品者逐步減少再犯。政府「新世代反毒策略行動綱領（第二期110－113年）」已將「抑制毒品再犯」、「降低毒品新生」列為重要目標，其中抑制毒品再犯部分，據衛生福利部統計，110年度醫療院所等機關（構）通報藥物濫用個案計3.2萬人次，以海洛因（為第一級毒品；占通報總人次之47.2％）最多，安非他命（為第二級毒品；占通報總人次之</w:t>
      </w:r>
      <w:r w:rsidRPr="009D11AD">
        <w:rPr>
          <w:rFonts w:ascii="標楷體" w:eastAsia="標楷體" w:hAnsi="標楷體" w:hint="eastAsia"/>
        </w:rPr>
        <w:lastRenderedPageBreak/>
        <w:t>38.7％）次之。由於第一、二級毒品成癮性高，且戒斷症狀明顯，戒癮治療難以短期立即見效，易生重複接觸毒品情形。又政府為使施用第一、二級毒品者，獲得有利戒除毒品之適當處遇，採取多元處遇方式，包括機構內之處遇，如有期徒刑、觀察勒戒、強制戒治等，及機構外之處遇，如緩起訴處分附命完成戒癮治療、精神治癮、心理輔導、義務勞務或其他適當之處遇措施等，並規劃逐年提升緩起訴處分附命完成戒癮治療及多元處遇比率（自106年度之15％提升至113年度之28％），可視個案需求採取不同處遇，減少矯正、醫療資源浪費，協助施用毒品者戒除毒癮。然而，據法務部統計，106至108年度施用第一、二級毒品離開矯正機關之收容人（含受刑人、受觀察勒戒人、受戒治人），及檢察官為緩起訴附命戒癮治療確定者，截至110年底止，經逐案追蹤滿2年，發現有44.28％於2年內再度施用第一、二級毒品，尤其以出獄受刑人再犯率50.98％最高；緩起訴附命戒癮治療者再犯率45.22</w:t>
      </w:r>
      <w:r w:rsidR="00A649D4">
        <w:rPr>
          <w:rFonts w:ascii="標楷體" w:eastAsia="標楷體" w:hAnsi="標楷體" w:hint="eastAsia"/>
        </w:rPr>
        <w:t>％</w:t>
      </w:r>
      <w:r w:rsidRPr="009D11AD">
        <w:rPr>
          <w:rFonts w:ascii="標楷體" w:eastAsia="標楷體" w:hAnsi="標楷體" w:hint="eastAsia"/>
        </w:rPr>
        <w:t>次之，顯見毒品再犯問題依然嚴峻；另據法務部統計，104年</w:t>
      </w:r>
      <w:r w:rsidR="00A649D4">
        <w:rPr>
          <w:rFonts w:ascii="標楷體" w:eastAsia="標楷體" w:hAnsi="標楷體" w:hint="eastAsia"/>
        </w:rPr>
        <w:t>度</w:t>
      </w:r>
      <w:r w:rsidRPr="009D11AD">
        <w:rPr>
          <w:rFonts w:ascii="標楷體" w:eastAsia="標楷體" w:hAnsi="標楷體" w:hint="eastAsia"/>
        </w:rPr>
        <w:t>至111年11月底在監受刑人數中，大多涉犯毒品案件，每年均有逾2萬毒品在監受刑人，如按法務部提供104年監獄受刑人平均每人年成本16萬元</w:t>
      </w:r>
      <w:r w:rsidR="00FC18D4" w:rsidRPr="00CE57F9">
        <w:rPr>
          <w:rFonts w:ascii="標楷體" w:eastAsia="標楷體" w:hAnsi="標楷體" w:hint="eastAsia"/>
        </w:rPr>
        <w:t>（僅指經常性支出，不含資本支出）</w:t>
      </w:r>
      <w:r w:rsidRPr="009D11AD">
        <w:rPr>
          <w:rFonts w:ascii="標楷體" w:eastAsia="標楷體" w:hAnsi="標楷體" w:hint="eastAsia"/>
        </w:rPr>
        <w:t>估算</w:t>
      </w:r>
      <w:r w:rsidR="00A649D4">
        <w:rPr>
          <w:rFonts w:ascii="標楷體" w:eastAsia="標楷體" w:hAnsi="標楷體" w:hint="eastAsia"/>
        </w:rPr>
        <w:t>，</w:t>
      </w:r>
      <w:r w:rsidRPr="009D11AD">
        <w:rPr>
          <w:rFonts w:ascii="標楷體" w:eastAsia="標楷體" w:hAnsi="標楷體" w:hint="eastAsia"/>
        </w:rPr>
        <w:t>每年至少花費逾33億元於矯正機關之毒品在監受刑人，如無法有效解決毒品高再犯問題，長此以往，勢將耗費龐大社會資源。復查，「降低毒品新生」部分，依據110年度各醫療院所等機關（構）通報藥物濫用個案3.2萬人次中，首次用藥年齡以「20-29歲」（占通報總人次之43.9％）最多，其他依序為「30-39歲」（占通報總人次之24.7％）次之，「19歲以下」（占通報總人次之21.7％），逾9成於40歲以下即開始濫用藥物，且有2成左右為19歲以下青少年，呈現年輕化趨勢；另「19歲以下」年齡層濫用藥物以「愷他命」（占40.7％）為主，而愷他命又以「朋友住處」（占45.0％）為常見取得濫用藥物之場所。又近年來出現混製新興毒品，常以咖啡包、軟糖等食品包裝，降低使用者警覺心，造成高致死風險。據法務部法醫研究所統計，國內新興毒品相關致死案例，近6年度（105至110年度）計522件，大多發生在17至35歲青少年與青年，平均每案檢驗出多種新興毒品，且新興混製毒品推陳出新，造成防治一大問題。依教育部109年度藥物濫用防制認知問卷調查報告載述，學生使用非法藥物多為新興毒品，常以免費提供或被誘騙等因素而使用，凸顯青少年易受同儕誘惑，施用新興毒品而染上毒癮，實有必要加強青少年反毒宣導工作，以提升青少年識毒拒毒能力。惟據本部歷年查核發現，中央政府106至109年度「新世代反毒策略行動綱領」，用於拒毒預防工作決算數6億餘元，僅占反毒工作決算數96億餘元之6.39％；行政院新聞傳播處主辦「反毒宣導」業務，108至110年度毒品防制經費執行情形，3年內即有2</w:t>
      </w:r>
      <w:r w:rsidR="00A649D4">
        <w:rPr>
          <w:rFonts w:ascii="標楷體" w:eastAsia="標楷體" w:hAnsi="標楷體" w:hint="eastAsia"/>
        </w:rPr>
        <w:t>年因遇預算編列不足，須勻支其他文宣經費</w:t>
      </w:r>
      <w:r w:rsidRPr="009D11AD">
        <w:rPr>
          <w:rFonts w:ascii="標楷體" w:eastAsia="標楷體" w:hAnsi="標楷體" w:hint="eastAsia"/>
        </w:rPr>
        <w:t>列</w:t>
      </w:r>
      <w:r w:rsidR="00A649D4">
        <w:rPr>
          <w:rFonts w:ascii="標楷體" w:eastAsia="標楷體" w:hAnsi="標楷體" w:hint="eastAsia"/>
        </w:rPr>
        <w:t>支</w:t>
      </w:r>
      <w:r w:rsidRPr="009D11AD">
        <w:rPr>
          <w:rFonts w:ascii="標楷體" w:eastAsia="標楷體" w:hAnsi="標楷體" w:hint="eastAsia"/>
        </w:rPr>
        <w:t>之情事，相關預算之投入顯有不足；又行政院所屬機關110年度運用公益通路託播毒品防制廣告，計有4家無線電視及162家電台公益通路託播毒品防制影片22萬次、影音121萬次，惟僅占總體公益通路託播比率3.31％及2.39％，尚未能展現出政府對反毒工作重視程度。復以108至110年度全國22個市縣政府與民間反毒團體共同辦理之場次為例，僅占各該年度反毒宣傳場次之10.43％至13.39％；部分縣市尚無運用民間反毒團體提供之教材等，</w:t>
      </w:r>
      <w:r w:rsidRPr="00A649D4">
        <w:rPr>
          <w:rFonts w:ascii="標楷體" w:eastAsia="標楷體" w:hAnsi="標楷體" w:hint="eastAsia"/>
        </w:rPr>
        <w:t>顯示政府與私部</w:t>
      </w:r>
      <w:r w:rsidRPr="009D11AD">
        <w:rPr>
          <w:rFonts w:ascii="標楷體" w:eastAsia="標楷體" w:hAnsi="標楷體" w:hint="eastAsia"/>
        </w:rPr>
        <w:lastRenderedPageBreak/>
        <w:t>門協力合作推行反毒教育宣導仍有策進空間。允宜督促相關權責機關落實新世代反毒策略行動綱領（</w:t>
      </w:r>
      <w:r w:rsidR="00FC18D4" w:rsidRPr="00CE57F9">
        <w:rPr>
          <w:rFonts w:ascii="標楷體" w:eastAsia="標楷體" w:hAnsi="標楷體" w:hint="eastAsia"/>
        </w:rPr>
        <w:t>第二期</w:t>
      </w:r>
      <w:r w:rsidRPr="00CE57F9">
        <w:rPr>
          <w:rFonts w:ascii="標楷體" w:eastAsia="標楷體" w:hAnsi="標楷體"/>
        </w:rPr>
        <w:t>110</w:t>
      </w:r>
      <w:r w:rsidR="00FC18D4" w:rsidRPr="00CE57F9">
        <w:rPr>
          <w:rFonts w:ascii="標楷體" w:eastAsia="標楷體" w:hAnsi="標楷體" w:hint="eastAsia"/>
        </w:rPr>
        <w:t>－</w:t>
      </w:r>
      <w:r w:rsidRPr="00CE57F9">
        <w:rPr>
          <w:rFonts w:ascii="標楷體" w:eastAsia="標楷體" w:hAnsi="標楷體"/>
        </w:rPr>
        <w:t>113年</w:t>
      </w:r>
      <w:r w:rsidRPr="009D11AD">
        <w:rPr>
          <w:rFonts w:ascii="標楷體" w:eastAsia="標楷體" w:hAnsi="標楷體" w:hint="eastAsia"/>
        </w:rPr>
        <w:t>）各項反毒策略，強化跨機關間反毒工作合作網絡、毒品受刑人出監所與各處遇間之轉銜與整合服務，及青少年反毒宣導等資源之投入，並結合民間反毒團體資源，以提升政府反毒綜效，增進反毒財務資源效能。</w:t>
      </w:r>
    </w:p>
    <w:p w14:paraId="7E3C62A5" w14:textId="77777777" w:rsidR="009009F6" w:rsidRPr="009D11AD" w:rsidRDefault="009009F6" w:rsidP="00900E58">
      <w:pPr>
        <w:pStyle w:val="2"/>
        <w:overflowPunct w:val="0"/>
        <w:spacing w:beforeLines="20" w:before="72" w:afterLines="20" w:after="72" w:line="44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（七）　政府為削減家戶污水危害環境生態，投入鉅資興辦污水下水道建設近30年，已有77座污水處理廠完工營運，有助改善城鄉河川水體水質，惟部分地方政府未依法落實公告公共污水下水道管線已到達使用區域，致裁罰未配合接管用戶之要件未完備，不利污水下水道建設推動；又部分公立學校、市場及軍事單位等公有建築物，因未能銜接污水下水道系統，無法提升鄰近污水處理廠處理水量，允宜加強管控地方政府公告作業辦理情形，並全面清查未接管公有建築物，督促各級政府權責主管機關評估接管，以有效發揮設備使用效益。</w:t>
      </w:r>
    </w:p>
    <w:p w14:paraId="6DA1629A" w14:textId="4A807DDB" w:rsidR="009009F6" w:rsidRPr="009D11AD" w:rsidRDefault="009009F6" w:rsidP="00860D54">
      <w:pPr>
        <w:overflowPunct w:val="0"/>
        <w:spacing w:line="424" w:lineRule="exact"/>
        <w:ind w:firstLineChars="200" w:firstLine="480"/>
        <w:jc w:val="both"/>
        <w:rPr>
          <w:rFonts w:ascii="標楷體" w:eastAsia="標楷體" w:hAnsi="標楷體"/>
          <w:b/>
          <w:sz w:val="28"/>
          <w:szCs w:val="28"/>
        </w:rPr>
      </w:pPr>
      <w:r w:rsidRPr="009D11AD">
        <w:rPr>
          <w:rFonts w:ascii="標楷體" w:eastAsia="標楷體" w:hAnsi="標楷體" w:hint="eastAsia"/>
        </w:rPr>
        <w:t>下水道法第19條第1項規定：「下水道機構，應於下水道開始使用前，將排水區域、開始使用日期、接用程序及下水道管理規章公告週知。」第2項規定：「下水道排水區域內之下水，除經當地主管機關核准者外，應依公告規定排洩於下水道之內。」第29條第1項規定：「主管機關對於未依規定期限，設置用戶排水設備並完成與下水道聯接使用者，除依第32條規定處罰外，並得命下水道機構代為辦理，所需費用由下水道用戶負擔。」同法施行細則第17條規定：「下水道可使用之地區，其用戶應於依本法第19條第1項所定公告開始使用之日起6個月內與下水道完成聯接使用。」據內政部營建署提供資料，累計至110年底止，各級政府投入公共污水下水道系統建設經費計3,896億餘元。截至111年10月底止，計有77座污水處理廠完工營運，設計污水處理量共431萬餘公噸/每日，用戶接管數則達371萬餘戶，惟各市縣政府建置污水下水道管線已到達區域涵蓋面積979.41平方公里，其中依下水道法第19條規定已公告週知使用區域涵蓋面積僅457.36平方公里，占46.70％，甚有基隆市、新竹縣、彰化縣、嘉義縣、嘉義市、花蓮縣、臺東縣、澎湖縣、金門縣、連江縣等10個縣市政府，轄內公共污水下水道系統全數未辦理公告，致對於下水道管線已到達地區之家戶或機關行號有不配合接管情形，無法予以裁罰或代為辦理，多係以宣導方式處理，不僅對配合接管且開始繳納下水道使用費者，有失公平合理，更影響污水下水道建設之遂行。又</w:t>
      </w:r>
      <w:r w:rsidR="00B44E66" w:rsidRPr="009D11AD">
        <w:rPr>
          <w:rFonts w:ascii="標楷體" w:eastAsia="標楷體" w:hAnsi="標楷體" w:hint="eastAsia"/>
        </w:rPr>
        <w:t>內政部</w:t>
      </w:r>
      <w:r w:rsidRPr="009D11AD">
        <w:rPr>
          <w:rFonts w:ascii="標楷體" w:eastAsia="標楷體" w:hAnsi="標楷體" w:hint="eastAsia"/>
        </w:rPr>
        <w:t>營建署為督促市縣政府落實辦理公告週知作業程序，於109年8月3日訂定公共污水下水道開始使用前公告週知作業要點，並規定將公告週知作業執行成效納入</w:t>
      </w:r>
      <w:r w:rsidR="00B44E66" w:rsidRPr="009D11AD">
        <w:rPr>
          <w:rFonts w:ascii="標楷體" w:eastAsia="標楷體" w:hAnsi="標楷體" w:hint="eastAsia"/>
        </w:rPr>
        <w:t>內政部</w:t>
      </w:r>
      <w:r w:rsidRPr="009D11AD">
        <w:rPr>
          <w:rFonts w:ascii="標楷體" w:eastAsia="標楷體" w:hAnsi="標楷體" w:hint="eastAsia"/>
        </w:rPr>
        <w:t>營建署考核評鑑作業相關項目，惟據該署「110年度直轄市及縣（市）政府污水下水道建設計畫考核評鑑執行計畫書」，各市縣政府辦理公告情形之配分為2分，僅占整體「計畫管制作為」評分項目45分之4.44％，顯不具促使市縣政府積極辦理公告作業之誘因；此外，現行公告週知作業要點亦缺乏督促市縣政府定期查報辦理公告情形、管控作為及獎懲機制等相關規範，均不利促使市縣政府提升執行成效。另截至111年10月底止，全國</w:t>
      </w:r>
      <w:r w:rsidRPr="009D11AD">
        <w:rPr>
          <w:rFonts w:ascii="標楷體" w:eastAsia="標楷體" w:hAnsi="標楷體" w:hint="eastAsia"/>
        </w:rPr>
        <w:lastRenderedPageBreak/>
        <w:t>已完工營運之污水處理廠計77座，而營運逾10年之45座污水處理廠中，平均污水處理水量率未達50％者，計有19座，其中最低者僅為11.89％（基隆市六堵水資源回收中心），顯示仍有諸多營運已久之污水處理廠，實際處理污水量遠低於設計處理量，設備運用效益有待提升。茲依</w:t>
      </w:r>
      <w:r w:rsidR="00B44E66" w:rsidRPr="009D11AD">
        <w:rPr>
          <w:rFonts w:ascii="標楷體" w:eastAsia="標楷體" w:hAnsi="標楷體" w:hint="eastAsia"/>
        </w:rPr>
        <w:t>內政部</w:t>
      </w:r>
      <w:r w:rsidRPr="009D11AD">
        <w:rPr>
          <w:rFonts w:ascii="標楷體" w:eastAsia="標楷體" w:hAnsi="標楷體" w:hint="eastAsia"/>
        </w:rPr>
        <w:t>營建署提供各市縣污水下水道系統管線與人孔資料，及各市縣尚未完成接管而使用人數較多並集中排放污水之公有建築物清冊，包括公立學校、公有市場及軍事單位等計1,021筆，經運用地理資訊系統（QGIS）距離矩陣功能，將各市縣污水下水道人孔與尚未完成接管之公有建築物位置比對結果發現，其相鄰間距小於50公尺者計239筆（23.41％），介於50至100公尺者計114筆（11.17％），顯示部分公有建築物已鄰近污水下水道，惟尚未將其排放之污水聯接污水下水道處理。又前揭公有建築物與相鄰污水下水道人孔之間距小於100公尺者計353筆（34.57％），其中位於平均污水處理水量率低於50％之污水處理廠相關下水道系統涵蓋範圍者，計有89筆，分布於10市縣，前3名依序為基隆市23筆、新北市15筆，及臺南市13筆。上開分析結果顯示，部分使用人數較多且集中排放污水之公有建築物，鄰近污水處理水量率偏低之污水處理廠，卻因尚未納入公共污水下水道系統，無法提升處理廠之使用效益。另據</w:t>
      </w:r>
      <w:r w:rsidR="00B44E66" w:rsidRPr="009D11AD">
        <w:rPr>
          <w:rFonts w:ascii="標楷體" w:eastAsia="標楷體" w:hAnsi="標楷體" w:hint="eastAsia"/>
        </w:rPr>
        <w:t>內政部</w:t>
      </w:r>
      <w:r w:rsidRPr="009D11AD">
        <w:rPr>
          <w:rFonts w:ascii="標楷體" w:eastAsia="標楷體" w:hAnsi="標楷體" w:hint="eastAsia"/>
        </w:rPr>
        <w:t>營建署111年11月16日召開「公共污水下水道已到達地區之公立學校、市場、機關及軍事單位納管相關事宜會議」會議紀錄所載，該署雖已將機關、學校、軍方營區及公有市場之納管情形，納入年度污水下水道建設計畫考核評鑑項目，惟歷年各市縣政府所送資料有造冊未完整、未安排接管期程、未建立機關或內部單位納管協調機制等情，且中央主管機關國防部、經濟部及教育部等，亦無編列相關專款補助經費，可協助共同推動納管作業，仍待督促檢討改善。允宜督促內政部等機關研修規範並加強管控地方政府公告作業辦理情形</w:t>
      </w:r>
      <w:r w:rsidRPr="00EA6E0E">
        <w:rPr>
          <w:rFonts w:ascii="標楷體" w:eastAsia="標楷體" w:hAnsi="標楷體" w:hint="eastAsia"/>
        </w:rPr>
        <w:t>，</w:t>
      </w:r>
      <w:r w:rsidR="001D1E63" w:rsidRPr="00EA6E0E">
        <w:rPr>
          <w:rFonts w:ascii="標楷體" w:eastAsia="標楷體" w:hAnsi="標楷體" w:hint="eastAsia"/>
        </w:rPr>
        <w:t>及</w:t>
      </w:r>
      <w:r w:rsidRPr="00EA6E0E">
        <w:rPr>
          <w:rFonts w:ascii="標楷體" w:eastAsia="標楷體" w:hAnsi="標楷體" w:hint="eastAsia"/>
        </w:rPr>
        <w:t>督促全面清查未接管公有建築物，請各級政府權責主管機關評估接管，俾發揮已建置污水處理設施</w:t>
      </w:r>
      <w:r w:rsidRPr="009D11AD">
        <w:rPr>
          <w:rFonts w:ascii="標楷體" w:eastAsia="標楷體" w:hAnsi="標楷體" w:hint="eastAsia"/>
        </w:rPr>
        <w:t>使用效益。</w:t>
      </w:r>
    </w:p>
    <w:p w14:paraId="6350A827" w14:textId="77777777" w:rsidR="009009F6" w:rsidRPr="009D11AD" w:rsidRDefault="009009F6" w:rsidP="00900E58">
      <w:pPr>
        <w:pStyle w:val="2"/>
        <w:overflowPunct w:val="0"/>
        <w:spacing w:beforeLines="20" w:before="72" w:afterLines="20" w:after="72" w:line="44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（八）　政府投入鉅額經費推動均衡城鄉發展及地方創生政策，惟部分事業提案推動情形未如預期，或支持地方產業發展之效益未明；部分核心地方產業與配套硬體建設相關計畫未能搭配推展等，允宜督促相關權責機關研謀妥處，以提升財務資源投入效能。</w:t>
      </w:r>
    </w:p>
    <w:p w14:paraId="284FC3E6" w14:textId="77777777" w:rsidR="009009F6" w:rsidRPr="009D11AD" w:rsidRDefault="009009F6" w:rsidP="00860D54">
      <w:pPr>
        <w:overflowPunct w:val="0"/>
        <w:spacing w:line="424" w:lineRule="exact"/>
        <w:ind w:firstLineChars="200" w:firstLine="480"/>
        <w:jc w:val="both"/>
        <w:rPr>
          <w:rFonts w:ascii="標楷體" w:eastAsia="標楷體" w:hAnsi="標楷體"/>
          <w:b/>
          <w:sz w:val="28"/>
          <w:szCs w:val="28"/>
        </w:rPr>
      </w:pPr>
      <w:r w:rsidRPr="009D11AD">
        <w:rPr>
          <w:rFonts w:ascii="標楷體" w:eastAsia="標楷體" w:hAnsi="標楷體" w:hint="eastAsia"/>
        </w:rPr>
        <w:t>政府為緩和人口不斷移居都會區，城鄉發展逐漸失衡之現象，並改善各部會投入資源未經整合檢討，缺乏城鄉整體發展計畫引導公共建設資源投入等問題，行政院於</w:t>
      </w:r>
      <w:r w:rsidRPr="009D11AD">
        <w:rPr>
          <w:rFonts w:ascii="標楷體" w:eastAsia="標楷體" w:hAnsi="標楷體"/>
        </w:rPr>
        <w:t>103</w:t>
      </w:r>
      <w:r w:rsidRPr="009D11AD">
        <w:rPr>
          <w:rFonts w:ascii="標楷體" w:eastAsia="標楷體" w:hAnsi="標楷體" w:hint="eastAsia"/>
        </w:rPr>
        <w:t>年</w:t>
      </w:r>
      <w:r w:rsidRPr="009D11AD">
        <w:rPr>
          <w:rFonts w:ascii="標楷體" w:eastAsia="標楷體" w:hAnsi="標楷體"/>
        </w:rPr>
        <w:t>12</w:t>
      </w:r>
      <w:r w:rsidRPr="009D11AD">
        <w:rPr>
          <w:rFonts w:ascii="標楷體" w:eastAsia="標楷體" w:hAnsi="標楷體" w:hint="eastAsia"/>
        </w:rPr>
        <w:t>月</w:t>
      </w:r>
      <w:r w:rsidRPr="009D11AD">
        <w:rPr>
          <w:rFonts w:ascii="標楷體" w:eastAsia="標楷體" w:hAnsi="標楷體"/>
        </w:rPr>
        <w:t>16</w:t>
      </w:r>
      <w:r w:rsidRPr="009D11AD">
        <w:rPr>
          <w:rFonts w:ascii="標楷體" w:eastAsia="標楷體" w:hAnsi="標楷體" w:hint="eastAsia"/>
        </w:rPr>
        <w:t>日核定辦理「均衡城鄉發展推動方案」（執行期間為</w:t>
      </w:r>
      <w:r w:rsidRPr="009D11AD">
        <w:rPr>
          <w:rFonts w:ascii="標楷體" w:eastAsia="標楷體" w:hAnsi="標楷體"/>
        </w:rPr>
        <w:t>104</w:t>
      </w:r>
      <w:r w:rsidRPr="009D11AD">
        <w:rPr>
          <w:rFonts w:ascii="標楷體" w:eastAsia="標楷體" w:hAnsi="標楷體" w:hint="eastAsia"/>
        </w:rPr>
        <w:t>至</w:t>
      </w:r>
      <w:r w:rsidRPr="009D11AD">
        <w:rPr>
          <w:rFonts w:ascii="標楷體" w:eastAsia="標楷體" w:hAnsi="標楷體"/>
        </w:rPr>
        <w:t>107</w:t>
      </w:r>
      <w:r w:rsidRPr="009D11AD">
        <w:rPr>
          <w:rFonts w:ascii="標楷體" w:eastAsia="標楷體" w:hAnsi="標楷體" w:hint="eastAsia"/>
        </w:rPr>
        <w:t>年度），由市縣政府遴選具發展潛力之鄉鎮市提出整合建設計畫，依產業輔導、人才運用、基礎建設、資金融通、生活機能等</w:t>
      </w:r>
      <w:r w:rsidRPr="009D11AD">
        <w:rPr>
          <w:rFonts w:ascii="標楷體" w:eastAsia="標楷體" w:hAnsi="標楷體"/>
        </w:rPr>
        <w:t>5</w:t>
      </w:r>
      <w:r w:rsidRPr="009D11AD">
        <w:rPr>
          <w:rFonts w:ascii="標楷體" w:eastAsia="標楷體" w:hAnsi="標楷體" w:hint="eastAsia"/>
        </w:rPr>
        <w:t>大面向盤點提出未來年度整體發展構想及具體作法，經內政部偕同相關部會籌組之均衡城鄉發展跨域推動小組審查通過後，由地方政府依核定計畫之各分項計畫推動期程及經費，循序向相關部會申請補助，計畫所涉部會並應優先予以核定或預為留控補助經費。據內政部統計，均衡城鄉發展推動方案共計核定</w:t>
      </w:r>
      <w:r w:rsidRPr="009D11AD">
        <w:rPr>
          <w:rFonts w:ascii="標楷體" w:eastAsia="標楷體" w:hAnsi="標楷體"/>
        </w:rPr>
        <w:t>17</w:t>
      </w:r>
      <w:r w:rsidRPr="009D11AD">
        <w:rPr>
          <w:rFonts w:ascii="標楷體" w:eastAsia="標楷體" w:hAnsi="標楷體" w:hint="eastAsia"/>
        </w:rPr>
        <w:t>件地方政府提報整體計畫，其中包含</w:t>
      </w:r>
      <w:r w:rsidRPr="009D11AD">
        <w:rPr>
          <w:rFonts w:ascii="標楷體" w:eastAsia="標楷體" w:hAnsi="標楷體"/>
        </w:rPr>
        <w:t>449</w:t>
      </w:r>
      <w:r w:rsidRPr="009D11AD">
        <w:rPr>
          <w:rFonts w:ascii="標楷體" w:eastAsia="標楷體" w:hAnsi="標楷體" w:hint="eastAsia"/>
        </w:rPr>
        <w:t>件分項計畫，預計補助</w:t>
      </w:r>
      <w:r w:rsidRPr="009D11AD">
        <w:rPr>
          <w:rFonts w:ascii="標楷體" w:eastAsia="標楷體" w:hAnsi="標楷體" w:hint="eastAsia"/>
        </w:rPr>
        <w:lastRenderedPageBreak/>
        <w:t>金額</w:t>
      </w:r>
      <w:r w:rsidRPr="009D11AD">
        <w:rPr>
          <w:rFonts w:ascii="標楷體" w:eastAsia="標楷體" w:hAnsi="標楷體"/>
        </w:rPr>
        <w:t>89</w:t>
      </w:r>
      <w:r w:rsidRPr="009D11AD">
        <w:rPr>
          <w:rFonts w:ascii="標楷體" w:eastAsia="標楷體" w:hAnsi="標楷體" w:hint="eastAsia"/>
        </w:rPr>
        <w:t>億餘元，執行結果，計有</w:t>
      </w:r>
      <w:r w:rsidRPr="009D11AD">
        <w:rPr>
          <w:rFonts w:ascii="標楷體" w:eastAsia="標楷體" w:hAnsi="標楷體"/>
        </w:rPr>
        <w:t>130</w:t>
      </w:r>
      <w:r w:rsidRPr="009D11AD">
        <w:rPr>
          <w:rFonts w:ascii="標楷體" w:eastAsia="標楷體" w:hAnsi="標楷體" w:hint="eastAsia"/>
        </w:rPr>
        <w:t>件分項計畫撤案（撤案率</w:t>
      </w:r>
      <w:r w:rsidRPr="009D11AD">
        <w:rPr>
          <w:rFonts w:ascii="標楷體" w:eastAsia="標楷體" w:hAnsi="標楷體"/>
        </w:rPr>
        <w:t>2</w:t>
      </w:r>
      <w:r w:rsidRPr="009D11AD">
        <w:rPr>
          <w:rFonts w:ascii="標楷體" w:eastAsia="標楷體" w:hAnsi="標楷體" w:hint="eastAsia"/>
        </w:rPr>
        <w:t>8.95％），實際補助金額</w:t>
      </w:r>
      <w:r w:rsidRPr="009D11AD">
        <w:rPr>
          <w:rFonts w:ascii="標楷體" w:eastAsia="標楷體" w:hAnsi="標楷體"/>
        </w:rPr>
        <w:t>46</w:t>
      </w:r>
      <w:r w:rsidRPr="009D11AD">
        <w:rPr>
          <w:rFonts w:ascii="標楷體" w:eastAsia="標楷體" w:hAnsi="標楷體" w:hint="eastAsia"/>
        </w:rPr>
        <w:t>億餘元。據內政部營建署「均衡城鄉發展推動方案執行檢討報告書」指出，撤案原因主要係部分分項計畫業以其他名義獲得其他資源補助、部分部會計畫無法配合均衡城鄉方案辦理期程，或以分項計畫無法符合部會補助政策等事由未予核定、縣市政府內部橫向整合不佳致分項計畫預計用地或空間移作他用、社會參與及溝通程度不足造成計畫推動受阻、欠缺相關法規配套影響計畫執行，或地方政府執行量能不足等，致推動情形未如預期；且各縣市計畫實際執行成果，多以基礎硬體建設為主，較忽略產業輔導、人才培訓等軟體面向，導致政策效益有限。嗣行政院於</w:t>
      </w:r>
      <w:r w:rsidRPr="009D11AD">
        <w:rPr>
          <w:rFonts w:ascii="標楷體" w:eastAsia="標楷體" w:hAnsi="標楷體"/>
        </w:rPr>
        <w:t>108</w:t>
      </w:r>
      <w:r w:rsidRPr="009D11AD">
        <w:rPr>
          <w:rFonts w:ascii="標楷體" w:eastAsia="標楷體" w:hAnsi="標楷體" w:hint="eastAsia"/>
        </w:rPr>
        <w:t>年</w:t>
      </w:r>
      <w:r w:rsidRPr="009D11AD">
        <w:rPr>
          <w:rFonts w:ascii="標楷體" w:eastAsia="標楷體" w:hAnsi="標楷體"/>
        </w:rPr>
        <w:t>1</w:t>
      </w:r>
      <w:r w:rsidRPr="009D11AD">
        <w:rPr>
          <w:rFonts w:ascii="標楷體" w:eastAsia="標楷體" w:hAnsi="標楷體" w:hint="eastAsia"/>
        </w:rPr>
        <w:t>月</w:t>
      </w:r>
      <w:r w:rsidRPr="009D11AD">
        <w:rPr>
          <w:rFonts w:ascii="標楷體" w:eastAsia="標楷體" w:hAnsi="標楷體"/>
        </w:rPr>
        <w:t>3</w:t>
      </w:r>
      <w:r w:rsidRPr="009D11AD">
        <w:rPr>
          <w:rFonts w:ascii="標楷體" w:eastAsia="標楷體" w:hAnsi="標楷體" w:hint="eastAsia"/>
        </w:rPr>
        <w:t>日核定公布「地方創生國家戰略計畫」，擇定</w:t>
      </w:r>
      <w:r w:rsidRPr="009D11AD">
        <w:rPr>
          <w:rFonts w:ascii="標楷體" w:eastAsia="標楷體" w:hAnsi="標楷體"/>
        </w:rPr>
        <w:t>134</w:t>
      </w:r>
      <w:r w:rsidRPr="009D11AD">
        <w:rPr>
          <w:rFonts w:ascii="標楷體" w:eastAsia="標楷體" w:hAnsi="標楷體" w:hint="eastAsia"/>
        </w:rPr>
        <w:t>個人口外流嚴重、地方經濟急需振興之鄉鎮市區為優先推動地區，由行政院地方創生會報工作會議依地方創生事業提案內容媒合、協調由中央部會性質相近之既有計畫（或基金）提供所需經費或行政資源。惟因各部會計畫（基金）經費運用有其各自政策目標及主管權責需要，無法配合對接地方創生事業需求，造成地方政府預期補助落空，不利事業提案推動，經國家發展委員會修正調整相關推動措施，並研提「加速推動地方創生計畫（110年至114年）」，經行政院109年10月5日核定，於中央政府前瞻基礎建設計畫特別預算「城鄉建設」項下匡列5年60億元經費，由各部會配合計畫分工編列專屬預算用以支援經行政院地方創生會報核定之地方創生事業提案，並增加由相關部會預為原則性審查之作業流程，俾於會報核定前確認事業提案之可行性、必要性及經費合理性等，以加速跨部會資源協商整合及提案後續執行。截至111年10月底止，行政院地方創生會報共計核定通過95案地方創生計畫（涵蓋70處優先推動地區），內含681項事業提案，其中613項業經媒合由相關部會既有計畫（基金）或加速推動地方創生計畫（110年至114年）經費支援，媒合經費上限約50.25億元。上開計畫執行情形，據本部歷年查核發現，有部分地方創生事業提案因實際獲配補助金額與預期差異甚鉅，不符地方需求、提案事業受限於法令規範未能繼續執行計畫項目、提案單位資格未符部會補助計畫規定、社區參與意願不足或未取得共識、部會計畫受理申請期程未能搭配地方提案進度等原因而撤案或暫緩向部會申請資源；另部分地方創生計畫雖以地方產業為核心規劃相關配套基礎建設，惟軟、硬體等核心事業提案未能搭配推動，致削弱原預期以配套基礎建設促成地方產業發展之計畫效益，或部分事業提案係以改善城鎮風貌、活化地方文化資產為主要目標，雖對於提升地方生活環境品質或保存文化資源有其具體成果，惟尚需地方政府或民間配合持續投入相關研發、行銷、培力等關鍵軟體資源，方能達成運用該等硬體建設提供產業推廣活動需求，進而帶動地方產業發展之預期效益；又據國家發展委員會統計，截至111年3月底止，134處地方創生優先推動地區中，仍計有47處（35.07％）尚未提報地方創生計畫等，顯示我國地方創生政策之推動，仍存有部會資源未能充分銜接、提案成熟度不足、法規政策尚待調適、現階段投入硬體建設能否帶動地方特色產業發展之效益未明，及資源應優先挹注地區提案推動進程緩慢等問題。鑑於政府已投入均衡城鄉發展經費46億元，估計108至111年度總預算暨附屬單位預算及特別預算等累計挹注經費高達20億元，為提升該</w:t>
      </w:r>
      <w:r w:rsidRPr="009D11AD">
        <w:rPr>
          <w:rFonts w:ascii="標楷體" w:eastAsia="標楷體" w:hAnsi="標楷體" w:hint="eastAsia"/>
        </w:rPr>
        <w:lastRenderedPageBreak/>
        <w:t>等財務資源投入效益，允宜借鏡過往推動均衡城鄉發展經驗，避免計畫執行結果僅淪為基礎建設興修、老舊地方文化建物活化，或僅為透過中央財政補貼所創造出之短暫活化假象等以硬體建物興修或活化為主，反而弱化欲加速地方產業創新升級、帶動地方發展及人口回流之計畫目標，督促國家發展委員會及中央相關部會協助地方政府落實需求盤點、發掘地方DNA、凝聚共識願景，進而形成具體事業提案，並以規劃之地方產業為核心推動重點，輔以法規調適、研發行銷、社區整合、人員培力、技術引入等軟性資源及配套基礎硬體建設，引導計畫補助資源適時、適地、適性投入，以提升經費運用成效。</w:t>
      </w:r>
    </w:p>
    <w:p w14:paraId="171B1F55" w14:textId="77777777" w:rsidR="009009F6" w:rsidRPr="009D11AD" w:rsidRDefault="009009F6" w:rsidP="00860D54">
      <w:pPr>
        <w:pStyle w:val="2"/>
        <w:overflowPunct w:val="0"/>
        <w:spacing w:beforeLines="20" w:before="72" w:afterLines="20" w:after="72" w:line="424"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（九）　政府為確保供水穩定，持續推動水資源建設開發及管理，已累積增加備援水量百萬餘噸及大幅降低自來水漏水率，惟新興水源開發計畫因規劃未臻周延或用地取得困難而減作，再生水及海淡水製水成本遠高於自來水價格，恐影響使用意願或增加自來水事業單位營運負擔，又水庫庫容維持成效待提升，允宜督促研謀妥處，強化供水韌性及達成穩定供水目標，以提升財務效能。</w:t>
      </w:r>
    </w:p>
    <w:p w14:paraId="068DAC04" w14:textId="56DA88C1" w:rsidR="009009F6" w:rsidRPr="009D11AD" w:rsidRDefault="009009F6" w:rsidP="00DA2751">
      <w:pPr>
        <w:overflowPunct w:val="0"/>
        <w:spacing w:line="416" w:lineRule="exact"/>
        <w:ind w:firstLineChars="200" w:firstLine="480"/>
        <w:jc w:val="both"/>
        <w:rPr>
          <w:rFonts w:ascii="標楷體" w:eastAsia="標楷體" w:hAnsi="標楷體"/>
          <w:b/>
          <w:sz w:val="28"/>
          <w:szCs w:val="28"/>
        </w:rPr>
      </w:pPr>
      <w:r w:rsidRPr="009D11AD">
        <w:rPr>
          <w:rFonts w:ascii="標楷體" w:eastAsia="標楷體" w:hAnsi="標楷體" w:hint="eastAsia"/>
        </w:rPr>
        <w:t>近年來受全球暖化與氣候變遷影響，極端氣候災害（乾旱、短延時強降雨）事件變得更加頻繁，對於我國水資源環境及供給帶來極大的衝擊與挑戰。依經濟部水利署與國家災害防救科技中心團隊模擬110至129年臺灣降雨情境，預估豐水期（5至10月）降雨量減少5％至7％，枯水期（11至4月）降雨量減少9％至14％，呈「豐偏枯、枯愈枯」趨勢，尤以豐水期與枯水期雨量差異懸殊之中、南部地區衝擊更巨。又據經濟部提經行政院於110年8月6日核定之「臺灣各區水資源經理基本計畫」，推估125年（目標年）除東部區域及離島外，其餘包括北部、中部及南部等各區域公共用水需求均呈上升趨勢，新竹市、苗栗縣、臺中市及彰化縣等4個市縣供水將存有缺口，尤其南部區域（嘉義縣、臺南市、高雄市、屏東縣）供水缺口達每日39.1萬噸。政府為加強水資源利用效益及區域水資源調度，滿足水資源需求，確保供水穩定，依開源、節流、調度、備援及管理等5大策略，賡續推動執行中之水資源建設開發及管理相關計畫，截至110年底止，累計編列預算數1,374億餘元，累計實現數1,325億餘元，已實現比率96.43％，在增加備援水量方面，由107年底每日增加3.3萬噸，至110年底累積每日增加148萬噸；在執行降低漏水率計畫方面，110年度自來水漏水率13.59％較101年底之19.55％降低5.96個百分點。政府為創造多元水源，增加供水與備援能力，於中央政府前瞻基礎建設計畫（下稱前瞻計畫）之水環境建設計畫，以「水與發展」建設主軸規劃新水庫或新興水源等7項開發計畫，計畫總經費275億餘元，截至110年底止已編列預算183億餘元，惟經濟部提報之「防災及備援水井建置計畫」於辦理現地調查後，部分規劃水井之出水量低、水質不佳、用地取得問題等，修正減作部分工程，備援供水量由每日15萬噸，下修為8萬噸，減幅46.67％；又「伏流水開發工程計畫」之苗栗後龍溪及臺東利嘉溪等2處伏流水工程，因民眾反對開發或用地取得困難，取消減作該2項工程，原訂提供苗栗地區常態供水量每日1.3萬噸，下修為0.3萬噸，減幅高達76.92％；另內政部自102年</w:t>
      </w:r>
      <w:r w:rsidR="002E59B9">
        <w:rPr>
          <w:rFonts w:ascii="標楷體" w:eastAsia="標楷體" w:hAnsi="標楷體" w:hint="eastAsia"/>
        </w:rPr>
        <w:t>度</w:t>
      </w:r>
      <w:r w:rsidRPr="009D11AD">
        <w:rPr>
          <w:rFonts w:ascii="標楷體" w:eastAsia="標楷體" w:hAnsi="標楷體" w:hint="eastAsia"/>
        </w:rPr>
        <w:t>起推動「公共污水處理廠放流水回收再利用示範推動方</w:t>
      </w:r>
      <w:r w:rsidRPr="009D11AD">
        <w:rPr>
          <w:rFonts w:ascii="標楷體" w:eastAsia="標楷體" w:hAnsi="標楷體" w:hint="eastAsia"/>
        </w:rPr>
        <w:lastRenderedPageBreak/>
        <w:t>案」（期程</w:t>
      </w:r>
      <w:r w:rsidR="002E59B9">
        <w:rPr>
          <w:rFonts w:ascii="標楷體" w:eastAsia="標楷體" w:hAnsi="標楷體" w:hint="eastAsia"/>
        </w:rPr>
        <w:t>為</w:t>
      </w:r>
      <w:r w:rsidRPr="009D11AD">
        <w:rPr>
          <w:rFonts w:ascii="標楷體" w:eastAsia="標楷體" w:hAnsi="標楷體" w:hint="eastAsia"/>
        </w:rPr>
        <w:t>102至109年</w:t>
      </w:r>
      <w:r w:rsidR="002E59B9">
        <w:rPr>
          <w:rFonts w:ascii="標楷體" w:eastAsia="標楷體" w:hAnsi="標楷體" w:hint="eastAsia"/>
        </w:rPr>
        <w:t>度</w:t>
      </w:r>
      <w:r w:rsidRPr="009D11AD">
        <w:rPr>
          <w:rFonts w:ascii="標楷體" w:eastAsia="標楷體" w:hAnsi="標楷體" w:hint="eastAsia"/>
        </w:rPr>
        <w:t>，規劃興建6座再生水廠），前瞻計畫於106年</w:t>
      </w:r>
      <w:r w:rsidR="002E59B9">
        <w:rPr>
          <w:rFonts w:ascii="標楷體" w:eastAsia="標楷體" w:hAnsi="標楷體" w:hint="eastAsia"/>
        </w:rPr>
        <w:t>度</w:t>
      </w:r>
      <w:r w:rsidRPr="009D11AD">
        <w:rPr>
          <w:rFonts w:ascii="標楷體" w:eastAsia="標楷體" w:hAnsi="標楷體" w:hint="eastAsia"/>
        </w:rPr>
        <w:t>亦編列「再生水工程推動計畫」（期程</w:t>
      </w:r>
      <w:r w:rsidR="002E59B9">
        <w:rPr>
          <w:rFonts w:ascii="標楷體" w:eastAsia="標楷體" w:hAnsi="標楷體" w:hint="eastAsia"/>
        </w:rPr>
        <w:t>為</w:t>
      </w:r>
      <w:r w:rsidRPr="009D11AD">
        <w:rPr>
          <w:rFonts w:ascii="標楷體" w:eastAsia="標楷體" w:hAnsi="標楷體" w:hint="eastAsia"/>
        </w:rPr>
        <w:t>107至112年</w:t>
      </w:r>
      <w:r w:rsidR="002E59B9">
        <w:rPr>
          <w:rFonts w:ascii="標楷體" w:eastAsia="標楷體" w:hAnsi="標楷體" w:hint="eastAsia"/>
        </w:rPr>
        <w:t>度</w:t>
      </w:r>
      <w:r w:rsidRPr="009D11AD">
        <w:rPr>
          <w:rFonts w:ascii="標楷體" w:eastAsia="標楷體" w:hAnsi="標楷體" w:hint="eastAsia"/>
        </w:rPr>
        <w:t>，規劃興建3座再生水廠），嗣於110年</w:t>
      </w:r>
      <w:r w:rsidR="002E59B9">
        <w:rPr>
          <w:rFonts w:ascii="標楷體" w:eastAsia="標楷體" w:hAnsi="標楷體" w:hint="eastAsia"/>
        </w:rPr>
        <w:t>度</w:t>
      </w:r>
      <w:r w:rsidRPr="009D11AD">
        <w:rPr>
          <w:rFonts w:ascii="標楷體" w:eastAsia="標楷體" w:hAnsi="標楷體" w:hint="eastAsia"/>
        </w:rPr>
        <w:t>將前開方案及計畫整合為「公共污水處理廠再生水推動計畫」（期程</w:t>
      </w:r>
      <w:r w:rsidR="002E59B9">
        <w:rPr>
          <w:rFonts w:ascii="標楷體" w:eastAsia="標楷體" w:hAnsi="標楷體" w:hint="eastAsia"/>
        </w:rPr>
        <w:t>為</w:t>
      </w:r>
      <w:r w:rsidRPr="009D11AD">
        <w:rPr>
          <w:rFonts w:ascii="標楷體" w:eastAsia="標楷體" w:hAnsi="標楷體" w:hint="eastAsia"/>
        </w:rPr>
        <w:t>110至115年</w:t>
      </w:r>
      <w:r w:rsidR="002E59B9">
        <w:rPr>
          <w:rFonts w:ascii="標楷體" w:eastAsia="標楷體" w:hAnsi="標楷體" w:hint="eastAsia"/>
        </w:rPr>
        <w:t>度</w:t>
      </w:r>
      <w:r w:rsidRPr="009D11AD">
        <w:rPr>
          <w:rFonts w:ascii="標楷體" w:eastAsia="標楷體" w:hAnsi="標楷體" w:hint="eastAsia"/>
        </w:rPr>
        <w:t>，規劃興建11座再生水廠）期擴大再生水利用，因再生水水價較高及用水契約協商困難等，截至110年底止，僅完成鳳山、臨海及永康等3座再生水廠，每日供應再生水8.6萬噸，與原規劃109年度6座處理示範案均完工並每日供應再生水28萬噸，尚存相當差距；復經濟部原規劃列入前瞻計畫之「雙溪生態水庫工程」及「天花湖生態水庫工程」，因當地民眾及環保團體等仍有疑慮而擱置，辦理時程未定，恐影響所在區域供水，顯示新興水資源建設計畫間有因先期規劃欠周、工程完成率欠佳及用地取得困難等，致執行進度未如預期。復經分析比較經濟部及內政部推動各項新興水資源開發計畫，人工湖及伏流水之原水成本分別為12.40元/噸及14.42元/噸，尚低於103年7月完工之湖山水庫15.70元/噸，再生水則因各廠商管線或水質要求等差異，成本介於18.93元/噸至30.92元/噸，海淡水成本最高為36.10元/噸。另政府為因應氣候變遷與逐年需求增加的產業用水，陸續規劃興建海水淡化廠，惟海水淡化廠產水過程耗能，平均產水1公噸，需耗4.25度電，又高鹽度鹵水轉化為可用物質之技術尚未成熟，鹵水排放將衍生影響海洋環境問題；且國內平均自來水價格約11元/噸，對照上揭新興水資源之原水成本介於12.40元/噸至36.10元/噸，差異甚鉅，恐影響使用意願或增加自來水事業單位營運負擔。又經濟部水利署為減少水庫淤積、延長水庫壽命及提升供水穩定，陳報經濟部於105年8月核定「水庫庫容有效維持綱要計畫」（下稱庫容綱要計畫），計畫總經費528億餘元，主要擇選供水及淤積率超過6％之石門、明德、德基、霧社、日月潭、仁義潭、白河、曾文、烏山頭、南化、阿公店、澄清湖及牡丹等13座水庫列為重點追蹤改善標的，期於長期（111至120年）達到水庫泥砂進出平衡，維持水庫有效庫容之目標；政府於前瞻計畫中亦推動「加強水庫集水區保育治理計畫」，預計於106至114年</w:t>
      </w:r>
      <w:r w:rsidR="002E59B9">
        <w:rPr>
          <w:rFonts w:ascii="標楷體" w:eastAsia="標楷體" w:hAnsi="標楷體" w:hint="eastAsia"/>
        </w:rPr>
        <w:t>度</w:t>
      </w:r>
      <w:r w:rsidRPr="009D11AD">
        <w:rPr>
          <w:rFonts w:ascii="標楷體" w:eastAsia="標楷體" w:hAnsi="標楷體" w:hint="eastAsia"/>
        </w:rPr>
        <w:t>投入總經費120億餘元，辦理水庫集水區崩塌地治理、植生保育及水質改善等，惟截至110年底止，國內95座水庫設計蓄水總容量29.21億噸，目前總容量20.59億噸，整體水庫平均淤積率29.50％，仍較104年底庫容綱要計畫推展前之淤積率28.34％上升；比較庫容綱要計畫列管13座水庫改善情形，霧社、白河、南化及烏山頭等4座水庫之淤積率超逾4成，且石門、德基、霧社、日月潭、仁義潭、南化、阿公店及澄清湖等8座水庫之淤積率亦較104年底庫容綱要計畫推動前上升，主要係庫區清淤標案流標多次影響工程進度，或受限於氣候條件無法進行陸挖或水力排砂等所致，水庫庫容維持執行成效尚待提升。為確保我國水資源永續發展，允宜督促權責機關審酌過去推動水資源建設所遭遇問題，定期盤點評估各項新興水源開發計畫之成本效益，妥擬開發方向及配套措施，並研謀有效水庫清淤改善措施，以維水庫之永續營運，強化供水韌性及達成供水穩定效益，以提升財務效能。</w:t>
      </w:r>
    </w:p>
    <w:p w14:paraId="040CC869" w14:textId="77777777" w:rsidR="009009F6" w:rsidRPr="009D11AD" w:rsidRDefault="009009F6" w:rsidP="00900E58">
      <w:pPr>
        <w:pStyle w:val="2"/>
        <w:overflowPunct w:val="0"/>
        <w:spacing w:beforeLines="20" w:before="72" w:afterLines="20" w:after="72" w:line="44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（十）　政府為因應產業發展需求及建構南臺灣科技廊帶，陸續核定增設科學園區，近年營業額屢創新高，帶動國內經濟成長，惟已設置之部分園區土地出</w:t>
      </w:r>
      <w:r w:rsidRPr="009D11AD">
        <w:rPr>
          <w:rFonts w:hAnsi="標楷體" w:hint="eastAsia"/>
          <w:b/>
          <w:color w:val="000000" w:themeColor="text1"/>
          <w:sz w:val="28"/>
          <w:szCs w:val="28"/>
        </w:rPr>
        <w:lastRenderedPageBreak/>
        <w:t>租率待提升，或營運呈現短絀，又新設園區規劃自籌率偏低，且潛存環境影響評估審查結論影響廠商進駐意願之疑慮，另規劃發展產業主軸與地方產業結構存有落差，恐難以形成產業聚落，允宜督促妥適因應，及強化招商引資措施，以增進園區設置財務效能。</w:t>
      </w:r>
    </w:p>
    <w:p w14:paraId="79710509" w14:textId="673DCFDA" w:rsidR="009009F6" w:rsidRPr="009D11AD" w:rsidRDefault="009009F6">
      <w:pPr>
        <w:overflowPunct w:val="0"/>
        <w:spacing w:line="424" w:lineRule="exact"/>
        <w:ind w:firstLineChars="200" w:firstLine="480"/>
        <w:jc w:val="both"/>
        <w:rPr>
          <w:rFonts w:ascii="標楷體" w:eastAsia="標楷體" w:hAnsi="標楷體"/>
          <w:b/>
          <w:sz w:val="28"/>
          <w:szCs w:val="28"/>
        </w:rPr>
      </w:pPr>
      <w:r w:rsidRPr="009D11AD">
        <w:rPr>
          <w:rFonts w:ascii="標楷體" w:eastAsia="標楷體" w:hAnsi="標楷體" w:hint="eastAsia"/>
        </w:rPr>
        <w:t>政府為滿足產業發展需求以及區域均衡發展，陸續於新竹、中部及南部開發科學園區，截至111年10月底止，已設置新竹、竹南、銅鑼、新竹生醫、宜蘭、龍潭、臺南、高雄、臺中、虎尾、后里、中興、二林等13處園區。據</w:t>
      </w:r>
      <w:r w:rsidR="001B4A7A" w:rsidRPr="009D11AD">
        <w:rPr>
          <w:rFonts w:ascii="標楷體" w:eastAsia="標楷體" w:hAnsi="標楷體" w:hint="eastAsia"/>
        </w:rPr>
        <w:t>國家科學及技術委員會</w:t>
      </w:r>
      <w:r w:rsidRPr="009D11AD">
        <w:rPr>
          <w:rFonts w:ascii="標楷體" w:eastAsia="標楷體" w:hAnsi="標楷體" w:hint="eastAsia"/>
        </w:rPr>
        <w:t>統計，科學園區近年營業額屢創新高，109及110年度分別達3兆及3.7兆元，111年上半年營業額更較前一年度同期成長19.63％，成功帶動國內經濟成長，更使臺灣半導體及光電產業於國際上居重要地位。近年因美中貿易衝突，及受新型冠狀病毒肺炎（COVID－19）疫情影響，促使海外臺商積極返臺設廠，儲備科學園區用地刻不容緩，</w:t>
      </w:r>
      <w:r w:rsidR="001B4A7A" w:rsidRPr="009D11AD">
        <w:rPr>
          <w:rFonts w:ascii="標楷體" w:eastAsia="標楷體" w:hAnsi="標楷體" w:hint="eastAsia"/>
        </w:rPr>
        <w:t>國家科學及技術委員會</w:t>
      </w:r>
      <w:r w:rsidRPr="009D11AD">
        <w:rPr>
          <w:rFonts w:ascii="標楷體" w:eastAsia="標楷體" w:hAnsi="標楷體" w:hint="eastAsia"/>
        </w:rPr>
        <w:t>改制前科技部為於新竹地區發展新創事業、設置晶圓量產廠，以維持半導體產業全球領先地位，及建構南臺灣科技廊帶，擴散臺南園區及高雄園區成熟產業聚落效應，於108年12月至111年1月間，陸續陳報行政院核定開發新竹科學園區X基地、寶山2期擴建，中部科學園區臺中園區2期擴建，及南部科學園區橋頭園區、臺南園區3期擴建、屏東園區、嘉義園區等7處園區，核定開發經費1,672億餘元，預計新增705.49公頃科學園區用地，並評估將提供4萬個以上就業機會及新增1.7兆元以上之年產值。據</w:t>
      </w:r>
      <w:r w:rsidR="001B4A7A" w:rsidRPr="009D11AD">
        <w:rPr>
          <w:rFonts w:ascii="標楷體" w:eastAsia="標楷體" w:hAnsi="標楷體" w:hint="eastAsia"/>
        </w:rPr>
        <w:t>國家科學及技術委員會</w:t>
      </w:r>
      <w:r w:rsidRPr="009D11AD">
        <w:rPr>
          <w:rFonts w:ascii="標楷體" w:eastAsia="標楷體" w:hAnsi="標楷體" w:hint="eastAsia"/>
        </w:rPr>
        <w:t>統計，截至111年10月底止，龍潭、新竹生醫、銅鑼、宜蘭、虎尾、二林、中興、臺南、高雄等9處園區，尚有未出租土地145.58公頃，占整體園區可租用土地1,893.47公頃之7.69％，未出租率較高者依序為二林園區（60.08％）、宜蘭園區（55.62％）及中興園區（49.94％）、銅鑼園區（28.68％），主要係土地開發時，環境影響評估審查（下稱環評審查）結論對於水電量、產業類別，及是否得以量產等多有限制，影響廠商進駐意願，致後續土地出租情形不如預期，其中宜蘭園區因土地未能有效去化，前經國家科學及技術委員會新竹科學園區管理局（下稱竹科管理局）重新申請環評審查作業，新增引進低污染創業產業類別並開放量產，經環境保護署於109年1月通過，近5年（106年10月至111年10月）未出租率已由95.56％降至55.62％，其餘銅鑼、二林與中興園區未出租率分別僅下降17.94個百分點、22.61個百分點及2.99個百分點。按前揭核定開發中園區，亦將面臨環評審查結論影響進駐產業類別問題，如寶山2期擴建環評審查承諾至119年將100％使用再生水、臺南園區3期擴建則承諾全區用水回收率提高至82％，並自主加嚴放流水標準等，惟該2園區規劃引進之產業類別，皆為高耗水、高耗能之半導體產業，恐將影響廠商進駐意願。另新設科學園區將以半導體、智慧機械、智慧農醫等為主軸，惟據行政院主計總處統計資料顯示，嘉義縣主力產業為化學材料製造業與食品及飼品製造業，屏東縣則為食品及飼品製造業和零售業，其產業結構與新設園區規劃發展之精準健康、智慧載具、智慧農業及智慧農醫、綠色材料、太空科技存有落差，於缺乏相關人才及</w:t>
      </w:r>
      <w:r w:rsidRPr="009D11AD">
        <w:rPr>
          <w:rFonts w:ascii="標楷體" w:eastAsia="標楷體" w:hAnsi="標楷體" w:hint="eastAsia"/>
        </w:rPr>
        <w:lastRenderedPageBreak/>
        <w:t>上下游供應鏈之情況下，恐難以形成產業聚落。又</w:t>
      </w:r>
      <w:r w:rsidRPr="009D11AD">
        <w:rPr>
          <w:rFonts w:ascii="標楷體" w:eastAsia="標楷體" w:hAnsi="標楷體"/>
        </w:rPr>
        <w:t>109</w:t>
      </w:r>
      <w:r w:rsidRPr="009D11AD">
        <w:rPr>
          <w:rFonts w:ascii="標楷體" w:eastAsia="標楷體" w:hAnsi="標楷體" w:hint="eastAsia"/>
        </w:rPr>
        <w:t>及</w:t>
      </w:r>
      <w:r w:rsidRPr="009D11AD">
        <w:rPr>
          <w:rFonts w:ascii="標楷體" w:eastAsia="標楷體" w:hAnsi="標楷體"/>
        </w:rPr>
        <w:t>110</w:t>
      </w:r>
      <w:r w:rsidRPr="009D11AD">
        <w:rPr>
          <w:rFonts w:ascii="標楷體" w:eastAsia="標楷體" w:hAnsi="標楷體" w:hint="eastAsia"/>
        </w:rPr>
        <w:t>年度科學園區作業基金之整體賸餘，分別為</w:t>
      </w:r>
      <w:r w:rsidRPr="009D11AD">
        <w:rPr>
          <w:rFonts w:ascii="標楷體" w:eastAsia="標楷體" w:hAnsi="標楷體"/>
        </w:rPr>
        <w:t>40</w:t>
      </w:r>
      <w:r w:rsidRPr="009D11AD">
        <w:rPr>
          <w:rFonts w:ascii="標楷體" w:eastAsia="標楷體" w:hAnsi="標楷體" w:hint="eastAsia"/>
        </w:rPr>
        <w:t>億</w:t>
      </w:r>
      <w:r w:rsidRPr="009D11AD">
        <w:rPr>
          <w:rFonts w:ascii="標楷體" w:eastAsia="標楷體" w:hAnsi="標楷體"/>
        </w:rPr>
        <w:t>6,708</w:t>
      </w:r>
      <w:r w:rsidR="004979F3">
        <w:rPr>
          <w:rFonts w:ascii="標楷體" w:eastAsia="標楷體" w:hAnsi="標楷體" w:hint="eastAsia"/>
        </w:rPr>
        <w:t>萬</w:t>
      </w:r>
      <w:r w:rsidRPr="009D11AD">
        <w:rPr>
          <w:rFonts w:ascii="標楷體" w:eastAsia="標楷體" w:hAnsi="標楷體" w:hint="eastAsia"/>
        </w:rPr>
        <w:t>餘元及</w:t>
      </w:r>
      <w:r w:rsidRPr="009D11AD">
        <w:rPr>
          <w:rFonts w:ascii="標楷體" w:eastAsia="標楷體" w:hAnsi="標楷體"/>
        </w:rPr>
        <w:t>53</w:t>
      </w:r>
      <w:r w:rsidRPr="009D11AD">
        <w:rPr>
          <w:rFonts w:ascii="標楷體" w:eastAsia="標楷體" w:hAnsi="標楷體" w:hint="eastAsia"/>
        </w:rPr>
        <w:t>億</w:t>
      </w:r>
      <w:r w:rsidRPr="009D11AD">
        <w:rPr>
          <w:rFonts w:ascii="標楷體" w:eastAsia="標楷體" w:hAnsi="標楷體"/>
        </w:rPr>
        <w:t>9,789</w:t>
      </w:r>
      <w:r w:rsidR="004979F3">
        <w:rPr>
          <w:rFonts w:ascii="標楷體" w:eastAsia="標楷體" w:hAnsi="標楷體" w:hint="eastAsia"/>
        </w:rPr>
        <w:t>萬</w:t>
      </w:r>
      <w:r w:rsidRPr="009D11AD">
        <w:rPr>
          <w:rFonts w:ascii="標楷體" w:eastAsia="標楷體" w:hAnsi="標楷體" w:hint="eastAsia"/>
        </w:rPr>
        <w:t>餘元，惟</w:t>
      </w:r>
      <w:r w:rsidRPr="009D11AD">
        <w:rPr>
          <w:rFonts w:ascii="標楷體" w:eastAsia="標楷體" w:hAnsi="標楷體"/>
        </w:rPr>
        <w:t>110</w:t>
      </w:r>
      <w:r w:rsidRPr="009D11AD">
        <w:rPr>
          <w:rFonts w:ascii="標楷體" w:eastAsia="標楷體" w:hAnsi="標楷體" w:hint="eastAsia"/>
        </w:rPr>
        <w:t>年度尚有銅鑼、宜蘭、新竹生醫、虎尾、后里、二林、中興及高雄等</w:t>
      </w:r>
      <w:r w:rsidRPr="009D11AD">
        <w:rPr>
          <w:rFonts w:ascii="標楷體" w:eastAsia="標楷體" w:hAnsi="標楷體"/>
        </w:rPr>
        <w:t>8</w:t>
      </w:r>
      <w:r w:rsidRPr="009D11AD">
        <w:rPr>
          <w:rFonts w:ascii="標楷體" w:eastAsia="標楷體" w:hAnsi="標楷體" w:hint="eastAsia"/>
        </w:rPr>
        <w:t>處園區呈現短絀，主要係園區尚有部分土地未出租，或引進產業之產值較籌設階段規劃之產業類別為低，致管理費、污水處理費等收入較預期減少，或基於會計原則規定需攤提折舊費用等所致。據竹科管理局於</w:t>
      </w:r>
      <w:r w:rsidRPr="009D11AD">
        <w:rPr>
          <w:rFonts w:ascii="標楷體" w:eastAsia="標楷體" w:hAnsi="標楷體"/>
        </w:rPr>
        <w:t>111</w:t>
      </w:r>
      <w:r w:rsidRPr="009D11AD">
        <w:rPr>
          <w:rFonts w:ascii="標楷體" w:eastAsia="標楷體" w:hAnsi="標楷體" w:hint="eastAsia"/>
        </w:rPr>
        <w:t>年</w:t>
      </w:r>
      <w:r w:rsidRPr="009D11AD">
        <w:rPr>
          <w:rFonts w:ascii="標楷體" w:eastAsia="標楷體" w:hAnsi="標楷體"/>
        </w:rPr>
        <w:t>4</w:t>
      </w:r>
      <w:r w:rsidRPr="009D11AD">
        <w:rPr>
          <w:rFonts w:ascii="標楷體" w:eastAsia="標楷體" w:hAnsi="標楷體" w:hint="eastAsia"/>
        </w:rPr>
        <w:t>月提出之「</w:t>
      </w:r>
      <w:r w:rsidRPr="009D11AD">
        <w:rPr>
          <w:rFonts w:ascii="標楷體" w:eastAsia="標楷體" w:hAnsi="標楷體"/>
        </w:rPr>
        <w:t>110</w:t>
      </w:r>
      <w:r w:rsidRPr="009D11AD">
        <w:rPr>
          <w:rFonts w:ascii="標楷體" w:eastAsia="標楷體" w:hAnsi="標楷體" w:hint="eastAsia"/>
        </w:rPr>
        <w:t>年度園區作業基金營運與風險控管指標系統評分報告」，除竹科管理局財務狀況顯示良好外，中部及南部科學園區管理局因部分園區尚處於開發階段，負債比率分別達95.81％及69.06％，財務狀況燈號皆為黃燈（風險較高）；又前揭核定新設及擴建園區之開發經費來源皆為科學園區作業基金，除寶山2期擴建可完全自償外，其餘自償率介於35.84％至97.23％間，其中橋頭園區、嘉義園區及屏東園區，自償率各35.84％、38.97％及39.68％，均遠低於科學園區整體核定自償率91.67％，恐加重基金財務負擔。為推動我國科技產業配置及長遠發展，允宜督促權責機關妥適檢討園區開發目標，整體規劃引進產業類別，以提升園區自償率及符合環評審查條件，暨強化招商引資措施，增加廠商進駐意願，以帶動地方產業升級，增進園區設置財務效能。</w:t>
      </w:r>
    </w:p>
    <w:p w14:paraId="7FDB2081" w14:textId="0D05E087" w:rsidR="009009F6" w:rsidRPr="009D11AD" w:rsidRDefault="009009F6" w:rsidP="00900E58">
      <w:pPr>
        <w:pStyle w:val="2"/>
        <w:overflowPunct w:val="0"/>
        <w:spacing w:beforeLines="20" w:before="72" w:afterLines="20" w:after="72" w:line="440" w:lineRule="exact"/>
        <w:ind w:left="0" w:firstLineChars="200" w:firstLine="561"/>
        <w:rPr>
          <w:rFonts w:hAnsi="標楷體"/>
          <w:b/>
          <w:color w:val="000000" w:themeColor="text1"/>
          <w:sz w:val="28"/>
          <w:szCs w:val="28"/>
        </w:rPr>
      </w:pPr>
      <w:r w:rsidRPr="00324FDD">
        <w:rPr>
          <w:rFonts w:hAnsi="標楷體" w:hint="eastAsia"/>
          <w:b/>
          <w:color w:val="000000" w:themeColor="text1"/>
          <w:sz w:val="28"/>
          <w:szCs w:val="28"/>
        </w:rPr>
        <w:t>（十一）　政府為落實行的正義及交通平權政策目標，持續因地制宜精進偏鄉公共運輸服務，惟部分偏鄉地區公路公共運輸空間服務涵蓋率未達目標值，部分偏遠服務路線營運績效欠佳，又補助購</w:t>
      </w:r>
      <w:r w:rsidR="00D441FD" w:rsidRPr="00324FDD">
        <w:rPr>
          <w:rFonts w:hAnsi="標楷體" w:hint="eastAsia"/>
          <w:b/>
          <w:color w:val="000000" w:themeColor="text1"/>
          <w:sz w:val="28"/>
          <w:szCs w:val="28"/>
        </w:rPr>
        <w:t>（</w:t>
      </w:r>
      <w:r w:rsidRPr="00324FDD">
        <w:rPr>
          <w:rFonts w:hAnsi="標楷體" w:hint="eastAsia"/>
          <w:b/>
          <w:color w:val="000000" w:themeColor="text1"/>
          <w:sz w:val="28"/>
          <w:szCs w:val="28"/>
        </w:rPr>
        <w:t>租</w:t>
      </w:r>
      <w:r w:rsidR="00D441FD" w:rsidRPr="00324FDD">
        <w:rPr>
          <w:rFonts w:hAnsi="標楷體" w:hint="eastAsia"/>
          <w:b/>
          <w:color w:val="000000" w:themeColor="text1"/>
          <w:sz w:val="28"/>
          <w:szCs w:val="28"/>
        </w:rPr>
        <w:t>）</w:t>
      </w:r>
      <w:r w:rsidRPr="00324FDD">
        <w:rPr>
          <w:rFonts w:hAnsi="標楷體" w:hint="eastAsia"/>
          <w:b/>
          <w:color w:val="000000" w:themeColor="text1"/>
          <w:sz w:val="28"/>
          <w:szCs w:val="28"/>
        </w:rPr>
        <w:t>車、交通費或免費接駁服務等措施，多因限定用途及缺乏上位行政協調機制，致法規之訂修及整合進度遲滯，允宜督促通盤統整偏鄉公共運輸服務資源，積極進行法規調適，並善用資通訊科技調派服務，俾使政府資源妥適配置，增進財務效能。</w:t>
      </w:r>
    </w:p>
    <w:p w14:paraId="147AE6FB" w14:textId="1A54DEFD" w:rsidR="009009F6" w:rsidRPr="009D11AD" w:rsidRDefault="009009F6" w:rsidP="00900E58">
      <w:pPr>
        <w:overflowPunct w:val="0"/>
        <w:spacing w:line="430" w:lineRule="exact"/>
        <w:ind w:firstLineChars="200" w:firstLine="480"/>
        <w:jc w:val="both"/>
        <w:rPr>
          <w:rFonts w:ascii="標楷體" w:eastAsia="標楷體" w:hAnsi="標楷體"/>
          <w:b/>
          <w:sz w:val="28"/>
          <w:szCs w:val="28"/>
        </w:rPr>
      </w:pPr>
      <w:r w:rsidRPr="009D11AD">
        <w:rPr>
          <w:rFonts w:ascii="標楷體" w:eastAsia="標楷體" w:hAnsi="標楷體" w:hint="eastAsia"/>
        </w:rPr>
        <w:t>政府為提高偏鄉地區公路公共運輸服務空間涵蓋率，均衡區域發展，強化公共運輸競爭力及提升服務品質，期改善偏遠地區基本民行等問題，推行「公路公共運輸服務升級計畫（110－113年）</w:t>
      </w:r>
      <w:r w:rsidRPr="00CE57F9">
        <w:rPr>
          <w:rFonts w:ascii="標楷體" w:eastAsia="標楷體" w:hAnsi="標楷體" w:hint="eastAsia"/>
        </w:rPr>
        <w:t>」</w:t>
      </w:r>
      <w:r w:rsidR="005F7CE4" w:rsidRPr="00CE57F9">
        <w:rPr>
          <w:rFonts w:ascii="標楷體" w:eastAsia="標楷體" w:hAnsi="標楷體" w:hint="eastAsia"/>
        </w:rPr>
        <w:t>（下稱公運計畫）</w:t>
      </w:r>
      <w:r w:rsidRPr="00CE57F9">
        <w:rPr>
          <w:rFonts w:ascii="標楷體" w:eastAsia="標楷體" w:hAnsi="標楷體" w:hint="eastAsia"/>
        </w:rPr>
        <w:t>；復為運用資通訊科技消弭城鄉差距，改善偏鄉缺乏移動力等問題，提出「智慧運輸系統發展建設計畫（110－113年）」；另於110至111年度辦理交通部主管公路客運業經營離島或偏遠地區營運虧損補貼，上開各項計畫及補貼經費合計</w:t>
      </w:r>
      <w:r w:rsidR="005F7CE4" w:rsidRPr="00CE57F9">
        <w:rPr>
          <w:rFonts w:ascii="標楷體" w:eastAsia="標楷體" w:hAnsi="標楷體"/>
        </w:rPr>
        <w:t>63</w:t>
      </w:r>
      <w:r w:rsidRPr="00CE57F9">
        <w:rPr>
          <w:rFonts w:ascii="標楷體" w:eastAsia="標楷體" w:hAnsi="標楷體" w:hint="eastAsia"/>
        </w:rPr>
        <w:t>億4,000萬元。其中交通部於109年6月核定</w:t>
      </w:r>
      <w:r w:rsidR="0008478F" w:rsidRPr="00CE57F9">
        <w:rPr>
          <w:rFonts w:ascii="標楷體" w:eastAsia="標楷體" w:hAnsi="標楷體" w:hint="eastAsia"/>
        </w:rPr>
        <w:t>公運計畫</w:t>
      </w:r>
      <w:r w:rsidRPr="00CE57F9">
        <w:rPr>
          <w:rFonts w:ascii="標楷體" w:eastAsia="標楷體" w:hAnsi="標楷體" w:hint="eastAsia"/>
        </w:rPr>
        <w:t>，以提升公路公共運輸空間服務涵蓋率為計畫績效指標，對符合內政部偏遠地區定義之鄉鎮區，持續強化公共運輸服務，滿足基本民行需求及改善傳統公車營運效能，鼓勵地方政府導入多元、彈性之運輸服務模式，結合在地資源與補助措施，協助偏鄉地區增加公車服務並建立永續經營機制，完善最後一哩之運輸服務。據交通部公路總局（下稱公路總局）統計截至111年8月底止，屬內政部偏鄉地區定義之鄉鎮區計69個（包含603個村里），該局已推動57個偏鄉、152條幸福巴士、23條幸福小黃路線，提升服務偏鄉公共運輸量能，108年起共計服務112萬餘人次。</w:t>
      </w:r>
      <w:r w:rsidR="005F7CE4" w:rsidRPr="00CE57F9">
        <w:rPr>
          <w:rFonts w:ascii="標楷體" w:eastAsia="標楷體" w:hAnsi="標楷體" w:hint="eastAsia"/>
        </w:rPr>
        <w:t>公運計畫</w:t>
      </w:r>
      <w:r w:rsidRPr="00CE57F9">
        <w:rPr>
          <w:rFonts w:ascii="標楷體" w:eastAsia="標楷體" w:hAnsi="標楷體" w:hint="eastAsia"/>
        </w:rPr>
        <w:t>111年度</w:t>
      </w:r>
      <w:r w:rsidRPr="009D11AD">
        <w:rPr>
          <w:rFonts w:ascii="標楷體" w:eastAsia="標楷體" w:hAnsi="標楷體" w:hint="eastAsia"/>
        </w:rPr>
        <w:t>公路公共運輸空間服務涵蓋率【下稱（公共運輸）涵蓋率】績效指標目標值為90％，截至111年8月底止整體涵蓋率為90.38％，</w:t>
      </w:r>
      <w:r w:rsidRPr="009D11AD">
        <w:rPr>
          <w:rFonts w:ascii="標楷體" w:eastAsia="標楷體" w:hAnsi="標楷體" w:hint="eastAsia"/>
        </w:rPr>
        <w:lastRenderedPageBreak/>
        <w:t>雖達目標值，惟仍有4成偏鄉地區鄉鎮區涵蓋率未達預定目標。另就偏鄉村里人口結構與公共運輸空間服務涵蓋情形分析，嘉義縣阿里山鄉香林村就學就養人口逾5成，卻無公共運輸服務，臺南市左鎮區澄山里、臺東縣太麻里鄉北里村、卑南鄉東興村就學就養人口介於2至4成，惟公共運輸涵蓋</w:t>
      </w:r>
      <w:r w:rsidRPr="00CE57F9">
        <w:rPr>
          <w:rFonts w:ascii="標楷體" w:eastAsia="標楷體" w:hAnsi="標楷體" w:hint="eastAsia"/>
        </w:rPr>
        <w:t>率亦未及10％，且有184個村里涵蓋率未達目標值，偏鄉地區公共運輸空間服務涵蓋不足之村里仍逾3成。復據「公共運輸縫隙掃描決策支援系統」記錄全國鄉鎮區公共運輸涵蓋率資料，截至111年11月底止，除公路總局已納入偏鄉公共運輸服務擴充範圍者外，尚有雲林縣大埤鄉等209個</w:t>
      </w:r>
      <w:r w:rsidR="005F7CE4" w:rsidRPr="00CE57F9">
        <w:rPr>
          <w:rFonts w:ascii="標楷體" w:eastAsia="標楷體" w:hAnsi="標楷體" w:hint="eastAsia"/>
        </w:rPr>
        <w:t>鄉鎮區</w:t>
      </w:r>
      <w:r w:rsidRPr="00CE57F9">
        <w:rPr>
          <w:rFonts w:ascii="標楷體" w:eastAsia="標楷體" w:hAnsi="標楷體" w:hint="eastAsia"/>
        </w:rPr>
        <w:t>戶籍人口密度因未符內政部偏遠地區定義，致未列入偏鄉公路公共運輸服務改善範圍，惟其實際公共運輸涵蓋率卻低於目標值之情形。另運用內政部社會經濟資料統計地圖圖臺109年11月電信信令人口統計資料及內政部109年底統計月報土地面積統計資料，分析全國</w:t>
      </w:r>
      <w:r w:rsidR="005F7CE4" w:rsidRPr="00CE57F9">
        <w:rPr>
          <w:rFonts w:ascii="標楷體" w:eastAsia="標楷體" w:hAnsi="標楷體" w:hint="eastAsia"/>
        </w:rPr>
        <w:t>鄉鎮區</w:t>
      </w:r>
      <w:r w:rsidRPr="00CE57F9">
        <w:rPr>
          <w:rFonts w:ascii="標楷體" w:eastAsia="標楷體" w:hAnsi="標楷體" w:hint="eastAsia"/>
        </w:rPr>
        <w:t>常住人口密度，並與公路總局依內政部定義認定之偏鄉名單比對結果，發現南投縣水里鄉等12個鄉鎮區公共運輸涵蓋率均低於目標值，常住人口密度亦低於全國平均人口密度五分之一，惟因戶籍人口密度未符內政部偏鄉定義，致未列入偏鄉公路公共運輸服務改善對象。據公路總局提供補助地方政府開辦幸福巴士、幸福小黃路線營運情形，111年度截至6月底止，幸福巴士、幸福小黃路線分別有170條、31條，惟空駛率逾5成者計有幸福巴士</w:t>
      </w:r>
      <w:r w:rsidRPr="00CE57F9">
        <w:rPr>
          <w:rFonts w:ascii="標楷體" w:eastAsia="標楷體" w:hAnsi="標楷體"/>
        </w:rPr>
        <w:t>2</w:t>
      </w:r>
      <w:r w:rsidR="005F7CE4" w:rsidRPr="00CE57F9">
        <w:rPr>
          <w:rFonts w:ascii="標楷體" w:eastAsia="標楷體" w:hAnsi="標楷體"/>
        </w:rPr>
        <w:t>0</w:t>
      </w:r>
      <w:r w:rsidRPr="00CE57F9">
        <w:rPr>
          <w:rFonts w:ascii="標楷體" w:eastAsia="標楷體" w:hAnsi="標楷體" w:hint="eastAsia"/>
        </w:rPr>
        <w:t>條、幸福小黃11條，甚有3條幸福巴士路線空駛率高達9成，18條幸福巴士、4條幸福小黃路線客座利用率未及1成。顯示規劃營運班次、時段與目標族群之需求分布，仍</w:t>
      </w:r>
      <w:r w:rsidRPr="009D11AD">
        <w:rPr>
          <w:rFonts w:ascii="標楷體" w:eastAsia="標楷體" w:hAnsi="標楷體" w:hint="eastAsia"/>
        </w:rPr>
        <w:t>有甚大之差異，又部分路線自109年起呈營運虧損狀態，公路總局雖續於110年給予營運缺口及費用補助，惟111年度營運情況仍未有效改善，投入補助公共運輸資源未能發揮最大效益，亟待精進目標族群運輸需求之調查，妥為規劃量適質優之運輸服務，暨公共運輸服務業者營運虧損補貼機制。另衛生福利部「原住民醫療或社會福利資源使用交通費補助」、「長照服務資源不足地區交通接送量能提升試辦計畫」、「復康巴士」、「長照專車」、教育部「國民及學前教育署教育優先區計畫」、「補助偏遠地區學校及非山非市學校教育經費」、內政部「推動社區治安營造工作」、地方政府自行開辦社區巴士、村（里）社區守望相助隊之補助購（租）車、交通費、油料費或免費接駁服務等措施，多因限定用途，即使相關運具尚有餘裕座位，仍無法作為居民通勤、通學或就醫使用。公路總局為盤點各部會偏鄉運輸服務資源，於109年4月24日邀集衛生福利部、教育部、原住民族委員會等召開會議研商運輸資源共享事宜，惟各部會在既有政策及計畫運作機制下，因缺乏上位行政協調機制，截至111年11月底止已2年</w:t>
      </w:r>
      <w:r w:rsidR="005F7CE4" w:rsidRPr="00CE57F9">
        <w:rPr>
          <w:rFonts w:ascii="標楷體" w:eastAsia="標楷體" w:hAnsi="標楷體" w:hint="eastAsia"/>
        </w:rPr>
        <w:t>餘仍未</w:t>
      </w:r>
      <w:r w:rsidRPr="009D11AD">
        <w:rPr>
          <w:rFonts w:ascii="標楷體" w:eastAsia="標楷體" w:hAnsi="標楷體" w:hint="eastAsia"/>
        </w:rPr>
        <w:t>放寬使用條件及建立資源共享機制，不利補足偏鄉公共運輸服務缺口，改善居民之交通困境。允宜督促通盤統整偏鄉公共運輸服務資源，積極進行法規調適，精進目標族群運輸需求調查及營運虧損補貼機制，提升業者改善營運績效之誘因，善用電信信令數據技術妥為規劃偏鄉公共運輸服務，掌握人口移動及居住行為，並運用資通訊科技整合調派服務及優化偏鄉交通治理，俾使政府資源妥適配置，增進財務效能。</w:t>
      </w:r>
    </w:p>
    <w:p w14:paraId="49FBF73C" w14:textId="77777777" w:rsidR="009009F6" w:rsidRPr="009D11AD" w:rsidRDefault="009009F6" w:rsidP="00860D54">
      <w:pPr>
        <w:pStyle w:val="2"/>
        <w:overflowPunct w:val="0"/>
        <w:spacing w:beforeLines="20" w:before="72" w:afterLines="20" w:after="72" w:line="424"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lastRenderedPageBreak/>
        <w:t>（十二）　政府每年編列預算補助大專校院辦理弱勢學生安心就學扶助措施，協助弱勢學生接受高等教育，惟高級中等學校畢業弱勢學生升學比率不及一般學生，選擇升學者約7成就讀私立大專校院，負擔較高額學雜費，畢業後薪資水準亦較一般學生處於劣勢，允宜督促通盤檢討強化相關助學措施，落實高等教育對弱勢學生之扶助，增進政府財務資源投入效能。</w:t>
      </w:r>
    </w:p>
    <w:p w14:paraId="6248A0A5" w14:textId="5B792579" w:rsidR="009009F6" w:rsidRPr="009D11AD" w:rsidRDefault="009009F6" w:rsidP="00DA2751">
      <w:pPr>
        <w:overflowPunct w:val="0"/>
        <w:spacing w:line="416" w:lineRule="exact"/>
        <w:ind w:firstLineChars="200" w:firstLine="480"/>
        <w:jc w:val="both"/>
        <w:rPr>
          <w:rFonts w:ascii="標楷體" w:eastAsia="標楷體" w:hAnsi="標楷體"/>
          <w:b/>
          <w:sz w:val="28"/>
          <w:szCs w:val="28"/>
        </w:rPr>
      </w:pPr>
      <w:r w:rsidRPr="009D11AD">
        <w:rPr>
          <w:rFonts w:ascii="標楷體" w:eastAsia="標楷體" w:hAnsi="標楷體" w:hint="eastAsia"/>
        </w:rPr>
        <w:t>政府為協助經濟及文化不利等弱勢學生（下稱弱勢學生，包括：低收入戶學生、中低收入戶學生、身心障礙學生、身心障礙人士子女、特殊境遇家庭子女或孫子女、原住民族學生）接受高等教育，每年補助大專校院辦理弱勢學生就學扶助措施，提供學雜費減免、助學金、住宿補貼及就學貸款等。另政府鑑於經濟弱勢學生通常因打工或經濟因素，無法專心學習或參與學校安排之輔導活動，107年度推動高等教育深耕計畫，再將「提升高教公共性：完善就學協助機制，有效促進社會流動項目」納入計畫內容，透過「以學習取代工讀」輔導等機制，期使弱勢學生得以同時兼顧課業與生活所需，強化弱勢學生整體學習歷程之輔導作為，使其安心就學，培養專業知識以提升就業競爭力，相關助學措施110年度預算數合計110億109萬餘元。依據</w:t>
      </w:r>
      <w:r w:rsidR="001B4A7A" w:rsidRPr="009D11AD">
        <w:rPr>
          <w:rFonts w:ascii="標楷體" w:eastAsia="標楷體" w:hAnsi="標楷體" w:hint="eastAsia"/>
        </w:rPr>
        <w:t>教育部國民及學前教育署</w:t>
      </w:r>
      <w:r w:rsidRPr="009D11AD">
        <w:rPr>
          <w:rFonts w:ascii="標楷體" w:eastAsia="標楷體" w:hAnsi="標楷體" w:hint="eastAsia"/>
        </w:rPr>
        <w:t>提供資料，104至109學年度高級中等學校畢業生計有249,906人、230,832人、244,563人、227,567人、200,629人及193,151人，繼續升學者占總畢業人數79.83％、79.85％、77.43％、76.46％、80.46％及82.89％，其中弱勢學生分別為70.71％、70.01％、66.31％、67.45％、71.65％及69.54％，低於一般學生之81.03％、81.21％、79.06％、77.76％、81.79％及84.47％，顯示弱勢學生可能受限於經濟條件、學習資源劣勢或文化背景差異，致升學比率不及一般學生。復據教育部統計資料，109學年度我國私立大專校院學費約為公立大專校院之1.73至1.98倍，學生就讀私立大專校院之學費負擔較重，惟私立大專校院平均每生分攤經費（代表每位學生教育成本，亦為每位學生可享有之教育資源）為164,792元，僅為公立大專校院289,098元之57.00％，其中又以私立技專校院128,749元最低，公立一般大學323,634元最高，私立技專校院僅為公立一般大學之39.78％。經查106至109學年度高級中等學校畢業生就讀大專校院人數計有189,376人、174,000人、161,432人及160,108人，其中弱勢學生就讀私立大專校院人數占弱勢學生總人數72.65％、72.01％、68.02％及65.74％，與一般學生就讀私立大專校院人數比率66.04％、66.56％、62.47％及60.80％相較，高出約5至6個百分點，顯示約7成高級中等學校畢業弱勢學生就讀私立大專校院，須負擔較高額學雜費，經濟負擔高於一般學生；再比較不同類別學校，106至109學年度高級中等學校畢業弱勢學生就讀私立技專校院人數占弱勢學生總人數50.80％、50.28％、46.54％及47.01％，更高於一般學生（35.11％、35.36％、30.79％及28.68％）約16至18個百分點，顯示約5成弱勢學生就讀私立技專校院，不僅負擔高額學雜費，獲得教育資源也相對較少，立法院審議107年度中央政府總預算案時通過之教育部決議第72項，亦指出經濟弱勢學生就讀私立大專校院比例高於公立大專校院，高等教育發展究係能消弭貧富差距，抑或加劇貧富，請教育部擬具計畫改善。另立</w:t>
      </w:r>
      <w:r w:rsidRPr="009D11AD">
        <w:rPr>
          <w:rFonts w:ascii="標楷體" w:eastAsia="標楷體" w:hAnsi="標楷體" w:hint="eastAsia"/>
        </w:rPr>
        <w:lastRenderedPageBreak/>
        <w:t>法院法制局110年8月研析報告指出，大專校院學雜費因缺乏全民共識，近13年實際上以「不漲為常態、調整為例外」，並衍生世新大學等3所私立大學向教育部申請調整107學年度學士班學雜費，經教育部審議否決，該3所大學提起行政訴訟，由臺北高等行政法院審理後，以教育部否准理由不明確，有裁量怠惰之虞等理由，於110年6月決判3所大學勝訴，並自111學年度起調漲學雜費，按此趨勢，未來私立大專校院因應辦學成本增加，調漲學雜費可能更為積極，恐再加重私立大專校院弱勢學生經濟負擔。另教育部透過政策引導各大專校院強化弱勢學生各項學習輔導與就業能力，藉由高等教育學習過程，作為未來進入職場之準備，以獲得向上社會流動之機會，經查</w:t>
      </w:r>
      <w:r w:rsidRPr="009D11AD">
        <w:rPr>
          <w:rFonts w:ascii="標楷體" w:eastAsia="標楷體" w:hAnsi="標楷體"/>
        </w:rPr>
        <w:t>99</w:t>
      </w:r>
      <w:r w:rsidRPr="009D11AD">
        <w:rPr>
          <w:rFonts w:ascii="標楷體" w:eastAsia="標楷體" w:hAnsi="標楷體" w:hint="eastAsia"/>
        </w:rPr>
        <w:t>至</w:t>
      </w:r>
      <w:r w:rsidRPr="009D11AD">
        <w:rPr>
          <w:rFonts w:ascii="標楷體" w:eastAsia="標楷體" w:hAnsi="標楷體"/>
        </w:rPr>
        <w:t>108</w:t>
      </w:r>
      <w:r w:rsidRPr="009D11AD">
        <w:rPr>
          <w:rFonts w:ascii="標楷體" w:eastAsia="標楷體" w:hAnsi="標楷體" w:hint="eastAsia"/>
        </w:rPr>
        <w:t>學年度大專校院一般學生及弱勢學生，於畢業後半年有勞工保險投保薪資且投保天數</w:t>
      </w:r>
      <w:r w:rsidRPr="009D11AD">
        <w:rPr>
          <w:rFonts w:ascii="標楷體" w:eastAsia="標楷體" w:hAnsi="標楷體"/>
        </w:rPr>
        <w:t>90</w:t>
      </w:r>
      <w:r w:rsidRPr="009D11AD">
        <w:rPr>
          <w:rFonts w:ascii="標楷體" w:eastAsia="標楷體" w:hAnsi="標楷體" w:hint="eastAsia"/>
        </w:rPr>
        <w:t>天以上（下稱投保薪資）之人數，分別為</w:t>
      </w:r>
      <w:r w:rsidRPr="009D11AD">
        <w:rPr>
          <w:rFonts w:ascii="標楷體" w:eastAsia="標楷體" w:hAnsi="標楷體"/>
        </w:rPr>
        <w:t>657,923</w:t>
      </w:r>
      <w:r w:rsidRPr="009D11AD">
        <w:rPr>
          <w:rFonts w:ascii="標楷體" w:eastAsia="標楷體" w:hAnsi="標楷體" w:hint="eastAsia"/>
        </w:rPr>
        <w:t>人及</w:t>
      </w:r>
      <w:r w:rsidRPr="009D11AD">
        <w:rPr>
          <w:rFonts w:ascii="標楷體" w:eastAsia="標楷體" w:hAnsi="標楷體"/>
        </w:rPr>
        <w:t>236,370</w:t>
      </w:r>
      <w:r w:rsidRPr="009D11AD">
        <w:rPr>
          <w:rFonts w:ascii="標楷體" w:eastAsia="標楷體" w:hAnsi="標楷體" w:hint="eastAsia"/>
        </w:rPr>
        <w:t>人，投保薪資高於</w:t>
      </w:r>
      <w:r w:rsidRPr="009D11AD">
        <w:rPr>
          <w:rFonts w:ascii="標楷體" w:eastAsia="標楷體" w:hAnsi="標楷體"/>
        </w:rPr>
        <w:t>3</w:t>
      </w:r>
      <w:r w:rsidRPr="009D11AD">
        <w:rPr>
          <w:rFonts w:ascii="標楷體" w:eastAsia="標楷體" w:hAnsi="標楷體" w:hint="eastAsia"/>
        </w:rPr>
        <w:t>萬元之人數，分別為</w:t>
      </w:r>
      <w:r w:rsidRPr="009D11AD">
        <w:rPr>
          <w:rFonts w:ascii="標楷體" w:eastAsia="標楷體" w:hAnsi="標楷體"/>
        </w:rPr>
        <w:t>130,945</w:t>
      </w:r>
      <w:r w:rsidRPr="009D11AD">
        <w:rPr>
          <w:rFonts w:ascii="標楷體" w:eastAsia="標楷體" w:hAnsi="標楷體" w:hint="eastAsia"/>
        </w:rPr>
        <w:t>人及</w:t>
      </w:r>
      <w:r w:rsidRPr="009D11AD">
        <w:rPr>
          <w:rFonts w:ascii="標楷體" w:eastAsia="標楷體" w:hAnsi="標楷體"/>
        </w:rPr>
        <w:t>41,441</w:t>
      </w:r>
      <w:r w:rsidRPr="009D11AD">
        <w:rPr>
          <w:rFonts w:ascii="標楷體" w:eastAsia="標楷體" w:hAnsi="標楷體" w:hint="eastAsia"/>
        </w:rPr>
        <w:t>人，惟弱勢學生投保薪資高於</w:t>
      </w:r>
      <w:r w:rsidRPr="009D11AD">
        <w:rPr>
          <w:rFonts w:ascii="標楷體" w:eastAsia="標楷體" w:hAnsi="標楷體"/>
        </w:rPr>
        <w:t>3</w:t>
      </w:r>
      <w:r w:rsidRPr="009D11AD">
        <w:rPr>
          <w:rFonts w:ascii="標楷體" w:eastAsia="標楷體" w:hAnsi="標楷體" w:hint="eastAsia"/>
        </w:rPr>
        <w:t>萬元之占比為</w:t>
      </w:r>
      <w:r w:rsidRPr="009D11AD">
        <w:rPr>
          <w:rFonts w:ascii="標楷體" w:eastAsia="標楷體" w:hAnsi="標楷體"/>
        </w:rPr>
        <w:t>17.53</w:t>
      </w:r>
      <w:r w:rsidRPr="009D11AD">
        <w:rPr>
          <w:rFonts w:ascii="標楷體" w:eastAsia="標楷體" w:hAnsi="標楷體" w:hint="eastAsia"/>
        </w:rPr>
        <w:t>％，低於一般學生之占比</w:t>
      </w:r>
      <w:r w:rsidRPr="009D11AD">
        <w:rPr>
          <w:rFonts w:ascii="標楷體" w:eastAsia="標楷體" w:hAnsi="標楷體"/>
        </w:rPr>
        <w:t>19.90</w:t>
      </w:r>
      <w:r w:rsidRPr="009D11AD">
        <w:rPr>
          <w:rFonts w:ascii="標楷體" w:eastAsia="標楷體" w:hAnsi="標楷體" w:hint="eastAsia"/>
        </w:rPr>
        <w:t>％，且各學年度弱勢學生投保薪資高於</w:t>
      </w:r>
      <w:r w:rsidRPr="009D11AD">
        <w:rPr>
          <w:rFonts w:ascii="標楷體" w:eastAsia="標楷體" w:hAnsi="標楷體"/>
        </w:rPr>
        <w:t>3</w:t>
      </w:r>
      <w:r w:rsidRPr="009D11AD">
        <w:rPr>
          <w:rFonts w:ascii="標楷體" w:eastAsia="標楷體" w:hAnsi="標楷體" w:hint="eastAsia"/>
        </w:rPr>
        <w:t>萬元人數占比均低於一般學生，顯示弱勢學生畢業後薪資水準仍處於劣勢。允宜督促教育部賡續改善公私立大專校院教育資源分配不均情形，平衡公私立學校學生就學負擔及受教品質，及強化提升弱勢學生就讀公立大專校院措施，降低經濟因素對學生入學機會之影響，並精進相關助學措施及學習、就業輔導機制，俾協助弱勢學生透過參與高等教育之學習及訓練，發揮潛能及專長，提升就業競爭力，以改善其社會地位，並增進政府財務資源投入效能。</w:t>
      </w:r>
    </w:p>
    <w:p w14:paraId="1747D0B5" w14:textId="77777777" w:rsidR="009009F6" w:rsidRPr="009D11AD" w:rsidRDefault="009009F6" w:rsidP="00900E58">
      <w:pPr>
        <w:pStyle w:val="2"/>
        <w:overflowPunct w:val="0"/>
        <w:spacing w:beforeLines="20" w:before="72" w:afterLines="20" w:after="72" w:line="44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（十三）　財政部國有財產署辦理地政機關移請公開標售之逾期未辦繼承登記土地，截至110年底止，地政機關列管尚待標售未辦繼承土地多達72萬筆，因國產署及內政部尚未就土地現況是否為公共使用部分之清查作業達成共識，未辦繼承土地如係供公共使用，經標脫後將增加機關後續徵收財政負擔，形成不經濟支出，允宜督促研謀改善。</w:t>
      </w:r>
    </w:p>
    <w:p w14:paraId="391E5F69" w14:textId="77777777" w:rsidR="009009F6" w:rsidRPr="009D11AD" w:rsidRDefault="009009F6" w:rsidP="00DA2751">
      <w:pPr>
        <w:overflowPunct w:val="0"/>
        <w:spacing w:line="410" w:lineRule="exact"/>
        <w:ind w:firstLineChars="200" w:firstLine="480"/>
        <w:jc w:val="both"/>
        <w:rPr>
          <w:rFonts w:ascii="標楷體" w:eastAsia="標楷體" w:hAnsi="標楷體"/>
          <w:b/>
          <w:sz w:val="28"/>
          <w:szCs w:val="28"/>
        </w:rPr>
      </w:pPr>
      <w:r w:rsidRPr="009D11AD">
        <w:rPr>
          <w:rFonts w:ascii="標楷體" w:eastAsia="標楷體" w:hAnsi="標楷體" w:hint="eastAsia"/>
        </w:rPr>
        <w:t>都市計畫法第48條規定，依本法指定之公共設施保留地供公用事業設施之用者，由各該事業機構依法予以徵收或購買等；第51條規定，依本法指定之公共設施保留地，不得為妨礙其指定目的之使用；第52條規定，都市計畫範圍內之公有土地必須配合當地都市計畫予以處理，其為公共設施用地者，由當地直轄市、縣市政府或鄉、鎮、縣轄市公所於興修公共設施時，依法辦理撥用等。按上開規定，公共設施保留地依法應予徵收或價購，屬公有土地之公共設施保留地則應由需地機關依法辦理撥用；又經指定之公共設施保留地不得妨礙其指定目的之使用。另內政部歷年發函多次重申公有公共設施用地在未經都市計畫檢討變更為非公共設施用地前，或未經核准獎勵民間投資興辦前，不得移轉為私有，縱完成處分程序，仍屬無效；該部另於100年4月18日釋示，屬公共設施用地者免由直轄市或縣（市）主管機關代為標售，係考量該等土地依法應以徵收方式處理，倘予代為標售，則日後公共設施用地開發利用又須辦理徵收，將影響得標人權益，故明定代為標售之土地以非屬公共設施用地為限。財政部國有財產署</w:t>
      </w:r>
      <w:r w:rsidRPr="009D11AD">
        <w:rPr>
          <w:rFonts w:ascii="標楷體" w:eastAsia="標楷體" w:hAnsi="標楷體"/>
        </w:rPr>
        <w:t>（</w:t>
      </w:r>
      <w:r w:rsidRPr="009D11AD">
        <w:rPr>
          <w:rFonts w:ascii="標楷體" w:eastAsia="標楷體" w:hAnsi="標楷體" w:hint="eastAsia"/>
        </w:rPr>
        <w:t>下稱國產署</w:t>
      </w:r>
      <w:r w:rsidRPr="009D11AD">
        <w:rPr>
          <w:rFonts w:ascii="標楷體" w:eastAsia="標楷體" w:hAnsi="標楷體"/>
        </w:rPr>
        <w:t>）</w:t>
      </w:r>
      <w:r w:rsidRPr="009D11AD">
        <w:rPr>
          <w:rFonts w:ascii="標楷體" w:eastAsia="標楷體" w:hAnsi="標楷體" w:hint="eastAsia"/>
        </w:rPr>
        <w:t>辦理標售業務，包括：</w:t>
      </w:r>
      <w:r w:rsidRPr="009D11AD">
        <w:rPr>
          <w:rFonts w:ascii="標楷體" w:eastAsia="標楷體" w:hAnsi="標楷體"/>
        </w:rPr>
        <w:t>1.</w:t>
      </w:r>
      <w:r w:rsidRPr="009D11AD">
        <w:rPr>
          <w:rFonts w:ascii="標楷體" w:eastAsia="標楷體" w:hAnsi="標楷體" w:hint="eastAsia"/>
        </w:rPr>
        <w:t>依國有財產法第</w:t>
      </w:r>
      <w:r w:rsidRPr="009D11AD">
        <w:rPr>
          <w:rFonts w:ascii="標楷體" w:eastAsia="標楷體" w:hAnsi="標楷體"/>
        </w:rPr>
        <w:t>53</w:t>
      </w:r>
      <w:r w:rsidRPr="009D11AD">
        <w:rPr>
          <w:rFonts w:ascii="標楷體" w:eastAsia="標楷體" w:hAnsi="標楷體" w:hint="eastAsia"/>
        </w:rPr>
        <w:t>條規定，非公用財產類之空地等，並無預定</w:t>
      </w:r>
      <w:r w:rsidRPr="009D11AD">
        <w:rPr>
          <w:rFonts w:ascii="標楷體" w:eastAsia="標楷體" w:hAnsi="標楷體" w:hint="eastAsia"/>
        </w:rPr>
        <w:lastRenderedPageBreak/>
        <w:t>用途，面積未達</w:t>
      </w:r>
      <w:r w:rsidRPr="009D11AD">
        <w:rPr>
          <w:rFonts w:ascii="標楷體" w:eastAsia="標楷體" w:hAnsi="標楷體"/>
        </w:rPr>
        <w:t>1,650</w:t>
      </w:r>
      <w:r w:rsidRPr="009D11AD">
        <w:rPr>
          <w:rFonts w:ascii="標楷體" w:eastAsia="標楷體" w:hAnsi="標楷體" w:hint="eastAsia"/>
        </w:rPr>
        <w:t>平方公尺者，得由該署辦理國有非公用土地標售；</w:t>
      </w:r>
      <w:r w:rsidRPr="009D11AD">
        <w:rPr>
          <w:rFonts w:ascii="標楷體" w:eastAsia="標楷體" w:hAnsi="標楷體"/>
        </w:rPr>
        <w:t>2.</w:t>
      </w:r>
      <w:r w:rsidRPr="009D11AD">
        <w:rPr>
          <w:rFonts w:ascii="標楷體" w:eastAsia="標楷體" w:hAnsi="標楷體" w:hint="eastAsia"/>
        </w:rPr>
        <w:t>依民法無人承認繼承遺產相關規定，經法院選任為遺產管理人代管該遺產，並依代管無人承認繼承遺產作業要點規定辦理無人承認繼承遺產</w:t>
      </w:r>
      <w:r w:rsidRPr="009D11AD">
        <w:rPr>
          <w:rFonts w:ascii="標楷體" w:eastAsia="標楷體" w:hAnsi="標楷體"/>
        </w:rPr>
        <w:t>（</w:t>
      </w:r>
      <w:r w:rsidRPr="009D11AD">
        <w:rPr>
          <w:rFonts w:ascii="標楷體" w:eastAsia="標楷體" w:hAnsi="標楷體" w:hint="eastAsia"/>
        </w:rPr>
        <w:t>下稱無人繼承遺產</w:t>
      </w:r>
      <w:r w:rsidRPr="009D11AD">
        <w:rPr>
          <w:rFonts w:ascii="標楷體" w:eastAsia="標楷體" w:hAnsi="標楷體"/>
        </w:rPr>
        <w:t>）</w:t>
      </w:r>
      <w:r w:rsidRPr="009D11AD">
        <w:rPr>
          <w:rFonts w:ascii="標楷體" w:eastAsia="標楷體" w:hAnsi="標楷體" w:hint="eastAsia"/>
        </w:rPr>
        <w:t>標售；</w:t>
      </w:r>
      <w:r w:rsidRPr="009D11AD">
        <w:rPr>
          <w:rFonts w:ascii="標楷體" w:eastAsia="標楷體" w:hAnsi="標楷體"/>
        </w:rPr>
        <w:t>3.</w:t>
      </w:r>
      <w:r w:rsidRPr="009D11AD">
        <w:rPr>
          <w:rFonts w:ascii="標楷體" w:eastAsia="標楷體" w:hAnsi="標楷體" w:hint="eastAsia"/>
        </w:rPr>
        <w:t>依土地法第</w:t>
      </w:r>
      <w:r w:rsidRPr="009D11AD">
        <w:rPr>
          <w:rFonts w:ascii="標楷體" w:eastAsia="標楷體" w:hAnsi="標楷體"/>
        </w:rPr>
        <w:t>73</w:t>
      </w:r>
      <w:r w:rsidRPr="009D11AD">
        <w:rPr>
          <w:rFonts w:ascii="標楷體" w:eastAsia="標楷體" w:hAnsi="標楷體" w:hint="eastAsia"/>
        </w:rPr>
        <w:t>條之</w:t>
      </w:r>
      <w:r w:rsidRPr="009D11AD">
        <w:rPr>
          <w:rFonts w:ascii="標楷體" w:eastAsia="標楷體" w:hAnsi="標楷體"/>
        </w:rPr>
        <w:t>1</w:t>
      </w:r>
      <w:r w:rsidRPr="009D11AD">
        <w:rPr>
          <w:rFonts w:ascii="標楷體" w:eastAsia="標楷體" w:hAnsi="標楷體" w:hint="eastAsia"/>
        </w:rPr>
        <w:t>規定，逾期未辦繼承登記土地者，經地政機關列冊管理</w:t>
      </w:r>
      <w:r w:rsidRPr="009D11AD">
        <w:rPr>
          <w:rFonts w:ascii="標楷體" w:eastAsia="標楷體" w:hAnsi="標楷體"/>
        </w:rPr>
        <w:t>15</w:t>
      </w:r>
      <w:r w:rsidRPr="009D11AD">
        <w:rPr>
          <w:rFonts w:ascii="標楷體" w:eastAsia="標楷體" w:hAnsi="標楷體" w:hint="eastAsia"/>
        </w:rPr>
        <w:t>年仍未聲請登記，由地政機關將該土地清冊移請該署辦理逾期未辦繼承登記土地（下稱未辦繼承登記）標售。據國產署全球資訊網招標資訊系統資料，該署辦理上開標售業務，自106年9月1日至109年9月1日止，處分標的計有5,735筆，其中45筆之土地使用分區為公共設施用地，而標售該等公共設施用地，需地機關日後開發利用又需辦理徵收，將增加財政負擔且影響得標人權益，亦與前揭內政部函、令內容（公共設施保留地不宜出售）有間；又111年5月25日媒體報導「國小司令台遭標售，地主得標轉賣校方6倍價」，該國小司令台為未辦繼承登記土地，使用分區為乙種建築用地，雖非屬公共設施用地，惟現況為公共使用，經國產署以51萬餘元標脫，得標人轉以300萬元要求學校購回，亦類同前揭內政部函、令內容，需地機關日後開發利用又需辦理徵收，增加財政負擔等情事。為處理公共設施保留地經標售，日後需地機關又須辦理徵收衍生財政負擔，及影響得標人與保障債權人等權益，國產署業就國有非公用土地及無人繼承遺產等標售案件為公共使用者（含公共設施用地），通函所屬於公告標售前，應函詢地方政府認定是否應留供公共使用，或主動清查其現況是否為公共使用，並函詢需地機關有無徵收或價購計畫等改善措施；內政部亦就未辦繼承登記土地為公共設施用地者，於「未辦繼承登記土地及建築改良物列冊管理作業要點」增訂第13點規定，地政機關列冊管理之未辦繼承登記土地，應於列冊管理期滿前清查是否為公共設施用地，其屬公共設施用地，應函詢需地機關有無徵收或價購計畫等改善措施。惟國產署及內政部尚未就未辦繼承登記土地，其非屬公共設施用地，而現況為公共使用情形之清查作業達成共識，國產署於111年6月1日去函內政部：依內政部訂定「未辦繼承登記土地及建築改良物列冊管理」第14點規定，地政機關檢附「未辦繼承土地或建物列冊管理單」等資料移國產署標售案件，並無載明土地使用現況，無從知悉是否有公共使用情事；另依內政統計年報資料，截至110年底止，未辦繼承土地列冊管理期滿移交該署標售約12萬餘筆，地政機關列管中約72萬筆，土地數量龐大，宜由地政機關於列冊管理期間確認土地現況，俟確認無公共使用土地後，再移請該署標售等；而內政部於111年12月6日函復國產署稱，依土地法第73條之1規定，地政機關僅辦理列冊管理而無實質管理，且各地方政府均反映囿於人力限制無力負擔土地現況勘查，爰建議國產署委外辦理勘查以提升行政效能，及因應公務機關人力不足之限制等。由於國產署及內政部尚未就未辦繼承登記土地，現況為公共使用之清查作業達成共識，恐難避免前揭媒體報導國小司令台遭標脫之爭議案件，衍生需地機關增加財政負擔情事再次發生。允宜督促國產署及內政部儘速清查未辦繼承登記土地現況為公共使用情形，並研謀適當改善因應措施，以避免衍生需地機關後續徵收或價購之財政負擔，或影響得標人權益等情事。</w:t>
      </w:r>
    </w:p>
    <w:p w14:paraId="5D3F06B3" w14:textId="77777777" w:rsidR="009009F6" w:rsidRPr="009D11AD" w:rsidRDefault="009009F6" w:rsidP="00860D54">
      <w:pPr>
        <w:pStyle w:val="2"/>
        <w:overflowPunct w:val="0"/>
        <w:spacing w:beforeLines="20" w:before="72" w:afterLines="20" w:after="72" w:line="424"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（十四）　政府為確保供電穩定，積極辦理用電需求管理措施，惟部分中央</w:t>
      </w:r>
      <w:r w:rsidRPr="009D11AD">
        <w:rPr>
          <w:rFonts w:hAnsi="標楷體" w:hint="eastAsia"/>
          <w:b/>
          <w:color w:val="000000" w:themeColor="text1"/>
          <w:sz w:val="28"/>
          <w:szCs w:val="28"/>
        </w:rPr>
        <w:lastRenderedPageBreak/>
        <w:t>機關未妥適研訂最適契約容量，致超約用電或實際用電量未達契約容量之60％，及電氣設備用電功率低於80％，增加不經濟支出等情事，允宜督促檢討契約容量訂定之合宜性，以節省基本電費支出，暨增進我國供電安全及電能有效利用。</w:t>
      </w:r>
    </w:p>
    <w:p w14:paraId="4F856EA5" w14:textId="1C24E62B" w:rsidR="0037236F" w:rsidRPr="009D11AD" w:rsidRDefault="009009F6" w:rsidP="00DA2751">
      <w:pPr>
        <w:overflowPunct w:val="0"/>
        <w:spacing w:line="416" w:lineRule="exact"/>
        <w:ind w:firstLineChars="200" w:firstLine="480"/>
        <w:jc w:val="both"/>
        <w:rPr>
          <w:rFonts w:ascii="標楷體" w:eastAsia="標楷體" w:hAnsi="標楷體"/>
        </w:rPr>
      </w:pPr>
      <w:r w:rsidRPr="009D11AD">
        <w:rPr>
          <w:rFonts w:ascii="標楷體" w:eastAsia="標楷體" w:hAnsi="標楷體" w:hint="eastAsia"/>
        </w:rPr>
        <w:t>政府鑑於近年國內外能源及經濟情勢變化劇烈，每年均滾動檢討產業發展及民生需求之用電成長，並順應國際能源趨勢及淨零排放路徑，推動各項電源開發計畫，以維持適當備用容量，力求供電穩定。另考量全球溫室效應、氣候變遷與民眾環保意識提升等情事，由電力供給面提高供電能力日益困難，亦從電力需求面著手推動需量反應管理，抑低尖峰負載，達成穩定電力供需平衡，電力需求面管理主要透過電力公司提供價格或電費扣減為誘因，引導用戶強化用電管理，鼓勵用戶定期檢視實際用電情形，訂定最適契約容量及改善電氣設備用電效率，俾利政府覈實推估全國長期用電需求，妥善規劃及推動各項電源開發計畫，避免電力設施過度投資或投資不足，並輔以用戶節電成效，降低尖峰用電負載，避免電力系統超載，維持供電穩定。依據經濟部能源局於111年7月27日公布之「110年度全國電力資源供需報告」揭示，在需求評估方面，截至111年5月底止之國內外經濟、政策及環境等相關影響變數，預估111至117年全國用電需求年均成長率約2.3％，尖峰負載年均成長率約2.5％。另因近年再生能源發電量逐漸提升，日落後太陽光電減少發電量對電力系統具相當衝擊，未來夜間供電亦較為緊俏，用電曲線將出現雙尖峰負載情事，預估112及113年度備用容量率將降至11.3％及12.2％，電力供應吃緊，供電能力減少約102至186萬瓩，須待114年新增燃氣機組商轉發電後，備用容量率始能增至16.7％，達目標值15％以上等，顯示未來我國用電需求呈持續成長趨勢，除須持續推動電源開發計畫外，亦因再生能源發電量之不穩定，應同步強化各項需量反應管理及節電措施，俾於關鍵時段抑低用電量，力求供電穩定。又中央各機關（事業）係全國用電成員之一，允應強化各項用電管理措施，帶動各界積極參與各項用電管理機制，包括：申算最適契約容量，以增進用電預測準確性；提升電氣設備用電效率，以減輕尖峰負載等。經就台灣電力股份有限公司提供111年度截至10月底止之中央各機關（事業）用電資料，按「超約用電遭加收電費情形」、「訂定契約容量偏高情形」、「全年未用電仍每月支付電費情形」、「用電功率因數低於80％致增加電費支出情形」等4項議題，進行數據分析，發現130個單位契約容量訂定偏低，發生用電最高需量超過契約容量10％，且達6個月以上之情形，合計繳交超約電費7,270萬餘元；441個單位契約容量訂定偏高，逾3個月最高需量低於契約容量60％，且全年最高需量之最大值小於契約容量90％情形，上述機關（事業）若以現行契約容量之60％視為最適契約容量，推估現行契約依最適契約調整後，111年度全年約可節約基本電費，合計5,908萬餘元；61個單位全年未用電，卻未適時申請電力停用，仍繳納基本電費者，合計234萬餘元；202個單位用電功率因數低於80％，須繳納功因調整費合計155萬餘元，除增加不經濟支出外，對整體用電預測及尖峰負載恐有不利影響，允宜督促相關機關（事業）檢討妥處，俾增進我國供電安全及電能有效利用。</w:t>
      </w:r>
    </w:p>
    <w:p w14:paraId="7D065A8B" w14:textId="77777777" w:rsidR="00841FDA" w:rsidRPr="009D11AD" w:rsidRDefault="00FE73F8" w:rsidP="00860D54">
      <w:pPr>
        <w:pStyle w:val="10"/>
        <w:overflowPunct w:val="0"/>
        <w:spacing w:beforeLines="20" w:before="72" w:afterLines="20" w:after="72" w:line="420" w:lineRule="exact"/>
        <w:ind w:firstLineChars="100" w:firstLine="320"/>
        <w:rPr>
          <w:rFonts w:ascii="標楷體" w:eastAsia="標楷體" w:hAnsi="標楷體"/>
          <w:color w:val="000000" w:themeColor="text1"/>
          <w:sz w:val="32"/>
          <w:szCs w:val="32"/>
        </w:rPr>
      </w:pPr>
      <w:r w:rsidRPr="009D11AD">
        <w:rPr>
          <w:rFonts w:ascii="標楷體" w:eastAsia="標楷體" w:hAnsi="標楷體" w:hint="eastAsia"/>
          <w:color w:val="000000" w:themeColor="text1"/>
          <w:sz w:val="32"/>
          <w:szCs w:val="32"/>
        </w:rPr>
        <w:lastRenderedPageBreak/>
        <w:t>四</w:t>
      </w:r>
      <w:r w:rsidR="00650851" w:rsidRPr="009D11AD">
        <w:rPr>
          <w:rFonts w:ascii="標楷體" w:eastAsia="標楷體" w:hAnsi="標楷體" w:hint="eastAsia"/>
          <w:color w:val="000000" w:themeColor="text1"/>
          <w:sz w:val="32"/>
          <w:szCs w:val="32"/>
        </w:rPr>
        <w:t>、重要審核意見</w:t>
      </w:r>
    </w:p>
    <w:p w14:paraId="77CC8AE4" w14:textId="4BF0DD68" w:rsidR="009C43A4" w:rsidRPr="009D11AD" w:rsidRDefault="009C43A4" w:rsidP="00860D54">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 xml:space="preserve">（一）　</w:t>
      </w:r>
      <w:r w:rsidR="00B563C6" w:rsidRPr="009D11AD">
        <w:rPr>
          <w:rFonts w:hAnsi="標楷體" w:hint="eastAsia"/>
          <w:b/>
          <w:color w:val="000000" w:themeColor="text1"/>
          <w:sz w:val="28"/>
          <w:szCs w:val="28"/>
        </w:rPr>
        <w:t>受全球終端消費需求弱化影響，我國111年度經濟成長趨緩，112年度再因全球經濟成長放緩，抑制出口及民間投資成長動能，預測經濟成長幅度將較111年度減緩，並以民間消費為助力挹注我國經濟成長。惟國內物價壓力持續增加，薪資成長未及物價上漲幅度，限縮民眾購買能力，恐抑減民間消費成長動能，允宜持續落實推動各項穩定物價作為，提振民眾購買能力及信心，以擴張民間消費需求貢獻經濟成長，減緩全球經濟風險對經濟之影響。</w:t>
      </w:r>
    </w:p>
    <w:p w14:paraId="7CF94B87" w14:textId="2205EEA4" w:rsidR="009C43A4" w:rsidRPr="009D11AD" w:rsidRDefault="00B563C6" w:rsidP="00DA2751">
      <w:pPr>
        <w:pStyle w:val="affb"/>
        <w:kinsoku/>
        <w:overflowPunct w:val="0"/>
        <w:adjustRightInd/>
        <w:spacing w:line="410" w:lineRule="exact"/>
        <w:ind w:left="0" w:firstLineChars="200" w:firstLine="480"/>
        <w:jc w:val="both"/>
        <w:rPr>
          <w:rFonts w:hAnsi="標楷體"/>
          <w:color w:val="FF0000"/>
          <w:sz w:val="24"/>
          <w:szCs w:val="24"/>
        </w:rPr>
      </w:pPr>
      <w:r w:rsidRPr="009D11AD">
        <w:rPr>
          <w:rFonts w:hAnsi="標楷體" w:hint="eastAsia"/>
          <w:color w:val="000000" w:themeColor="text1"/>
          <w:sz w:val="24"/>
          <w:szCs w:val="24"/>
        </w:rPr>
        <w:t>依據行政院主計總處112年5月發布之國民所得統計摘要，111年度實質國內生產毛額（GDP）金額21兆6,586億餘元，經濟成長率2.35％，較110年度之6.53％減少4.18個百分點，成長幅度為106年度以來最低，未達成111年度中央政府總預算案全國總資源供需估測之3.69％，且低於2022年全球經濟成長率3.1％（S&amp;P Global 2023年5月發布資料），主要係受通膨及升息壓力抑低全球終端需求，產業鏈庫存去化壓力等影響，商品及服務輸出與民間投資之成長率較110年度減少所致。復據該總處112年5月發布之112年經濟預測，在各國為對抗通膨緊縮貨幣及俄烏戰爭影響下，終端消費需求減弱，全球經濟成長趨緩，企業資本支出審慎，預測我國112年經濟成長2.04％，商品及服務輸出與固定投資成長率為負0.</w:t>
      </w:r>
      <w:r w:rsidR="00AF6195">
        <w:rPr>
          <w:rFonts w:hAnsi="標楷體" w:hint="eastAsia"/>
          <w:color w:val="000000" w:themeColor="text1"/>
          <w:sz w:val="24"/>
          <w:szCs w:val="24"/>
        </w:rPr>
        <w:t>60</w:t>
      </w:r>
      <w:r w:rsidRPr="009D11AD">
        <w:rPr>
          <w:rFonts w:hAnsi="標楷體" w:hint="eastAsia"/>
          <w:color w:val="000000" w:themeColor="text1"/>
          <w:sz w:val="24"/>
          <w:szCs w:val="24"/>
        </w:rPr>
        <w:t>％及負1.46％，轉為負成長；至於民間消費隨疫情管制措施鬆綁、邊境解封國人出國旅遊增溫等，可望增添消費動能，成長率預測為6.92％，較111年度漲幅增加，預期為112年度經濟成長率之主要貢獻。經查，受新型冠狀病毒肺炎（</w:t>
      </w:r>
      <w:r w:rsidR="00FC413E" w:rsidRPr="009D11AD">
        <w:rPr>
          <w:rFonts w:hAnsi="標楷體" w:hint="eastAsia"/>
          <w:color w:val="000000" w:themeColor="text1"/>
          <w:sz w:val="24"/>
          <w:szCs w:val="24"/>
        </w:rPr>
        <w:t>COVID－19</w:t>
      </w:r>
      <w:r w:rsidRPr="009D11AD">
        <w:rPr>
          <w:rFonts w:hAnsi="標楷體" w:hint="eastAsia"/>
          <w:color w:val="000000" w:themeColor="text1"/>
          <w:sz w:val="24"/>
          <w:szCs w:val="24"/>
        </w:rPr>
        <w:t>）疫情後供給短缺及俄烏戰爭造成國際農工原料價格攀升等影響，全球自2020年起，通膨壓力持續增加，2022年全球消費者物價指數（Consumer Price Index, CPI）年增率達8.7％（IMF 2023年4月發布資料）。依據行政院主計總處統計，111年度我國消費者物價指數年增率為2.95％，物價通膨情形雖相較全球溫和，惟仍高於111年度中央政府總預算案全國總資源供需估測之0.89％，</w:t>
      </w:r>
      <w:r w:rsidRPr="009D11AD">
        <w:rPr>
          <w:rFonts w:hAnsi="標楷體" w:hint="eastAsia"/>
          <w:color w:val="000000" w:themeColor="text1"/>
          <w:spacing w:val="-4"/>
          <w:sz w:val="24"/>
          <w:szCs w:val="24"/>
        </w:rPr>
        <w:t>漲幅創14年來（98至111年度）</w:t>
      </w:r>
      <w:r w:rsidRPr="009D11AD">
        <w:rPr>
          <w:rFonts w:hAnsi="標楷體" w:hint="eastAsia"/>
          <w:color w:val="000000" w:themeColor="text1"/>
          <w:sz w:val="24"/>
          <w:szCs w:val="24"/>
        </w:rPr>
        <w:t>新高，並已逾通膨警戒線2％，其中食物類指數年增率5.66％，漲幅為各基本分類項目中最高，主要係水果、蛋類及肉類受天候、飼養成本增加等影響，及外食費因業者反映成本提高</w:t>
      </w:r>
      <w:r w:rsidR="00FF6330" w:rsidRPr="009D11AD">
        <w:rPr>
          <w:rFonts w:hAnsi="標楷體" w:hint="eastAsia"/>
          <w:color w:val="000000" w:themeColor="text1"/>
          <w:sz w:val="24"/>
          <w:szCs w:val="24"/>
        </w:rPr>
        <w:t>價格等所致。又</w:t>
      </w:r>
      <w:r w:rsidRPr="009D11AD">
        <w:rPr>
          <w:rFonts w:hAnsi="標楷體" w:hint="eastAsia"/>
          <w:color w:val="000000" w:themeColor="text1"/>
          <w:sz w:val="24"/>
          <w:szCs w:val="24"/>
        </w:rPr>
        <w:t>據行政院主計總處統計，111年度工業及服務業平均每月總薪資（含經常性及非經常性）為57,728元，年增率3.47％，漲幅為108年度以來最高，惟</w:t>
      </w:r>
      <w:r w:rsidR="00FF6330" w:rsidRPr="009D11AD">
        <w:rPr>
          <w:rFonts w:hAnsi="標楷體" w:hint="eastAsia"/>
          <w:color w:val="000000" w:themeColor="text1"/>
          <w:sz w:val="24"/>
          <w:szCs w:val="24"/>
        </w:rPr>
        <w:t>經去除</w:t>
      </w:r>
      <w:r w:rsidRPr="009D11AD">
        <w:rPr>
          <w:rFonts w:hAnsi="標楷體" w:hint="eastAsia"/>
          <w:color w:val="000000" w:themeColor="text1"/>
          <w:sz w:val="24"/>
          <w:szCs w:val="24"/>
        </w:rPr>
        <w:t>消費者物價指數</w:t>
      </w:r>
      <w:r w:rsidR="00FF6330" w:rsidRPr="009D11AD">
        <w:rPr>
          <w:rFonts w:hAnsi="標楷體" w:hint="eastAsia"/>
          <w:color w:val="000000" w:themeColor="text1"/>
          <w:sz w:val="24"/>
          <w:szCs w:val="24"/>
        </w:rPr>
        <w:t>漲幅因素</w:t>
      </w:r>
      <w:r w:rsidRPr="009D11AD">
        <w:rPr>
          <w:rFonts w:hAnsi="標楷體" w:hint="eastAsia"/>
          <w:color w:val="000000" w:themeColor="text1"/>
          <w:sz w:val="24"/>
          <w:szCs w:val="24"/>
        </w:rPr>
        <w:t>後，111年度工業及服務業平均每月實質總薪資（含經常性及非經常性）為53,750元，僅成長0.50％，平均每月實質經常性薪資為41,356元，較110年度減少0.15％，且連續2年度負成長，薪資成長幅度未及物價上漲，限縮民間消費能力。經函請行政院督促持續掌握國內物資市場情勢，落實推動各項穩定物價作為，以平穩民生消費物價，提振民眾購買能力及信心，以擴張民間消費需求貢獻經濟成長，減緩全球經濟風險對我國經濟之影響。據復：</w:t>
      </w:r>
      <w:r w:rsidR="00CB08EB" w:rsidRPr="009D11AD">
        <w:rPr>
          <w:rFonts w:hAnsi="標楷體" w:hint="eastAsia"/>
          <w:color w:val="000000" w:themeColor="text1"/>
          <w:sz w:val="24"/>
          <w:szCs w:val="24"/>
        </w:rPr>
        <w:t>為掌握國內物價及民生物資價量情勢，業定期召開「穩定物價小組」會議，並責成相關部會辦理穩定物價作為，未來並將持續檢討基本工資，參酌消費者物價指數年增率與經濟成長率等數據，朝合宜調升之方向努力。</w:t>
      </w:r>
    </w:p>
    <w:p w14:paraId="6C1A2DB8" w14:textId="77C4EE14" w:rsidR="00B563C6" w:rsidRPr="009D11AD" w:rsidRDefault="003C3B64" w:rsidP="00860D54">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lastRenderedPageBreak/>
        <w:t>（二</w:t>
      </w:r>
      <w:r w:rsidR="00B563C6" w:rsidRPr="009D11AD">
        <w:rPr>
          <w:rFonts w:hAnsi="標楷體" w:hint="eastAsia"/>
          <w:b/>
          <w:color w:val="000000" w:themeColor="text1"/>
          <w:sz w:val="28"/>
          <w:szCs w:val="28"/>
        </w:rPr>
        <w:t xml:space="preserve">）　</w:t>
      </w:r>
      <w:r w:rsidR="00C628F5" w:rsidRPr="009D11AD">
        <w:rPr>
          <w:rFonts w:hAnsi="標楷體" w:hint="eastAsia"/>
          <w:b/>
          <w:color w:val="000000" w:themeColor="text1"/>
          <w:sz w:val="28"/>
          <w:szCs w:val="28"/>
        </w:rPr>
        <w:t>政府以移用以前年度歲計賸餘及舉借債務</w:t>
      </w:r>
      <w:r w:rsidR="00CA3BD7">
        <w:rPr>
          <w:rFonts w:hAnsi="標楷體" w:hint="eastAsia"/>
          <w:b/>
          <w:color w:val="000000" w:themeColor="text1"/>
          <w:sz w:val="28"/>
          <w:szCs w:val="28"/>
        </w:rPr>
        <w:t>為財源</w:t>
      </w:r>
      <w:r w:rsidR="00CA3BD7" w:rsidRPr="009D11AD">
        <w:rPr>
          <w:rFonts w:hAnsi="標楷體" w:hint="eastAsia"/>
          <w:b/>
          <w:color w:val="000000" w:themeColor="text1"/>
          <w:sz w:val="28"/>
          <w:szCs w:val="28"/>
        </w:rPr>
        <w:t>編列疫後特別預算</w:t>
      </w:r>
      <w:r w:rsidR="00C628F5" w:rsidRPr="009D11AD">
        <w:rPr>
          <w:rFonts w:hAnsi="標楷體" w:hint="eastAsia"/>
          <w:b/>
          <w:color w:val="000000" w:themeColor="text1"/>
          <w:sz w:val="28"/>
          <w:szCs w:val="28"/>
        </w:rPr>
        <w:t>，並優先以特別預算執行期間之以前年度歲計賸餘支應。惟近年度中央政府稅課收入決算數超逾預算數甚多，稅課收入估計編列有待精進，且中央政府歷年度累計餘絀包含保留多年未執行之歲入預算保留，為利政府財政穩健及增加對未來經濟不確定性可能造成歲入短收之因應彈性，尚不宜全數移用以前年度歲計賸餘支應政府支出，允宜加強研議提升稅收預測之精準度，強化財務管理效能，並妥善運用政府預算資源，確保財政永續發展</w:t>
      </w:r>
      <w:r w:rsidR="00B563C6" w:rsidRPr="009D11AD">
        <w:rPr>
          <w:rFonts w:hAnsi="標楷體" w:hint="eastAsia"/>
          <w:b/>
          <w:color w:val="000000" w:themeColor="text1"/>
          <w:spacing w:val="-2"/>
          <w:sz w:val="28"/>
          <w:szCs w:val="28"/>
        </w:rPr>
        <w:t>。</w:t>
      </w:r>
    </w:p>
    <w:p w14:paraId="25382BE3" w14:textId="5F51B761" w:rsidR="00C628F5" w:rsidRPr="009D11AD" w:rsidRDefault="00C628F5" w:rsidP="00DA2751">
      <w:pPr>
        <w:overflowPunct w:val="0"/>
        <w:spacing w:line="410" w:lineRule="exact"/>
        <w:ind w:firstLineChars="200" w:firstLine="480"/>
        <w:jc w:val="both"/>
        <w:rPr>
          <w:rFonts w:ascii="標楷體" w:eastAsia="標楷體" w:hAnsi="標楷體"/>
          <w:szCs w:val="24"/>
        </w:rPr>
      </w:pPr>
      <w:r w:rsidRPr="009D11AD">
        <w:rPr>
          <w:rFonts w:ascii="標楷體" w:eastAsia="標楷體" w:hAnsi="標楷體" w:hint="eastAsia"/>
          <w:szCs w:val="24"/>
        </w:rPr>
        <w:t>行政院因應新型冠狀病毒肺炎（</w:t>
      </w:r>
      <w:r w:rsidR="00FC413E" w:rsidRPr="009D11AD">
        <w:rPr>
          <w:rFonts w:ascii="標楷體" w:eastAsia="標楷體" w:hAnsi="標楷體" w:hint="eastAsia"/>
          <w:szCs w:val="24"/>
        </w:rPr>
        <w:t>COVID－19</w:t>
      </w:r>
      <w:r w:rsidRPr="009D11AD">
        <w:rPr>
          <w:rFonts w:ascii="標楷體" w:eastAsia="標楷體" w:hAnsi="標楷體" w:hint="eastAsia"/>
          <w:szCs w:val="24"/>
        </w:rPr>
        <w:t>）疫情後全球經濟挑戰，加以111年度實際稅收優於原編預算數，為有效運用疫情期間之經濟紅利帶來之稅收增加，於112年1月12日院會通過疫後強化經濟與社會韌性及全民共享經濟成果特別條例草案送請立法院審議，同年2月21日經立法院三讀通過並經總統公布施行。行政院據以編列中央政府疫後強化經濟與社會韌性及全民共享經濟成果特別預算（下稱疫後特別預算）案，於112年3月24日經立法院三讀通過，編列歲出預算3,798億餘元，主要用於強化經濟與社會韌性、挹注勞工保險基金、全民健康保險基金及台灣電力股份有限公司，全民共享普發現金等。所需經費依據疫後強化經濟與社會韌性及全民共享經濟成果特別條例第5條規定，編列移用以前年度歲計賸餘1,800億元及舉借債務1,998億餘元，並優先以特別預算執行期間之以前年度歲計賸餘支應。經查近年度中央政府稅課收入估計編列及移用以前年度歲計賸餘情形，核有下列事項：</w:t>
      </w:r>
    </w:p>
    <w:p w14:paraId="76F85DFB" w14:textId="7E0DA665" w:rsidR="00C628F5" w:rsidRPr="009D11AD" w:rsidRDefault="000118F5" w:rsidP="00DA2751">
      <w:pPr>
        <w:overflowPunct w:val="0"/>
        <w:spacing w:line="410" w:lineRule="exact"/>
        <w:ind w:firstLineChars="450" w:firstLine="1080"/>
        <w:jc w:val="both"/>
        <w:rPr>
          <w:rFonts w:ascii="標楷體" w:eastAsia="標楷體" w:hAnsi="標楷體"/>
          <w:szCs w:val="24"/>
        </w:rPr>
      </w:pPr>
      <w:r w:rsidRPr="009D11AD">
        <w:rPr>
          <w:rFonts w:ascii="標楷體" w:eastAsia="標楷體" w:hAnsi="標楷體"/>
          <w:noProof/>
        </w:rPr>
        <w:drawing>
          <wp:anchor distT="0" distB="0" distL="114300" distR="114300" simplePos="0" relativeHeight="251661824" behindDoc="1" locked="0" layoutInCell="1" allowOverlap="1" wp14:anchorId="5B738BBA" wp14:editId="1E5FA99D">
            <wp:simplePos x="0" y="0"/>
            <wp:positionH relativeFrom="column">
              <wp:posOffset>2238375</wp:posOffset>
            </wp:positionH>
            <wp:positionV relativeFrom="paragraph">
              <wp:posOffset>1272408</wp:posOffset>
            </wp:positionV>
            <wp:extent cx="4061460" cy="2902585"/>
            <wp:effectExtent l="0" t="0" r="0" b="0"/>
            <wp:wrapSquare wrapText="bothSides"/>
            <wp:docPr id="20" name="圖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14:sizeRelH relativeFrom="page">
              <wp14:pctWidth>0</wp14:pctWidth>
            </wp14:sizeRelH>
            <wp14:sizeRelV relativeFrom="page">
              <wp14:pctHeight>0</wp14:pctHeight>
            </wp14:sizeRelV>
          </wp:anchor>
        </w:drawing>
      </w:r>
      <w:r w:rsidR="00C628F5" w:rsidRPr="009D11AD">
        <w:rPr>
          <w:rFonts w:ascii="標楷體" w:eastAsia="標楷體" w:hAnsi="標楷體" w:hint="eastAsia"/>
          <w:b/>
          <w:szCs w:val="24"/>
        </w:rPr>
        <w:t>1</w:t>
      </w:r>
      <w:r w:rsidR="00C628F5" w:rsidRPr="009D11AD">
        <w:rPr>
          <w:rFonts w:ascii="標楷體" w:eastAsia="標楷體" w:hAnsi="標楷體"/>
          <w:b/>
          <w:szCs w:val="24"/>
        </w:rPr>
        <w:t>.</w:t>
      </w:r>
      <w:r w:rsidR="00C628F5" w:rsidRPr="009D11AD">
        <w:rPr>
          <w:rFonts w:ascii="標楷體" w:eastAsia="標楷體" w:hAnsi="標楷體" w:hint="eastAsia"/>
          <w:b/>
          <w:szCs w:val="24"/>
        </w:rPr>
        <w:t xml:space="preserve">　近10年度中央政府稅課收入決算數多超逾原編預算數，執行結果與預測存有落差，稅課收入估計編列作業有待精進：</w:t>
      </w:r>
      <w:r w:rsidR="00C628F5" w:rsidRPr="009D11AD">
        <w:rPr>
          <w:rFonts w:ascii="標楷體" w:eastAsia="標楷體" w:hAnsi="標楷體" w:hint="eastAsia"/>
          <w:szCs w:val="24"/>
        </w:rPr>
        <w:t>財政部依中央及地方政府預算籌編原則編列中央政府稅課收入，應以稅法之稅目、稅率等規定為計算基準，考量預算執行年度之政策變動、推動稅制改革因素，並參酌前年度決算與上年度已執行期間之實徵情形及行政院主計總處或其他預測機構估測之經濟成長趨勢，審慎估計編列。經查，</w:t>
      </w:r>
      <w:r w:rsidR="00521344" w:rsidRPr="00521344">
        <w:rPr>
          <w:rFonts w:ascii="標楷體" w:eastAsia="標楷體" w:hAnsi="標楷體" w:hint="eastAsia"/>
          <w:szCs w:val="24"/>
        </w:rPr>
        <w:t>111年</w:t>
      </w:r>
      <w:r w:rsidR="00521344" w:rsidRPr="00CE57F9">
        <w:rPr>
          <w:rFonts w:ascii="標楷體" w:eastAsia="標楷體" w:hAnsi="標楷體" w:hint="eastAsia"/>
          <w:szCs w:val="24"/>
        </w:rPr>
        <w:t>度中央政府歲入決算審定數</w:t>
      </w:r>
      <w:r w:rsidR="00521344" w:rsidRPr="00CE57F9">
        <w:rPr>
          <w:rFonts w:ascii="標楷體" w:eastAsia="標楷體" w:hAnsi="標楷體"/>
          <w:szCs w:val="24"/>
        </w:rPr>
        <w:t>2兆7,132億餘元，較預算數增加4,462億餘</w:t>
      </w:r>
      <w:r w:rsidR="00521344" w:rsidRPr="007F694C">
        <w:rPr>
          <w:rFonts w:ascii="標楷體" w:eastAsia="標楷體" w:hAnsi="標楷體"/>
          <w:szCs w:val="24"/>
        </w:rPr>
        <w:t>元</w:t>
      </w:r>
      <w:r w:rsidR="00C628F5" w:rsidRPr="009D11AD">
        <w:rPr>
          <w:rFonts w:ascii="標楷體" w:eastAsia="標楷體" w:hAnsi="標楷體" w:hint="eastAsia"/>
          <w:szCs w:val="24"/>
        </w:rPr>
        <w:t>，主要係所得稅、營業稅等稅課收入較預計增加4,002億餘元。經進一步檢視近</w:t>
      </w:r>
      <w:bookmarkStart w:id="0" w:name="_GoBack"/>
      <w:bookmarkEnd w:id="0"/>
      <w:r w:rsidR="00C628F5" w:rsidRPr="009D11AD">
        <w:rPr>
          <w:rFonts w:ascii="標楷體" w:eastAsia="標楷體" w:hAnsi="標楷體" w:hint="eastAsia"/>
          <w:szCs w:val="24"/>
        </w:rPr>
        <w:t>10年度（102至111年度，下同）中央政府稅課收入預算執行情形，除102及109年度較預算減少622億餘元及741億餘元外，其餘年度均較預算增加（</w:t>
      </w:r>
      <w:r w:rsidR="00C628F5" w:rsidRPr="00CE57F9">
        <w:rPr>
          <w:rFonts w:ascii="標楷體" w:eastAsia="標楷體" w:hAnsi="標楷體" w:hint="eastAsia"/>
          <w:szCs w:val="24"/>
        </w:rPr>
        <w:t>圖1</w:t>
      </w:r>
      <w:r w:rsidR="00C628F5" w:rsidRPr="009D11AD">
        <w:rPr>
          <w:rFonts w:ascii="標楷體" w:eastAsia="標楷體" w:hAnsi="標楷體" w:hint="eastAsia"/>
          <w:szCs w:val="24"/>
        </w:rPr>
        <w:t>）。另以近10年</w:t>
      </w:r>
      <w:r w:rsidR="00C628F5" w:rsidRPr="009D11AD">
        <w:rPr>
          <w:rFonts w:ascii="標楷體" w:eastAsia="標楷體" w:hAnsi="標楷體" w:hint="eastAsia"/>
          <w:szCs w:val="24"/>
        </w:rPr>
        <w:lastRenderedPageBreak/>
        <w:t>度各稅目預算執行情形觀之，較預算增減金額逾200億元且比率達10％者，計有營利事業所得稅6個年度、證券交易稅及營業稅各3個年度、綜合所得稅2個年度、貨物稅1個年度，執行結果與預測存有落差，顯示稅課收入估計編列作業存有精進空間。據財政部賦稅署提供資料，110及111年度各稅目之預估數，係參採前一年度預算數、實徵數及預算籌編時預估之經濟成長率等。惟查，該署估測預算期間，財政部為因應新型冠狀病毒肺炎（COVID－19）疫情，推動多項稅務協助措施，如延期或分期繳納措施，及經核准延期或分期繳納之營利事業，得免辦理109及110年度營利事業所得稅暫繳措施等，該2項稅務協助措施之遞延收入，分別達1,150億餘元及1,765億餘元，財政部賦稅署卻未於籌編下年度預算時（當年度之4至8月），進一步評估租稅協助措施對稅課收入之影響數額，致連續2年度決算數較預算數大幅增加，並引發輿論媒體關注，對於稅收預測之精準度有待提升。經函請行政院督促權責機關加強研議提升稅收預測之精準度，強化財務管理效能。</w:t>
      </w:r>
      <w:r w:rsidR="003C3B64" w:rsidRPr="00DA2751">
        <w:rPr>
          <w:rFonts w:ascii="標楷體" w:eastAsia="標楷體" w:hAnsi="標楷體" w:hint="eastAsia"/>
          <w:szCs w:val="24"/>
        </w:rPr>
        <w:t>據復：</w:t>
      </w:r>
      <w:r w:rsidR="00067BDF" w:rsidRPr="00CE57F9">
        <w:rPr>
          <w:rFonts w:ascii="標楷體" w:eastAsia="標楷體" w:hAnsi="標楷體" w:hint="eastAsia"/>
          <w:szCs w:val="24"/>
        </w:rPr>
        <w:t>財政部已於</w:t>
      </w:r>
      <w:r w:rsidR="00067BDF" w:rsidRPr="00CE57F9">
        <w:rPr>
          <w:rFonts w:ascii="標楷體" w:eastAsia="標楷體" w:hAnsi="標楷體"/>
          <w:szCs w:val="24"/>
        </w:rPr>
        <w:t>112年2月間邀集相關機關及專家學者召開會議，並成立財政部稅收估測專案小組，研議稅收推估基礎、參數、實徵數高（低）於預算數之處理機制等，包括參考上市櫃公司最新財務報表資料，縮短稅收估測時間落差，以及進一步瞭解消費與營業稅稅基之關聯性等，將納入113年度稅收估測作業考量；另委外研究「精進中央政府內地稅稅收估測模型」，蒐集主要國家估測稅收之經驗，分析影響稅收增減之參數及關鍵影響因素，並研議建置系統化稅收估測模型，適時導入所得稅等稅目估測</w:t>
      </w:r>
      <w:r w:rsidR="00C628F5" w:rsidRPr="00CE57F9">
        <w:rPr>
          <w:rFonts w:ascii="標楷體" w:eastAsia="標楷體" w:hAnsi="標楷體" w:hint="eastAsia"/>
          <w:szCs w:val="24"/>
        </w:rPr>
        <w:t>。</w:t>
      </w:r>
    </w:p>
    <w:p w14:paraId="313A6111" w14:textId="2378489A" w:rsidR="00C628F5" w:rsidRPr="009D11AD" w:rsidRDefault="00C628F5" w:rsidP="00DA2751">
      <w:pPr>
        <w:overflowPunct w:val="0"/>
        <w:spacing w:line="416" w:lineRule="exact"/>
        <w:ind w:firstLineChars="450" w:firstLine="1080"/>
        <w:jc w:val="both"/>
        <w:rPr>
          <w:rFonts w:ascii="標楷體" w:eastAsia="標楷體" w:hAnsi="標楷體"/>
          <w:szCs w:val="24"/>
        </w:rPr>
      </w:pPr>
      <w:r w:rsidRPr="009D11AD">
        <w:rPr>
          <w:rFonts w:ascii="標楷體" w:eastAsia="標楷體" w:hAnsi="標楷體"/>
          <w:noProof/>
          <w:szCs w:val="24"/>
        </w:rPr>
        <mc:AlternateContent>
          <mc:Choice Requires="wps">
            <w:drawing>
              <wp:anchor distT="45720" distB="45720" distL="114300" distR="114300" simplePos="0" relativeHeight="251640320" behindDoc="0" locked="0" layoutInCell="1" allowOverlap="1" wp14:anchorId="09BD5524" wp14:editId="29DA0C9F">
                <wp:simplePos x="0" y="0"/>
                <wp:positionH relativeFrom="column">
                  <wp:posOffset>3744595</wp:posOffset>
                </wp:positionH>
                <wp:positionV relativeFrom="paragraph">
                  <wp:posOffset>1930046</wp:posOffset>
                </wp:positionV>
                <wp:extent cx="2552700" cy="2615565"/>
                <wp:effectExtent l="0" t="0" r="0" b="0"/>
                <wp:wrapSquare wrapText="bothSides"/>
                <wp:docPr id="19" name="文字方塊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700" cy="2615565"/>
                        </a:xfrm>
                        <a:prstGeom prst="rect">
                          <a:avLst/>
                        </a:prstGeom>
                        <a:noFill/>
                        <a:ln w="9525">
                          <a:noFill/>
                          <a:miter lim="800000"/>
                          <a:headEnd/>
                          <a:tailEnd/>
                        </a:ln>
                      </wps:spPr>
                      <wps:txbx>
                        <w:txbxContent>
                          <w:p w14:paraId="7898E8EF" w14:textId="77777777" w:rsidR="00CE57F9" w:rsidRDefault="00CE57F9" w:rsidP="00C628F5">
                            <w:pPr>
                              <w:spacing w:line="200" w:lineRule="exact"/>
                            </w:pPr>
                          </w:p>
                          <w:tbl>
                            <w:tblPr>
                              <w:tblW w:w="3544" w:type="dxa"/>
                              <w:tblInd w:w="142" w:type="dxa"/>
                              <w:tblCellMar>
                                <w:left w:w="28" w:type="dxa"/>
                                <w:right w:w="28" w:type="dxa"/>
                              </w:tblCellMar>
                              <w:tblLook w:val="04A0" w:firstRow="1" w:lastRow="0" w:firstColumn="1" w:lastColumn="0" w:noHBand="0" w:noVBand="1"/>
                            </w:tblPr>
                            <w:tblGrid>
                              <w:gridCol w:w="1418"/>
                              <w:gridCol w:w="567"/>
                              <w:gridCol w:w="1559"/>
                            </w:tblGrid>
                            <w:tr w:rsidR="00CE57F9" w:rsidRPr="004306AD" w14:paraId="67090925" w14:textId="77777777" w:rsidTr="00C628F5">
                              <w:trPr>
                                <w:trHeight w:val="324"/>
                              </w:trPr>
                              <w:tc>
                                <w:tcPr>
                                  <w:tcW w:w="3544" w:type="dxa"/>
                                  <w:gridSpan w:val="3"/>
                                  <w:tcBorders>
                                    <w:top w:val="nil"/>
                                    <w:left w:val="nil"/>
                                    <w:bottom w:val="nil"/>
                                    <w:right w:val="nil"/>
                                  </w:tcBorders>
                                  <w:shd w:val="clear" w:color="auto" w:fill="auto"/>
                                  <w:vAlign w:val="center"/>
                                  <w:hideMark/>
                                </w:tcPr>
                                <w:p w14:paraId="1D2D1EF3" w14:textId="64D76A15" w:rsidR="00CE57F9" w:rsidRPr="004306AD" w:rsidRDefault="00CE57F9" w:rsidP="00C628F5">
                                  <w:pPr>
                                    <w:widowControl/>
                                    <w:ind w:left="644" w:hangingChars="268" w:hanging="644"/>
                                    <w:jc w:val="both"/>
                                    <w:rPr>
                                      <w:rFonts w:ascii="標楷體" w:eastAsia="標楷體" w:hAnsi="標楷體" w:cs="新細明體"/>
                                      <w:b/>
                                      <w:bCs/>
                                      <w:color w:val="000000"/>
                                      <w:kern w:val="0"/>
                                      <w:szCs w:val="24"/>
                                    </w:rPr>
                                  </w:pPr>
                                  <w:r w:rsidRPr="004306AD">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1</w:t>
                                  </w:r>
                                  <w:r w:rsidRPr="004306AD">
                                    <w:rPr>
                                      <w:rFonts w:ascii="標楷體" w:eastAsia="標楷體" w:hAnsi="標楷體" w:cs="新細明體" w:hint="eastAsia"/>
                                      <w:b/>
                                      <w:bCs/>
                                      <w:color w:val="000000"/>
                                      <w:kern w:val="0"/>
                                      <w:szCs w:val="24"/>
                                    </w:rPr>
                                    <w:t xml:space="preserve">　</w:t>
                                  </w:r>
                                  <w:r w:rsidRPr="00CE57F9">
                                    <w:rPr>
                                      <w:rFonts w:ascii="標楷體" w:eastAsia="標楷體" w:hAnsi="標楷體" w:cs="新細明體"/>
                                      <w:b/>
                                      <w:bCs/>
                                      <w:color w:val="000000"/>
                                      <w:kern w:val="0"/>
                                      <w:szCs w:val="24"/>
                                    </w:rPr>
                                    <w:t>111</w:t>
                                  </w:r>
                                  <w:r w:rsidRPr="00CE57F9">
                                    <w:rPr>
                                      <w:rFonts w:ascii="標楷體" w:eastAsia="標楷體" w:hAnsi="標楷體" w:cs="新細明體" w:hint="eastAsia"/>
                                      <w:b/>
                                      <w:bCs/>
                                      <w:color w:val="000000"/>
                                      <w:kern w:val="0"/>
                                      <w:szCs w:val="24"/>
                                    </w:rPr>
                                    <w:t>年底</w:t>
                                  </w:r>
                                  <w:r w:rsidRPr="004306AD">
                                    <w:rPr>
                                      <w:rFonts w:ascii="標楷體" w:eastAsia="標楷體" w:hAnsi="標楷體" w:cs="新細明體" w:hint="eastAsia"/>
                                      <w:b/>
                                      <w:bCs/>
                                      <w:color w:val="000000"/>
                                      <w:kern w:val="0"/>
                                      <w:szCs w:val="24"/>
                                    </w:rPr>
                                    <w:t>經濟部釋股預算保留待執行情形</w:t>
                                  </w:r>
                                </w:p>
                              </w:tc>
                            </w:tr>
                            <w:tr w:rsidR="00CE57F9" w:rsidRPr="004306AD" w14:paraId="797AC489" w14:textId="77777777" w:rsidTr="00C628F5">
                              <w:trPr>
                                <w:trHeight w:val="324"/>
                              </w:trPr>
                              <w:tc>
                                <w:tcPr>
                                  <w:tcW w:w="3544" w:type="dxa"/>
                                  <w:gridSpan w:val="3"/>
                                  <w:tcBorders>
                                    <w:top w:val="nil"/>
                                    <w:left w:val="nil"/>
                                    <w:bottom w:val="nil"/>
                                    <w:right w:val="nil"/>
                                  </w:tcBorders>
                                  <w:shd w:val="clear" w:color="auto" w:fill="auto"/>
                                  <w:noWrap/>
                                  <w:vAlign w:val="center"/>
                                  <w:hideMark/>
                                </w:tcPr>
                                <w:p w14:paraId="60B0CB79" w14:textId="77777777" w:rsidR="00CE57F9" w:rsidRPr="004306AD" w:rsidRDefault="00CE57F9" w:rsidP="00C628F5">
                                  <w:pPr>
                                    <w:widowControl/>
                                    <w:jc w:val="right"/>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單位：新臺幣千元</w:t>
                                  </w:r>
                                </w:p>
                              </w:tc>
                            </w:tr>
                            <w:tr w:rsidR="00CE57F9" w:rsidRPr="004306AD" w14:paraId="6BDF2115" w14:textId="77777777" w:rsidTr="00C628F5">
                              <w:trPr>
                                <w:trHeight w:val="324"/>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D2A4F7" w14:textId="77777777" w:rsidR="00CE57F9" w:rsidRPr="004306AD" w:rsidRDefault="00CE57F9" w:rsidP="00C628F5">
                                  <w:pPr>
                                    <w:widowControl/>
                                    <w:spacing w:line="240" w:lineRule="exact"/>
                                    <w:jc w:val="center"/>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事業機構</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2D0F98D5" w14:textId="77777777" w:rsidR="00CE57F9" w:rsidRPr="004306AD" w:rsidRDefault="00CE57F9" w:rsidP="00C628F5">
                                  <w:pPr>
                                    <w:widowControl/>
                                    <w:spacing w:line="240" w:lineRule="exact"/>
                                    <w:jc w:val="center"/>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預算年度</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4A66FC05" w14:textId="77777777" w:rsidR="00CE57F9" w:rsidRPr="004306AD" w:rsidRDefault="00CE57F9" w:rsidP="00C628F5">
                                  <w:pPr>
                                    <w:widowControl/>
                                    <w:spacing w:line="240" w:lineRule="exact"/>
                                    <w:jc w:val="center"/>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金額</w:t>
                                  </w:r>
                                </w:p>
                              </w:tc>
                            </w:tr>
                            <w:tr w:rsidR="00CE57F9" w:rsidRPr="004306AD" w14:paraId="673FFB62" w14:textId="77777777" w:rsidTr="00C628F5">
                              <w:trPr>
                                <w:trHeight w:val="324"/>
                              </w:trPr>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51797" w14:textId="77777777" w:rsidR="00CE57F9" w:rsidRPr="004306AD" w:rsidRDefault="00CE57F9" w:rsidP="00C628F5">
                                  <w:pPr>
                                    <w:widowControl/>
                                    <w:jc w:val="center"/>
                                    <w:rPr>
                                      <w:rFonts w:ascii="標楷體" w:eastAsia="標楷體" w:hAnsi="標楷體" w:cs="新細明體"/>
                                      <w:b/>
                                      <w:bCs/>
                                      <w:color w:val="000000"/>
                                      <w:kern w:val="0"/>
                                      <w:sz w:val="20"/>
                                    </w:rPr>
                                  </w:pPr>
                                  <w:r w:rsidRPr="004306AD">
                                    <w:rPr>
                                      <w:rFonts w:ascii="標楷體" w:eastAsia="標楷體" w:hAnsi="標楷體" w:cs="新細明體" w:hint="eastAsia"/>
                                      <w:b/>
                                      <w:bCs/>
                                      <w:color w:val="000000"/>
                                      <w:kern w:val="0"/>
                                      <w:sz w:val="20"/>
                                    </w:rPr>
                                    <w:t>合計</w:t>
                                  </w:r>
                                </w:p>
                              </w:tc>
                              <w:tc>
                                <w:tcPr>
                                  <w:tcW w:w="1559" w:type="dxa"/>
                                  <w:tcBorders>
                                    <w:top w:val="nil"/>
                                    <w:left w:val="nil"/>
                                    <w:bottom w:val="single" w:sz="4" w:space="0" w:color="auto"/>
                                    <w:right w:val="single" w:sz="4" w:space="0" w:color="auto"/>
                                  </w:tcBorders>
                                  <w:shd w:val="clear" w:color="auto" w:fill="auto"/>
                                  <w:noWrap/>
                                  <w:vAlign w:val="center"/>
                                  <w:hideMark/>
                                </w:tcPr>
                                <w:p w14:paraId="6066EA86" w14:textId="77777777" w:rsidR="00CE57F9" w:rsidRPr="004306AD" w:rsidRDefault="00CE57F9" w:rsidP="00C628F5">
                                  <w:pPr>
                                    <w:widowControl/>
                                    <w:jc w:val="right"/>
                                    <w:rPr>
                                      <w:rFonts w:ascii="標楷體" w:eastAsia="標楷體" w:hAnsi="標楷體" w:cs="新細明體"/>
                                      <w:b/>
                                      <w:bCs/>
                                      <w:color w:val="000000"/>
                                      <w:kern w:val="0"/>
                                      <w:sz w:val="20"/>
                                    </w:rPr>
                                  </w:pPr>
                                  <w:r w:rsidRPr="004306AD">
                                    <w:rPr>
                                      <w:rFonts w:ascii="標楷體" w:eastAsia="標楷體" w:hAnsi="標楷體" w:cs="新細明體" w:hint="eastAsia"/>
                                      <w:b/>
                                      <w:bCs/>
                                      <w:color w:val="000000"/>
                                      <w:kern w:val="0"/>
                                      <w:sz w:val="20"/>
                                    </w:rPr>
                                    <w:t>1</w:t>
                                  </w:r>
                                  <w:r>
                                    <w:rPr>
                                      <w:rFonts w:ascii="標楷體" w:eastAsia="標楷體" w:hAnsi="標楷體" w:cs="新細明體"/>
                                      <w:b/>
                                      <w:bCs/>
                                      <w:color w:val="000000"/>
                                      <w:kern w:val="0"/>
                                      <w:sz w:val="20"/>
                                    </w:rPr>
                                    <w:t>6</w:t>
                                  </w:r>
                                  <w:r w:rsidRPr="004306AD">
                                    <w:rPr>
                                      <w:rFonts w:ascii="標楷體" w:eastAsia="標楷體" w:hAnsi="標楷體" w:cs="新細明體" w:hint="eastAsia"/>
                                      <w:b/>
                                      <w:bCs/>
                                      <w:color w:val="000000"/>
                                      <w:kern w:val="0"/>
                                      <w:sz w:val="20"/>
                                    </w:rPr>
                                    <w:t>9,</w:t>
                                  </w:r>
                                  <w:r>
                                    <w:rPr>
                                      <w:rFonts w:ascii="標楷體" w:eastAsia="標楷體" w:hAnsi="標楷體" w:cs="新細明體"/>
                                      <w:b/>
                                      <w:bCs/>
                                      <w:color w:val="000000"/>
                                      <w:kern w:val="0"/>
                                      <w:sz w:val="20"/>
                                    </w:rPr>
                                    <w:t>717</w:t>
                                  </w:r>
                                  <w:r w:rsidRPr="004306AD">
                                    <w:rPr>
                                      <w:rFonts w:ascii="標楷體" w:eastAsia="標楷體" w:hAnsi="標楷體" w:cs="新細明體" w:hint="eastAsia"/>
                                      <w:b/>
                                      <w:bCs/>
                                      <w:color w:val="000000"/>
                                      <w:kern w:val="0"/>
                                      <w:sz w:val="20"/>
                                    </w:rPr>
                                    <w:t>,</w:t>
                                  </w:r>
                                  <w:r>
                                    <w:rPr>
                                      <w:rFonts w:ascii="標楷體" w:eastAsia="標楷體" w:hAnsi="標楷體" w:cs="新細明體"/>
                                      <w:b/>
                                      <w:bCs/>
                                      <w:color w:val="000000"/>
                                      <w:kern w:val="0"/>
                                      <w:sz w:val="20"/>
                                    </w:rPr>
                                    <w:t>4</w:t>
                                  </w:r>
                                  <w:r w:rsidRPr="004306AD">
                                    <w:rPr>
                                      <w:rFonts w:ascii="標楷體" w:eastAsia="標楷體" w:hAnsi="標楷體" w:cs="新細明體" w:hint="eastAsia"/>
                                      <w:b/>
                                      <w:bCs/>
                                      <w:color w:val="000000"/>
                                      <w:kern w:val="0"/>
                                      <w:sz w:val="20"/>
                                    </w:rPr>
                                    <w:t>20</w:t>
                                  </w:r>
                                </w:p>
                              </w:tc>
                            </w:tr>
                            <w:tr w:rsidR="00CE57F9" w:rsidRPr="004306AD" w14:paraId="31872AC9" w14:textId="77777777" w:rsidTr="00C628F5">
                              <w:trPr>
                                <w:trHeight w:val="324"/>
                              </w:trPr>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C9BBD3D" w14:textId="47405ED0" w:rsidR="00CE57F9" w:rsidRPr="004306AD" w:rsidRDefault="00CE57F9" w:rsidP="00C628F5">
                                  <w:pPr>
                                    <w:widowControl/>
                                    <w:jc w:val="center"/>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台灣中油</w:t>
                                  </w:r>
                                  <w:r>
                                    <w:rPr>
                                      <w:rFonts w:ascii="標楷體" w:eastAsia="標楷體" w:hAnsi="標楷體" w:cs="新細明體" w:hint="eastAsia"/>
                                      <w:color w:val="000000"/>
                                      <w:kern w:val="0"/>
                                      <w:sz w:val="20"/>
                                    </w:rPr>
                                    <w:t>股份有限</w:t>
                                  </w:r>
                                  <w:r w:rsidRPr="004306AD">
                                    <w:rPr>
                                      <w:rFonts w:ascii="標楷體" w:eastAsia="標楷體" w:hAnsi="標楷體" w:cs="新細明體" w:hint="eastAsia"/>
                                      <w:color w:val="000000"/>
                                      <w:kern w:val="0"/>
                                      <w:sz w:val="20"/>
                                    </w:rPr>
                                    <w:t>公司</w:t>
                                  </w:r>
                                </w:p>
                              </w:tc>
                              <w:tc>
                                <w:tcPr>
                                  <w:tcW w:w="567" w:type="dxa"/>
                                  <w:tcBorders>
                                    <w:top w:val="nil"/>
                                    <w:left w:val="nil"/>
                                    <w:bottom w:val="single" w:sz="4" w:space="0" w:color="auto"/>
                                    <w:right w:val="single" w:sz="4" w:space="0" w:color="auto"/>
                                  </w:tcBorders>
                                  <w:shd w:val="clear" w:color="auto" w:fill="auto"/>
                                  <w:noWrap/>
                                  <w:vAlign w:val="center"/>
                                  <w:hideMark/>
                                </w:tcPr>
                                <w:p w14:paraId="1DB79073" w14:textId="77777777" w:rsidR="00CE57F9" w:rsidRPr="004306AD" w:rsidRDefault="00CE57F9" w:rsidP="00C628F5">
                                  <w:pPr>
                                    <w:widowControl/>
                                    <w:jc w:val="center"/>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87</w:t>
                                  </w:r>
                                </w:p>
                              </w:tc>
                              <w:tc>
                                <w:tcPr>
                                  <w:tcW w:w="1559" w:type="dxa"/>
                                  <w:tcBorders>
                                    <w:top w:val="nil"/>
                                    <w:left w:val="nil"/>
                                    <w:bottom w:val="single" w:sz="4" w:space="0" w:color="auto"/>
                                    <w:right w:val="single" w:sz="4" w:space="0" w:color="auto"/>
                                  </w:tcBorders>
                                  <w:shd w:val="clear" w:color="auto" w:fill="auto"/>
                                  <w:noWrap/>
                                  <w:vAlign w:val="center"/>
                                  <w:hideMark/>
                                </w:tcPr>
                                <w:p w14:paraId="262D439A" w14:textId="77777777" w:rsidR="00CE57F9" w:rsidRPr="004306AD" w:rsidRDefault="00CE57F9" w:rsidP="00C628F5">
                                  <w:pPr>
                                    <w:widowControl/>
                                    <w:jc w:val="right"/>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52,800,000</w:t>
                                  </w:r>
                                </w:p>
                              </w:tc>
                            </w:tr>
                            <w:tr w:rsidR="00CE57F9" w:rsidRPr="004306AD" w14:paraId="560C68C1" w14:textId="77777777" w:rsidTr="00C628F5">
                              <w:trPr>
                                <w:trHeight w:val="324"/>
                              </w:trPr>
                              <w:tc>
                                <w:tcPr>
                                  <w:tcW w:w="1418" w:type="dxa"/>
                                  <w:vMerge/>
                                  <w:tcBorders>
                                    <w:top w:val="nil"/>
                                    <w:left w:val="single" w:sz="4" w:space="0" w:color="auto"/>
                                    <w:bottom w:val="single" w:sz="4" w:space="0" w:color="auto"/>
                                    <w:right w:val="single" w:sz="4" w:space="0" w:color="auto"/>
                                  </w:tcBorders>
                                  <w:vAlign w:val="center"/>
                                  <w:hideMark/>
                                </w:tcPr>
                                <w:p w14:paraId="29813192" w14:textId="77777777" w:rsidR="00CE57F9" w:rsidRPr="004306AD" w:rsidRDefault="00CE57F9" w:rsidP="00C628F5">
                                  <w:pPr>
                                    <w:widowControl/>
                                    <w:rPr>
                                      <w:rFonts w:ascii="標楷體" w:eastAsia="標楷體" w:hAnsi="標楷體" w:cs="新細明體"/>
                                      <w:color w:val="000000"/>
                                      <w:kern w:val="0"/>
                                      <w:sz w:val="20"/>
                                    </w:rPr>
                                  </w:pPr>
                                </w:p>
                              </w:tc>
                              <w:tc>
                                <w:tcPr>
                                  <w:tcW w:w="567" w:type="dxa"/>
                                  <w:tcBorders>
                                    <w:top w:val="nil"/>
                                    <w:left w:val="nil"/>
                                    <w:bottom w:val="single" w:sz="4" w:space="0" w:color="auto"/>
                                    <w:right w:val="single" w:sz="4" w:space="0" w:color="auto"/>
                                  </w:tcBorders>
                                  <w:shd w:val="clear" w:color="auto" w:fill="auto"/>
                                  <w:noWrap/>
                                  <w:vAlign w:val="center"/>
                                  <w:hideMark/>
                                </w:tcPr>
                                <w:p w14:paraId="5C576BA1" w14:textId="77777777" w:rsidR="00CE57F9" w:rsidRPr="004306AD" w:rsidRDefault="00CE57F9" w:rsidP="00C628F5">
                                  <w:pPr>
                                    <w:widowControl/>
                                    <w:jc w:val="center"/>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88</w:t>
                                  </w:r>
                                </w:p>
                              </w:tc>
                              <w:tc>
                                <w:tcPr>
                                  <w:tcW w:w="1559" w:type="dxa"/>
                                  <w:tcBorders>
                                    <w:top w:val="nil"/>
                                    <w:left w:val="nil"/>
                                    <w:bottom w:val="single" w:sz="4" w:space="0" w:color="auto"/>
                                    <w:right w:val="single" w:sz="4" w:space="0" w:color="auto"/>
                                  </w:tcBorders>
                                  <w:shd w:val="clear" w:color="auto" w:fill="auto"/>
                                  <w:noWrap/>
                                  <w:vAlign w:val="center"/>
                                  <w:hideMark/>
                                </w:tcPr>
                                <w:p w14:paraId="20C8E52B" w14:textId="77777777" w:rsidR="00CE57F9" w:rsidRPr="004306AD" w:rsidRDefault="00CE57F9" w:rsidP="00C628F5">
                                  <w:pPr>
                                    <w:widowControl/>
                                    <w:jc w:val="right"/>
                                    <w:rPr>
                                      <w:rFonts w:ascii="標楷體" w:eastAsia="標楷體" w:hAnsi="標楷體" w:cs="新細明體"/>
                                      <w:color w:val="000000"/>
                                      <w:kern w:val="0"/>
                                      <w:sz w:val="20"/>
                                    </w:rPr>
                                  </w:pPr>
                                  <w:r w:rsidRPr="004874CE">
                                    <w:rPr>
                                      <w:rFonts w:ascii="標楷體" w:eastAsia="標楷體" w:hAnsi="標楷體" w:cs="新細明體" w:hint="eastAsia"/>
                                      <w:color w:val="000000"/>
                                      <w:kern w:val="0"/>
                                      <w:sz w:val="20"/>
                                    </w:rPr>
                                    <w:t>63,360,180</w:t>
                                  </w:r>
                                </w:p>
                              </w:tc>
                            </w:tr>
                            <w:tr w:rsidR="00CE57F9" w:rsidRPr="004306AD" w14:paraId="711C230F" w14:textId="77777777" w:rsidTr="00C628F5">
                              <w:trPr>
                                <w:trHeight w:val="324"/>
                              </w:trPr>
                              <w:tc>
                                <w:tcPr>
                                  <w:tcW w:w="1418" w:type="dxa"/>
                                  <w:vMerge/>
                                  <w:tcBorders>
                                    <w:top w:val="nil"/>
                                    <w:left w:val="single" w:sz="4" w:space="0" w:color="auto"/>
                                    <w:bottom w:val="single" w:sz="4" w:space="0" w:color="auto"/>
                                    <w:right w:val="single" w:sz="4" w:space="0" w:color="auto"/>
                                  </w:tcBorders>
                                  <w:vAlign w:val="center"/>
                                  <w:hideMark/>
                                </w:tcPr>
                                <w:p w14:paraId="351B8E8D" w14:textId="77777777" w:rsidR="00CE57F9" w:rsidRPr="004306AD" w:rsidRDefault="00CE57F9" w:rsidP="00C628F5">
                                  <w:pPr>
                                    <w:widowControl/>
                                    <w:rPr>
                                      <w:rFonts w:ascii="標楷體" w:eastAsia="標楷體" w:hAnsi="標楷體" w:cs="新細明體"/>
                                      <w:color w:val="000000"/>
                                      <w:kern w:val="0"/>
                                      <w:sz w:val="20"/>
                                    </w:rPr>
                                  </w:pPr>
                                </w:p>
                              </w:tc>
                              <w:tc>
                                <w:tcPr>
                                  <w:tcW w:w="567" w:type="dxa"/>
                                  <w:tcBorders>
                                    <w:top w:val="nil"/>
                                    <w:left w:val="nil"/>
                                    <w:bottom w:val="single" w:sz="4" w:space="0" w:color="auto"/>
                                    <w:right w:val="single" w:sz="4" w:space="0" w:color="auto"/>
                                  </w:tcBorders>
                                  <w:shd w:val="clear" w:color="auto" w:fill="auto"/>
                                  <w:noWrap/>
                                  <w:vAlign w:val="center"/>
                                  <w:hideMark/>
                                </w:tcPr>
                                <w:p w14:paraId="7D389A46" w14:textId="77777777" w:rsidR="00CE57F9" w:rsidRPr="004306AD" w:rsidRDefault="00CE57F9" w:rsidP="00C628F5">
                                  <w:pPr>
                                    <w:widowControl/>
                                    <w:jc w:val="center"/>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92</w:t>
                                  </w:r>
                                </w:p>
                              </w:tc>
                              <w:tc>
                                <w:tcPr>
                                  <w:tcW w:w="1559" w:type="dxa"/>
                                  <w:tcBorders>
                                    <w:top w:val="nil"/>
                                    <w:left w:val="nil"/>
                                    <w:bottom w:val="single" w:sz="4" w:space="0" w:color="auto"/>
                                    <w:right w:val="single" w:sz="4" w:space="0" w:color="auto"/>
                                  </w:tcBorders>
                                  <w:shd w:val="clear" w:color="auto" w:fill="auto"/>
                                  <w:noWrap/>
                                  <w:vAlign w:val="center"/>
                                  <w:hideMark/>
                                </w:tcPr>
                                <w:p w14:paraId="7F837493" w14:textId="77777777" w:rsidR="00CE57F9" w:rsidRPr="004306AD" w:rsidRDefault="00CE57F9" w:rsidP="00C628F5">
                                  <w:pPr>
                                    <w:widowControl/>
                                    <w:jc w:val="right"/>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23,560,000</w:t>
                                  </w:r>
                                </w:p>
                              </w:tc>
                            </w:tr>
                            <w:tr w:rsidR="00CE57F9" w:rsidRPr="004306AD" w14:paraId="14B21746" w14:textId="77777777" w:rsidTr="00C628F5">
                              <w:trPr>
                                <w:trHeight w:val="324"/>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F79F9CC" w14:textId="76D832A7" w:rsidR="00CE57F9" w:rsidRPr="004306AD" w:rsidRDefault="00CE57F9" w:rsidP="00C628F5">
                                  <w:pPr>
                                    <w:widowControl/>
                                    <w:jc w:val="center"/>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台灣電力</w:t>
                                  </w:r>
                                  <w:r>
                                    <w:rPr>
                                      <w:rFonts w:ascii="標楷體" w:eastAsia="標楷體" w:hAnsi="標楷體" w:cs="新細明體" w:hint="eastAsia"/>
                                      <w:color w:val="000000"/>
                                      <w:kern w:val="0"/>
                                      <w:sz w:val="20"/>
                                    </w:rPr>
                                    <w:t>股份有限</w:t>
                                  </w:r>
                                  <w:r w:rsidRPr="004306AD">
                                    <w:rPr>
                                      <w:rFonts w:ascii="標楷體" w:eastAsia="標楷體" w:hAnsi="標楷體" w:cs="新細明體" w:hint="eastAsia"/>
                                      <w:color w:val="000000"/>
                                      <w:kern w:val="0"/>
                                      <w:sz w:val="20"/>
                                    </w:rPr>
                                    <w:t>公司</w:t>
                                  </w:r>
                                </w:p>
                              </w:tc>
                              <w:tc>
                                <w:tcPr>
                                  <w:tcW w:w="567" w:type="dxa"/>
                                  <w:tcBorders>
                                    <w:top w:val="nil"/>
                                    <w:left w:val="nil"/>
                                    <w:bottom w:val="single" w:sz="4" w:space="0" w:color="auto"/>
                                    <w:right w:val="single" w:sz="4" w:space="0" w:color="auto"/>
                                  </w:tcBorders>
                                  <w:shd w:val="clear" w:color="auto" w:fill="auto"/>
                                  <w:noWrap/>
                                  <w:vAlign w:val="center"/>
                                  <w:hideMark/>
                                </w:tcPr>
                                <w:p w14:paraId="6570F0FB" w14:textId="77777777" w:rsidR="00CE57F9" w:rsidRPr="004306AD" w:rsidRDefault="00CE57F9" w:rsidP="00C628F5">
                                  <w:pPr>
                                    <w:widowControl/>
                                    <w:jc w:val="center"/>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88</w:t>
                                  </w:r>
                                </w:p>
                              </w:tc>
                              <w:tc>
                                <w:tcPr>
                                  <w:tcW w:w="1559" w:type="dxa"/>
                                  <w:tcBorders>
                                    <w:top w:val="nil"/>
                                    <w:left w:val="nil"/>
                                    <w:bottom w:val="single" w:sz="4" w:space="0" w:color="auto"/>
                                    <w:right w:val="single" w:sz="4" w:space="0" w:color="auto"/>
                                  </w:tcBorders>
                                  <w:shd w:val="clear" w:color="auto" w:fill="auto"/>
                                  <w:noWrap/>
                                  <w:vAlign w:val="center"/>
                                  <w:hideMark/>
                                </w:tcPr>
                                <w:p w14:paraId="38D9C046" w14:textId="77777777" w:rsidR="00CE57F9" w:rsidRPr="004306AD" w:rsidRDefault="00CE57F9" w:rsidP="00C628F5">
                                  <w:pPr>
                                    <w:widowControl/>
                                    <w:jc w:val="right"/>
                                    <w:rPr>
                                      <w:rFonts w:ascii="標楷體" w:eastAsia="標楷體" w:hAnsi="標楷體" w:cs="新細明體"/>
                                      <w:color w:val="000000"/>
                                      <w:kern w:val="0"/>
                                      <w:sz w:val="20"/>
                                    </w:rPr>
                                  </w:pPr>
                                  <w:r w:rsidRPr="004874CE">
                                    <w:rPr>
                                      <w:rFonts w:ascii="標楷體" w:eastAsia="標楷體" w:hAnsi="標楷體" w:cs="新細明體"/>
                                      <w:color w:val="000000"/>
                                      <w:kern w:val="0"/>
                                      <w:sz w:val="20"/>
                                    </w:rPr>
                                    <w:t>29,997,240</w:t>
                                  </w:r>
                                </w:p>
                              </w:tc>
                            </w:tr>
                            <w:tr w:rsidR="00CE57F9" w:rsidRPr="004306AD" w14:paraId="4651C30D" w14:textId="77777777" w:rsidTr="00C628F5">
                              <w:trPr>
                                <w:trHeight w:val="324"/>
                              </w:trPr>
                              <w:tc>
                                <w:tcPr>
                                  <w:tcW w:w="3544" w:type="dxa"/>
                                  <w:gridSpan w:val="3"/>
                                  <w:tcBorders>
                                    <w:top w:val="nil"/>
                                    <w:left w:val="nil"/>
                                    <w:bottom w:val="nil"/>
                                    <w:right w:val="nil"/>
                                  </w:tcBorders>
                                  <w:shd w:val="clear" w:color="auto" w:fill="auto"/>
                                  <w:noWrap/>
                                  <w:vAlign w:val="center"/>
                                  <w:hideMark/>
                                </w:tcPr>
                                <w:p w14:paraId="0F3383BE" w14:textId="77777777" w:rsidR="00CE57F9" w:rsidRPr="004306AD" w:rsidRDefault="00CE57F9" w:rsidP="00C628F5">
                                  <w:pPr>
                                    <w:widowControl/>
                                    <w:spacing w:line="200" w:lineRule="exact"/>
                                    <w:ind w:left="900" w:hangingChars="500" w:hanging="900"/>
                                    <w:jc w:val="both"/>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18"/>
                                    </w:rPr>
                                    <w:t>資料來源：</w:t>
                                  </w:r>
                                  <w:r w:rsidRPr="0093279D">
                                    <w:rPr>
                                      <w:rFonts w:ascii="標楷體" w:eastAsia="標楷體" w:hAnsi="標楷體" w:cs="新細明體" w:hint="eastAsia"/>
                                      <w:color w:val="000000"/>
                                      <w:kern w:val="0"/>
                                      <w:sz w:val="18"/>
                                    </w:rPr>
                                    <w:t>整理自11</w:t>
                                  </w:r>
                                  <w:r>
                                    <w:rPr>
                                      <w:rFonts w:ascii="標楷體" w:eastAsia="標楷體" w:hAnsi="標楷體" w:cs="新細明體"/>
                                      <w:color w:val="000000"/>
                                      <w:kern w:val="0"/>
                                      <w:sz w:val="18"/>
                                    </w:rPr>
                                    <w:t>1</w:t>
                                  </w:r>
                                  <w:r w:rsidRPr="0093279D">
                                    <w:rPr>
                                      <w:rFonts w:ascii="標楷體" w:eastAsia="標楷體" w:hAnsi="標楷體" w:cs="新細明體" w:hint="eastAsia"/>
                                      <w:color w:val="000000"/>
                                      <w:kern w:val="0"/>
                                      <w:sz w:val="18"/>
                                    </w:rPr>
                                    <w:t>年度</w:t>
                                  </w:r>
                                  <w:r>
                                    <w:rPr>
                                      <w:rFonts w:ascii="標楷體" w:eastAsia="標楷體" w:hAnsi="標楷體" w:cs="新細明體" w:hint="eastAsia"/>
                                      <w:color w:val="000000"/>
                                      <w:kern w:val="0"/>
                                      <w:sz w:val="18"/>
                                    </w:rPr>
                                    <w:t>中央政府</w:t>
                                  </w:r>
                                  <w:r w:rsidRPr="0093279D">
                                    <w:rPr>
                                      <w:rFonts w:ascii="標楷體" w:eastAsia="標楷體" w:hAnsi="標楷體" w:cs="新細明體" w:hint="eastAsia"/>
                                      <w:color w:val="000000"/>
                                      <w:kern w:val="0"/>
                                      <w:sz w:val="18"/>
                                    </w:rPr>
                                    <w:t>總決算審核報告。</w:t>
                                  </w:r>
                                </w:p>
                              </w:tc>
                            </w:tr>
                          </w:tbl>
                          <w:p w14:paraId="49B497F3" w14:textId="77777777" w:rsidR="00CE57F9" w:rsidRPr="004306AD" w:rsidRDefault="00CE57F9" w:rsidP="00C628F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9BD5524" id="_x0000_t202" coordsize="21600,21600" o:spt="202" path="m,l,21600r21600,l21600,xe">
                <v:stroke joinstyle="miter"/>
                <v:path gradientshapeok="t" o:connecttype="rect"/>
              </v:shapetype>
              <v:shape id="文字方塊 19" o:spid="_x0000_s1026" type="#_x0000_t202" style="position:absolute;left:0;text-align:left;margin-left:294.85pt;margin-top:151.95pt;width:201pt;height:205.95pt;z-index:251640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" filled="f" stroked="f">
                <v:textbox>
                  <w:txbxContent>
                    <w:p w14:paraId="7898E8EF" w14:textId="77777777" w:rsidR="00CE57F9" w:rsidRDefault="00CE57F9" w:rsidP="00C628F5">
                      <w:pPr>
                        <w:spacing w:line="200" w:lineRule="exact"/>
                      </w:pPr>
                    </w:p>
                    <w:tbl>
                      <w:tblPr>
                        <w:tblW w:w="3544" w:type="dxa"/>
                        <w:tblInd w:w="142" w:type="dxa"/>
                        <w:tblCellMar>
                          <w:left w:w="28" w:type="dxa"/>
                          <w:right w:w="28" w:type="dxa"/>
                        </w:tblCellMar>
                        <w:tblLook w:val="04A0" w:firstRow="1" w:lastRow="0" w:firstColumn="1" w:lastColumn="0" w:noHBand="0" w:noVBand="1"/>
                      </w:tblPr>
                      <w:tblGrid>
                        <w:gridCol w:w="1418"/>
                        <w:gridCol w:w="567"/>
                        <w:gridCol w:w="1559"/>
                      </w:tblGrid>
                      <w:tr w:rsidR="00CE57F9" w:rsidRPr="004306AD" w14:paraId="67090925" w14:textId="77777777" w:rsidTr="00C628F5">
                        <w:trPr>
                          <w:trHeight w:val="324"/>
                        </w:trPr>
                        <w:tc>
                          <w:tcPr>
                            <w:tcW w:w="3544" w:type="dxa"/>
                            <w:gridSpan w:val="3"/>
                            <w:tcBorders>
                              <w:top w:val="nil"/>
                              <w:left w:val="nil"/>
                              <w:bottom w:val="nil"/>
                              <w:right w:val="nil"/>
                            </w:tcBorders>
                            <w:shd w:val="clear" w:color="auto" w:fill="auto"/>
                            <w:vAlign w:val="center"/>
                            <w:hideMark/>
                          </w:tcPr>
                          <w:p w14:paraId="1D2D1EF3" w14:textId="64D76A15" w:rsidR="00CE57F9" w:rsidRPr="004306AD" w:rsidRDefault="00CE57F9" w:rsidP="00C628F5">
                            <w:pPr>
                              <w:widowControl/>
                              <w:ind w:left="644" w:hangingChars="268" w:hanging="644"/>
                              <w:jc w:val="both"/>
                              <w:rPr>
                                <w:rFonts w:ascii="標楷體" w:eastAsia="標楷體" w:hAnsi="標楷體" w:cs="新細明體"/>
                                <w:b/>
                                <w:bCs/>
                                <w:color w:val="000000"/>
                                <w:kern w:val="0"/>
                                <w:szCs w:val="24"/>
                              </w:rPr>
                            </w:pPr>
                            <w:r w:rsidRPr="004306AD">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1</w:t>
                            </w:r>
                            <w:r w:rsidRPr="004306AD">
                              <w:rPr>
                                <w:rFonts w:ascii="標楷體" w:eastAsia="標楷體" w:hAnsi="標楷體" w:cs="新細明體" w:hint="eastAsia"/>
                                <w:b/>
                                <w:bCs/>
                                <w:color w:val="000000"/>
                                <w:kern w:val="0"/>
                                <w:szCs w:val="24"/>
                              </w:rPr>
                              <w:t xml:space="preserve">　</w:t>
                            </w:r>
                            <w:r w:rsidRPr="00CE57F9">
                              <w:rPr>
                                <w:rFonts w:ascii="標楷體" w:eastAsia="標楷體" w:hAnsi="標楷體" w:cs="新細明體"/>
                                <w:b/>
                                <w:bCs/>
                                <w:color w:val="000000"/>
                                <w:kern w:val="0"/>
                                <w:szCs w:val="24"/>
                              </w:rPr>
                              <w:t>111</w:t>
                            </w:r>
                            <w:r w:rsidRPr="00CE57F9">
                              <w:rPr>
                                <w:rFonts w:ascii="標楷體" w:eastAsia="標楷體" w:hAnsi="標楷體" w:cs="新細明體" w:hint="eastAsia"/>
                                <w:b/>
                                <w:bCs/>
                                <w:color w:val="000000"/>
                                <w:kern w:val="0"/>
                                <w:szCs w:val="24"/>
                              </w:rPr>
                              <w:t>年底</w:t>
                            </w:r>
                            <w:r w:rsidRPr="004306AD">
                              <w:rPr>
                                <w:rFonts w:ascii="標楷體" w:eastAsia="標楷體" w:hAnsi="標楷體" w:cs="新細明體" w:hint="eastAsia"/>
                                <w:b/>
                                <w:bCs/>
                                <w:color w:val="000000"/>
                                <w:kern w:val="0"/>
                                <w:szCs w:val="24"/>
                              </w:rPr>
                              <w:t>經濟部釋股預算保留待執行情形</w:t>
                            </w:r>
                          </w:p>
                        </w:tc>
                      </w:tr>
                      <w:tr w:rsidR="00CE57F9" w:rsidRPr="004306AD" w14:paraId="797AC489" w14:textId="77777777" w:rsidTr="00C628F5">
                        <w:trPr>
                          <w:trHeight w:val="324"/>
                        </w:trPr>
                        <w:tc>
                          <w:tcPr>
                            <w:tcW w:w="3544" w:type="dxa"/>
                            <w:gridSpan w:val="3"/>
                            <w:tcBorders>
                              <w:top w:val="nil"/>
                              <w:left w:val="nil"/>
                              <w:bottom w:val="nil"/>
                              <w:right w:val="nil"/>
                            </w:tcBorders>
                            <w:shd w:val="clear" w:color="auto" w:fill="auto"/>
                            <w:noWrap/>
                            <w:vAlign w:val="center"/>
                            <w:hideMark/>
                          </w:tcPr>
                          <w:p w14:paraId="60B0CB79" w14:textId="77777777" w:rsidR="00CE57F9" w:rsidRPr="004306AD" w:rsidRDefault="00CE57F9" w:rsidP="00C628F5">
                            <w:pPr>
                              <w:widowControl/>
                              <w:jc w:val="right"/>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單位：新臺幣千元</w:t>
                            </w:r>
                          </w:p>
                        </w:tc>
                      </w:tr>
                      <w:tr w:rsidR="00CE57F9" w:rsidRPr="004306AD" w14:paraId="6BDF2115" w14:textId="77777777" w:rsidTr="00C628F5">
                        <w:trPr>
                          <w:trHeight w:val="324"/>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D2A4F7" w14:textId="77777777" w:rsidR="00CE57F9" w:rsidRPr="004306AD" w:rsidRDefault="00CE57F9" w:rsidP="00C628F5">
                            <w:pPr>
                              <w:widowControl/>
                              <w:spacing w:line="240" w:lineRule="exact"/>
                              <w:jc w:val="center"/>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事業機構</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2D0F98D5" w14:textId="77777777" w:rsidR="00CE57F9" w:rsidRPr="004306AD" w:rsidRDefault="00CE57F9" w:rsidP="00C628F5">
                            <w:pPr>
                              <w:widowControl/>
                              <w:spacing w:line="240" w:lineRule="exact"/>
                              <w:jc w:val="center"/>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預算年度</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4A66FC05" w14:textId="77777777" w:rsidR="00CE57F9" w:rsidRPr="004306AD" w:rsidRDefault="00CE57F9" w:rsidP="00C628F5">
                            <w:pPr>
                              <w:widowControl/>
                              <w:spacing w:line="240" w:lineRule="exact"/>
                              <w:jc w:val="center"/>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金額</w:t>
                            </w:r>
                          </w:p>
                        </w:tc>
                      </w:tr>
                      <w:tr w:rsidR="00CE57F9" w:rsidRPr="004306AD" w14:paraId="673FFB62" w14:textId="77777777" w:rsidTr="00C628F5">
                        <w:trPr>
                          <w:trHeight w:val="324"/>
                        </w:trPr>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51797" w14:textId="77777777" w:rsidR="00CE57F9" w:rsidRPr="004306AD" w:rsidRDefault="00CE57F9" w:rsidP="00C628F5">
                            <w:pPr>
                              <w:widowControl/>
                              <w:jc w:val="center"/>
                              <w:rPr>
                                <w:rFonts w:ascii="標楷體" w:eastAsia="標楷體" w:hAnsi="標楷體" w:cs="新細明體"/>
                                <w:b/>
                                <w:bCs/>
                                <w:color w:val="000000"/>
                                <w:kern w:val="0"/>
                                <w:sz w:val="20"/>
                              </w:rPr>
                            </w:pPr>
                            <w:r w:rsidRPr="004306AD">
                              <w:rPr>
                                <w:rFonts w:ascii="標楷體" w:eastAsia="標楷體" w:hAnsi="標楷體" w:cs="新細明體" w:hint="eastAsia"/>
                                <w:b/>
                                <w:bCs/>
                                <w:color w:val="000000"/>
                                <w:kern w:val="0"/>
                                <w:sz w:val="20"/>
                              </w:rPr>
                              <w:t>合計</w:t>
                            </w:r>
                          </w:p>
                        </w:tc>
                        <w:tc>
                          <w:tcPr>
                            <w:tcW w:w="1559" w:type="dxa"/>
                            <w:tcBorders>
                              <w:top w:val="nil"/>
                              <w:left w:val="nil"/>
                              <w:bottom w:val="single" w:sz="4" w:space="0" w:color="auto"/>
                              <w:right w:val="single" w:sz="4" w:space="0" w:color="auto"/>
                            </w:tcBorders>
                            <w:shd w:val="clear" w:color="auto" w:fill="auto"/>
                            <w:noWrap/>
                            <w:vAlign w:val="center"/>
                            <w:hideMark/>
                          </w:tcPr>
                          <w:p w14:paraId="6066EA86" w14:textId="77777777" w:rsidR="00CE57F9" w:rsidRPr="004306AD" w:rsidRDefault="00CE57F9" w:rsidP="00C628F5">
                            <w:pPr>
                              <w:widowControl/>
                              <w:jc w:val="right"/>
                              <w:rPr>
                                <w:rFonts w:ascii="標楷體" w:eastAsia="標楷體" w:hAnsi="標楷體" w:cs="新細明體"/>
                                <w:b/>
                                <w:bCs/>
                                <w:color w:val="000000"/>
                                <w:kern w:val="0"/>
                                <w:sz w:val="20"/>
                              </w:rPr>
                            </w:pPr>
                            <w:r w:rsidRPr="004306AD">
                              <w:rPr>
                                <w:rFonts w:ascii="標楷體" w:eastAsia="標楷體" w:hAnsi="標楷體" w:cs="新細明體" w:hint="eastAsia"/>
                                <w:b/>
                                <w:bCs/>
                                <w:color w:val="000000"/>
                                <w:kern w:val="0"/>
                                <w:sz w:val="20"/>
                              </w:rPr>
                              <w:t>1</w:t>
                            </w:r>
                            <w:r>
                              <w:rPr>
                                <w:rFonts w:ascii="標楷體" w:eastAsia="標楷體" w:hAnsi="標楷體" w:cs="新細明體"/>
                                <w:b/>
                                <w:bCs/>
                                <w:color w:val="000000"/>
                                <w:kern w:val="0"/>
                                <w:sz w:val="20"/>
                              </w:rPr>
                              <w:t>6</w:t>
                            </w:r>
                            <w:r w:rsidRPr="004306AD">
                              <w:rPr>
                                <w:rFonts w:ascii="標楷體" w:eastAsia="標楷體" w:hAnsi="標楷體" w:cs="新細明體" w:hint="eastAsia"/>
                                <w:b/>
                                <w:bCs/>
                                <w:color w:val="000000"/>
                                <w:kern w:val="0"/>
                                <w:sz w:val="20"/>
                              </w:rPr>
                              <w:t>9,</w:t>
                            </w:r>
                            <w:r>
                              <w:rPr>
                                <w:rFonts w:ascii="標楷體" w:eastAsia="標楷體" w:hAnsi="標楷體" w:cs="新細明體"/>
                                <w:b/>
                                <w:bCs/>
                                <w:color w:val="000000"/>
                                <w:kern w:val="0"/>
                                <w:sz w:val="20"/>
                              </w:rPr>
                              <w:t>717</w:t>
                            </w:r>
                            <w:r w:rsidRPr="004306AD">
                              <w:rPr>
                                <w:rFonts w:ascii="標楷體" w:eastAsia="標楷體" w:hAnsi="標楷體" w:cs="新細明體" w:hint="eastAsia"/>
                                <w:b/>
                                <w:bCs/>
                                <w:color w:val="000000"/>
                                <w:kern w:val="0"/>
                                <w:sz w:val="20"/>
                              </w:rPr>
                              <w:t>,</w:t>
                            </w:r>
                            <w:r>
                              <w:rPr>
                                <w:rFonts w:ascii="標楷體" w:eastAsia="標楷體" w:hAnsi="標楷體" w:cs="新細明體"/>
                                <w:b/>
                                <w:bCs/>
                                <w:color w:val="000000"/>
                                <w:kern w:val="0"/>
                                <w:sz w:val="20"/>
                              </w:rPr>
                              <w:t>4</w:t>
                            </w:r>
                            <w:r w:rsidRPr="004306AD">
                              <w:rPr>
                                <w:rFonts w:ascii="標楷體" w:eastAsia="標楷體" w:hAnsi="標楷體" w:cs="新細明體" w:hint="eastAsia"/>
                                <w:b/>
                                <w:bCs/>
                                <w:color w:val="000000"/>
                                <w:kern w:val="0"/>
                                <w:sz w:val="20"/>
                              </w:rPr>
                              <w:t>20</w:t>
                            </w:r>
                          </w:p>
                        </w:tc>
                      </w:tr>
                      <w:tr w:rsidR="00CE57F9" w:rsidRPr="004306AD" w14:paraId="31872AC9" w14:textId="77777777" w:rsidTr="00C628F5">
                        <w:trPr>
                          <w:trHeight w:val="324"/>
                        </w:trPr>
                        <w:tc>
                          <w:tcPr>
                            <w:tcW w:w="141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C9BBD3D" w14:textId="47405ED0" w:rsidR="00CE57F9" w:rsidRPr="004306AD" w:rsidRDefault="00CE57F9" w:rsidP="00C628F5">
                            <w:pPr>
                              <w:widowControl/>
                              <w:jc w:val="center"/>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台灣中油</w:t>
                            </w:r>
                            <w:r>
                              <w:rPr>
                                <w:rFonts w:ascii="標楷體" w:eastAsia="標楷體" w:hAnsi="標楷體" w:cs="新細明體" w:hint="eastAsia"/>
                                <w:color w:val="000000"/>
                                <w:kern w:val="0"/>
                                <w:sz w:val="20"/>
                              </w:rPr>
                              <w:t>股份有限</w:t>
                            </w:r>
                            <w:r w:rsidRPr="004306AD">
                              <w:rPr>
                                <w:rFonts w:ascii="標楷體" w:eastAsia="標楷體" w:hAnsi="標楷體" w:cs="新細明體" w:hint="eastAsia"/>
                                <w:color w:val="000000"/>
                                <w:kern w:val="0"/>
                                <w:sz w:val="20"/>
                              </w:rPr>
                              <w:t>公司</w:t>
                            </w:r>
                          </w:p>
                        </w:tc>
                        <w:tc>
                          <w:tcPr>
                            <w:tcW w:w="567" w:type="dxa"/>
                            <w:tcBorders>
                              <w:top w:val="nil"/>
                              <w:left w:val="nil"/>
                              <w:bottom w:val="single" w:sz="4" w:space="0" w:color="auto"/>
                              <w:right w:val="single" w:sz="4" w:space="0" w:color="auto"/>
                            </w:tcBorders>
                            <w:shd w:val="clear" w:color="auto" w:fill="auto"/>
                            <w:noWrap/>
                            <w:vAlign w:val="center"/>
                            <w:hideMark/>
                          </w:tcPr>
                          <w:p w14:paraId="1DB79073" w14:textId="77777777" w:rsidR="00CE57F9" w:rsidRPr="004306AD" w:rsidRDefault="00CE57F9" w:rsidP="00C628F5">
                            <w:pPr>
                              <w:widowControl/>
                              <w:jc w:val="center"/>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87</w:t>
                            </w:r>
                          </w:p>
                        </w:tc>
                        <w:tc>
                          <w:tcPr>
                            <w:tcW w:w="1559" w:type="dxa"/>
                            <w:tcBorders>
                              <w:top w:val="nil"/>
                              <w:left w:val="nil"/>
                              <w:bottom w:val="single" w:sz="4" w:space="0" w:color="auto"/>
                              <w:right w:val="single" w:sz="4" w:space="0" w:color="auto"/>
                            </w:tcBorders>
                            <w:shd w:val="clear" w:color="auto" w:fill="auto"/>
                            <w:noWrap/>
                            <w:vAlign w:val="center"/>
                            <w:hideMark/>
                          </w:tcPr>
                          <w:p w14:paraId="262D439A" w14:textId="77777777" w:rsidR="00CE57F9" w:rsidRPr="004306AD" w:rsidRDefault="00CE57F9" w:rsidP="00C628F5">
                            <w:pPr>
                              <w:widowControl/>
                              <w:jc w:val="right"/>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52,800,000</w:t>
                            </w:r>
                          </w:p>
                        </w:tc>
                      </w:tr>
                      <w:tr w:rsidR="00CE57F9" w:rsidRPr="004306AD" w14:paraId="560C68C1" w14:textId="77777777" w:rsidTr="00C628F5">
                        <w:trPr>
                          <w:trHeight w:val="324"/>
                        </w:trPr>
                        <w:tc>
                          <w:tcPr>
                            <w:tcW w:w="1418" w:type="dxa"/>
                            <w:vMerge/>
                            <w:tcBorders>
                              <w:top w:val="nil"/>
                              <w:left w:val="single" w:sz="4" w:space="0" w:color="auto"/>
                              <w:bottom w:val="single" w:sz="4" w:space="0" w:color="auto"/>
                              <w:right w:val="single" w:sz="4" w:space="0" w:color="auto"/>
                            </w:tcBorders>
                            <w:vAlign w:val="center"/>
                            <w:hideMark/>
                          </w:tcPr>
                          <w:p w14:paraId="29813192" w14:textId="77777777" w:rsidR="00CE57F9" w:rsidRPr="004306AD" w:rsidRDefault="00CE57F9" w:rsidP="00C628F5">
                            <w:pPr>
                              <w:widowControl/>
                              <w:rPr>
                                <w:rFonts w:ascii="標楷體" w:eastAsia="標楷體" w:hAnsi="標楷體" w:cs="新細明體"/>
                                <w:color w:val="000000"/>
                                <w:kern w:val="0"/>
                                <w:sz w:val="20"/>
                              </w:rPr>
                            </w:pPr>
                          </w:p>
                        </w:tc>
                        <w:tc>
                          <w:tcPr>
                            <w:tcW w:w="567" w:type="dxa"/>
                            <w:tcBorders>
                              <w:top w:val="nil"/>
                              <w:left w:val="nil"/>
                              <w:bottom w:val="single" w:sz="4" w:space="0" w:color="auto"/>
                              <w:right w:val="single" w:sz="4" w:space="0" w:color="auto"/>
                            </w:tcBorders>
                            <w:shd w:val="clear" w:color="auto" w:fill="auto"/>
                            <w:noWrap/>
                            <w:vAlign w:val="center"/>
                            <w:hideMark/>
                          </w:tcPr>
                          <w:p w14:paraId="5C576BA1" w14:textId="77777777" w:rsidR="00CE57F9" w:rsidRPr="004306AD" w:rsidRDefault="00CE57F9" w:rsidP="00C628F5">
                            <w:pPr>
                              <w:widowControl/>
                              <w:jc w:val="center"/>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88</w:t>
                            </w:r>
                          </w:p>
                        </w:tc>
                        <w:tc>
                          <w:tcPr>
                            <w:tcW w:w="1559" w:type="dxa"/>
                            <w:tcBorders>
                              <w:top w:val="nil"/>
                              <w:left w:val="nil"/>
                              <w:bottom w:val="single" w:sz="4" w:space="0" w:color="auto"/>
                              <w:right w:val="single" w:sz="4" w:space="0" w:color="auto"/>
                            </w:tcBorders>
                            <w:shd w:val="clear" w:color="auto" w:fill="auto"/>
                            <w:noWrap/>
                            <w:vAlign w:val="center"/>
                            <w:hideMark/>
                          </w:tcPr>
                          <w:p w14:paraId="20C8E52B" w14:textId="77777777" w:rsidR="00CE57F9" w:rsidRPr="004306AD" w:rsidRDefault="00CE57F9" w:rsidP="00C628F5">
                            <w:pPr>
                              <w:widowControl/>
                              <w:jc w:val="right"/>
                              <w:rPr>
                                <w:rFonts w:ascii="標楷體" w:eastAsia="標楷體" w:hAnsi="標楷體" w:cs="新細明體"/>
                                <w:color w:val="000000"/>
                                <w:kern w:val="0"/>
                                <w:sz w:val="20"/>
                              </w:rPr>
                            </w:pPr>
                            <w:r w:rsidRPr="004874CE">
                              <w:rPr>
                                <w:rFonts w:ascii="標楷體" w:eastAsia="標楷體" w:hAnsi="標楷體" w:cs="新細明體" w:hint="eastAsia"/>
                                <w:color w:val="000000"/>
                                <w:kern w:val="0"/>
                                <w:sz w:val="20"/>
                              </w:rPr>
                              <w:t>63,360,180</w:t>
                            </w:r>
                          </w:p>
                        </w:tc>
                      </w:tr>
                      <w:tr w:rsidR="00CE57F9" w:rsidRPr="004306AD" w14:paraId="711C230F" w14:textId="77777777" w:rsidTr="00C628F5">
                        <w:trPr>
                          <w:trHeight w:val="324"/>
                        </w:trPr>
                        <w:tc>
                          <w:tcPr>
                            <w:tcW w:w="1418" w:type="dxa"/>
                            <w:vMerge/>
                            <w:tcBorders>
                              <w:top w:val="nil"/>
                              <w:left w:val="single" w:sz="4" w:space="0" w:color="auto"/>
                              <w:bottom w:val="single" w:sz="4" w:space="0" w:color="auto"/>
                              <w:right w:val="single" w:sz="4" w:space="0" w:color="auto"/>
                            </w:tcBorders>
                            <w:vAlign w:val="center"/>
                            <w:hideMark/>
                          </w:tcPr>
                          <w:p w14:paraId="351B8E8D" w14:textId="77777777" w:rsidR="00CE57F9" w:rsidRPr="004306AD" w:rsidRDefault="00CE57F9" w:rsidP="00C628F5">
                            <w:pPr>
                              <w:widowControl/>
                              <w:rPr>
                                <w:rFonts w:ascii="標楷體" w:eastAsia="標楷體" w:hAnsi="標楷體" w:cs="新細明體"/>
                                <w:color w:val="000000"/>
                                <w:kern w:val="0"/>
                                <w:sz w:val="20"/>
                              </w:rPr>
                            </w:pPr>
                          </w:p>
                        </w:tc>
                        <w:tc>
                          <w:tcPr>
                            <w:tcW w:w="567" w:type="dxa"/>
                            <w:tcBorders>
                              <w:top w:val="nil"/>
                              <w:left w:val="nil"/>
                              <w:bottom w:val="single" w:sz="4" w:space="0" w:color="auto"/>
                              <w:right w:val="single" w:sz="4" w:space="0" w:color="auto"/>
                            </w:tcBorders>
                            <w:shd w:val="clear" w:color="auto" w:fill="auto"/>
                            <w:noWrap/>
                            <w:vAlign w:val="center"/>
                            <w:hideMark/>
                          </w:tcPr>
                          <w:p w14:paraId="7D389A46" w14:textId="77777777" w:rsidR="00CE57F9" w:rsidRPr="004306AD" w:rsidRDefault="00CE57F9" w:rsidP="00C628F5">
                            <w:pPr>
                              <w:widowControl/>
                              <w:jc w:val="center"/>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92</w:t>
                            </w:r>
                          </w:p>
                        </w:tc>
                        <w:tc>
                          <w:tcPr>
                            <w:tcW w:w="1559" w:type="dxa"/>
                            <w:tcBorders>
                              <w:top w:val="nil"/>
                              <w:left w:val="nil"/>
                              <w:bottom w:val="single" w:sz="4" w:space="0" w:color="auto"/>
                              <w:right w:val="single" w:sz="4" w:space="0" w:color="auto"/>
                            </w:tcBorders>
                            <w:shd w:val="clear" w:color="auto" w:fill="auto"/>
                            <w:noWrap/>
                            <w:vAlign w:val="center"/>
                            <w:hideMark/>
                          </w:tcPr>
                          <w:p w14:paraId="7F837493" w14:textId="77777777" w:rsidR="00CE57F9" w:rsidRPr="004306AD" w:rsidRDefault="00CE57F9" w:rsidP="00C628F5">
                            <w:pPr>
                              <w:widowControl/>
                              <w:jc w:val="right"/>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23,560,000</w:t>
                            </w:r>
                          </w:p>
                        </w:tc>
                      </w:tr>
                      <w:tr w:rsidR="00CE57F9" w:rsidRPr="004306AD" w14:paraId="14B21746" w14:textId="77777777" w:rsidTr="00C628F5">
                        <w:trPr>
                          <w:trHeight w:val="324"/>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F79F9CC" w14:textId="76D832A7" w:rsidR="00CE57F9" w:rsidRPr="004306AD" w:rsidRDefault="00CE57F9" w:rsidP="00C628F5">
                            <w:pPr>
                              <w:widowControl/>
                              <w:jc w:val="center"/>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台灣電力</w:t>
                            </w:r>
                            <w:r>
                              <w:rPr>
                                <w:rFonts w:ascii="標楷體" w:eastAsia="標楷體" w:hAnsi="標楷體" w:cs="新細明體" w:hint="eastAsia"/>
                                <w:color w:val="000000"/>
                                <w:kern w:val="0"/>
                                <w:sz w:val="20"/>
                              </w:rPr>
                              <w:t>股份有限</w:t>
                            </w:r>
                            <w:r w:rsidRPr="004306AD">
                              <w:rPr>
                                <w:rFonts w:ascii="標楷體" w:eastAsia="標楷體" w:hAnsi="標楷體" w:cs="新細明體" w:hint="eastAsia"/>
                                <w:color w:val="000000"/>
                                <w:kern w:val="0"/>
                                <w:sz w:val="20"/>
                              </w:rPr>
                              <w:t>公司</w:t>
                            </w:r>
                          </w:p>
                        </w:tc>
                        <w:tc>
                          <w:tcPr>
                            <w:tcW w:w="567" w:type="dxa"/>
                            <w:tcBorders>
                              <w:top w:val="nil"/>
                              <w:left w:val="nil"/>
                              <w:bottom w:val="single" w:sz="4" w:space="0" w:color="auto"/>
                              <w:right w:val="single" w:sz="4" w:space="0" w:color="auto"/>
                            </w:tcBorders>
                            <w:shd w:val="clear" w:color="auto" w:fill="auto"/>
                            <w:noWrap/>
                            <w:vAlign w:val="center"/>
                            <w:hideMark/>
                          </w:tcPr>
                          <w:p w14:paraId="6570F0FB" w14:textId="77777777" w:rsidR="00CE57F9" w:rsidRPr="004306AD" w:rsidRDefault="00CE57F9" w:rsidP="00C628F5">
                            <w:pPr>
                              <w:widowControl/>
                              <w:jc w:val="center"/>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20"/>
                              </w:rPr>
                              <w:t>88</w:t>
                            </w:r>
                          </w:p>
                        </w:tc>
                        <w:tc>
                          <w:tcPr>
                            <w:tcW w:w="1559" w:type="dxa"/>
                            <w:tcBorders>
                              <w:top w:val="nil"/>
                              <w:left w:val="nil"/>
                              <w:bottom w:val="single" w:sz="4" w:space="0" w:color="auto"/>
                              <w:right w:val="single" w:sz="4" w:space="0" w:color="auto"/>
                            </w:tcBorders>
                            <w:shd w:val="clear" w:color="auto" w:fill="auto"/>
                            <w:noWrap/>
                            <w:vAlign w:val="center"/>
                            <w:hideMark/>
                          </w:tcPr>
                          <w:p w14:paraId="38D9C046" w14:textId="77777777" w:rsidR="00CE57F9" w:rsidRPr="004306AD" w:rsidRDefault="00CE57F9" w:rsidP="00C628F5">
                            <w:pPr>
                              <w:widowControl/>
                              <w:jc w:val="right"/>
                              <w:rPr>
                                <w:rFonts w:ascii="標楷體" w:eastAsia="標楷體" w:hAnsi="標楷體" w:cs="新細明體"/>
                                <w:color w:val="000000"/>
                                <w:kern w:val="0"/>
                                <w:sz w:val="20"/>
                              </w:rPr>
                            </w:pPr>
                            <w:r w:rsidRPr="004874CE">
                              <w:rPr>
                                <w:rFonts w:ascii="標楷體" w:eastAsia="標楷體" w:hAnsi="標楷體" w:cs="新細明體"/>
                                <w:color w:val="000000"/>
                                <w:kern w:val="0"/>
                                <w:sz w:val="20"/>
                              </w:rPr>
                              <w:t>29,997,240</w:t>
                            </w:r>
                          </w:p>
                        </w:tc>
                      </w:tr>
                      <w:tr w:rsidR="00CE57F9" w:rsidRPr="004306AD" w14:paraId="4651C30D" w14:textId="77777777" w:rsidTr="00C628F5">
                        <w:trPr>
                          <w:trHeight w:val="324"/>
                        </w:trPr>
                        <w:tc>
                          <w:tcPr>
                            <w:tcW w:w="3544" w:type="dxa"/>
                            <w:gridSpan w:val="3"/>
                            <w:tcBorders>
                              <w:top w:val="nil"/>
                              <w:left w:val="nil"/>
                              <w:bottom w:val="nil"/>
                              <w:right w:val="nil"/>
                            </w:tcBorders>
                            <w:shd w:val="clear" w:color="auto" w:fill="auto"/>
                            <w:noWrap/>
                            <w:vAlign w:val="center"/>
                            <w:hideMark/>
                          </w:tcPr>
                          <w:p w14:paraId="0F3383BE" w14:textId="77777777" w:rsidR="00CE57F9" w:rsidRPr="004306AD" w:rsidRDefault="00CE57F9" w:rsidP="00C628F5">
                            <w:pPr>
                              <w:widowControl/>
                              <w:spacing w:line="200" w:lineRule="exact"/>
                              <w:ind w:left="900" w:hangingChars="500" w:hanging="900"/>
                              <w:jc w:val="both"/>
                              <w:rPr>
                                <w:rFonts w:ascii="標楷體" w:eastAsia="標楷體" w:hAnsi="標楷體" w:cs="新細明體"/>
                                <w:color w:val="000000"/>
                                <w:kern w:val="0"/>
                                <w:sz w:val="20"/>
                              </w:rPr>
                            </w:pPr>
                            <w:r w:rsidRPr="004306AD">
                              <w:rPr>
                                <w:rFonts w:ascii="標楷體" w:eastAsia="標楷體" w:hAnsi="標楷體" w:cs="新細明體" w:hint="eastAsia"/>
                                <w:color w:val="000000"/>
                                <w:kern w:val="0"/>
                                <w:sz w:val="18"/>
                              </w:rPr>
                              <w:t>資料來源：</w:t>
                            </w:r>
                            <w:r w:rsidRPr="0093279D">
                              <w:rPr>
                                <w:rFonts w:ascii="標楷體" w:eastAsia="標楷體" w:hAnsi="標楷體" w:cs="新細明體" w:hint="eastAsia"/>
                                <w:color w:val="000000"/>
                                <w:kern w:val="0"/>
                                <w:sz w:val="18"/>
                              </w:rPr>
                              <w:t>整理自11</w:t>
                            </w:r>
                            <w:r>
                              <w:rPr>
                                <w:rFonts w:ascii="標楷體" w:eastAsia="標楷體" w:hAnsi="標楷體" w:cs="新細明體"/>
                                <w:color w:val="000000"/>
                                <w:kern w:val="0"/>
                                <w:sz w:val="18"/>
                              </w:rPr>
                              <w:t>1</w:t>
                            </w:r>
                            <w:r w:rsidRPr="0093279D">
                              <w:rPr>
                                <w:rFonts w:ascii="標楷體" w:eastAsia="標楷體" w:hAnsi="標楷體" w:cs="新細明體" w:hint="eastAsia"/>
                                <w:color w:val="000000"/>
                                <w:kern w:val="0"/>
                                <w:sz w:val="18"/>
                              </w:rPr>
                              <w:t>年度</w:t>
                            </w:r>
                            <w:r>
                              <w:rPr>
                                <w:rFonts w:ascii="標楷體" w:eastAsia="標楷體" w:hAnsi="標楷體" w:cs="新細明體" w:hint="eastAsia"/>
                                <w:color w:val="000000"/>
                                <w:kern w:val="0"/>
                                <w:sz w:val="18"/>
                              </w:rPr>
                              <w:t>中央政府</w:t>
                            </w:r>
                            <w:r w:rsidRPr="0093279D">
                              <w:rPr>
                                <w:rFonts w:ascii="標楷體" w:eastAsia="標楷體" w:hAnsi="標楷體" w:cs="新細明體" w:hint="eastAsia"/>
                                <w:color w:val="000000"/>
                                <w:kern w:val="0"/>
                                <w:sz w:val="18"/>
                              </w:rPr>
                              <w:t>總決算審核報告。</w:t>
                            </w:r>
                          </w:p>
                        </w:tc>
                      </w:tr>
                    </w:tbl>
                    <w:p w14:paraId="49B497F3" w14:textId="77777777" w:rsidR="00CE57F9" w:rsidRPr="004306AD" w:rsidRDefault="00CE57F9" w:rsidP="00C628F5"/>
                  </w:txbxContent>
                </v:textbox>
                <w10:wrap type="square"/>
              </v:shape>
            </w:pict>
          </mc:Fallback>
        </mc:AlternateContent>
      </w:r>
      <w:r w:rsidRPr="009D11AD">
        <w:rPr>
          <w:rFonts w:ascii="標楷體" w:eastAsia="標楷體" w:hAnsi="標楷體" w:hint="eastAsia"/>
          <w:b/>
          <w:szCs w:val="24"/>
        </w:rPr>
        <w:t>2.　中央政府歷年度累計餘絀包含保留多年未執行之歲入預算保留，且為利政府財政穩健及增加對未來經濟不確定性可能造成歲入短收之因應彈性，尚不宜全數移用以前年度歲計賸餘支應政府支出：</w:t>
      </w:r>
      <w:r w:rsidRPr="009D11AD">
        <w:rPr>
          <w:rFonts w:ascii="標楷體" w:eastAsia="標楷體" w:hAnsi="標楷體" w:hint="eastAsia"/>
          <w:szCs w:val="24"/>
        </w:rPr>
        <w:t>疫後特別預算所需財源係編列移用以前年度歲計賸餘及舉借債務支應，並優先以特別預算執行期間之以前年度歲計賸餘支應。按近10年度中央政府總預算預計移用以前年度歲計賸餘調節因應數（下稱移用以前年度歲計賸餘）執行情形，僅111年度編列預算數361億3,510萬餘元，實際未執行，其餘年度則未編列預算執行或執行金額極低；近10年度已執行完竣之特別預算亦無移用以前年度歲計賸餘情形。復據111年度中央政府總決算審核報告之中央政府總決算審定後累計餘絀計算表，</w:t>
      </w:r>
      <w:r w:rsidR="00067BDF" w:rsidRPr="00CE57F9">
        <w:rPr>
          <w:rFonts w:ascii="標楷體" w:eastAsia="標楷體" w:hAnsi="標楷體" w:hint="eastAsia"/>
          <w:szCs w:val="24"/>
        </w:rPr>
        <w:t>截至</w:t>
      </w:r>
      <w:r w:rsidR="00067BDF" w:rsidRPr="00CE57F9">
        <w:rPr>
          <w:rFonts w:ascii="標楷體" w:eastAsia="標楷體" w:hAnsi="標楷體"/>
          <w:szCs w:val="24"/>
        </w:rPr>
        <w:t>111年底止累計餘絀5,908億餘元</w:t>
      </w:r>
      <w:r w:rsidRPr="009D11AD">
        <w:rPr>
          <w:rFonts w:ascii="標楷體" w:eastAsia="標楷體" w:hAnsi="標楷體" w:hint="eastAsia"/>
          <w:szCs w:val="24"/>
        </w:rPr>
        <w:t>；惟上開累計餘絀尚包含經濟部為配合政府推動民營化政策編列之釋股預算保留1,697億餘元（截至111年底止，均為以前年度轉入數，</w:t>
      </w:r>
      <w:r w:rsidRPr="00CE57F9">
        <w:rPr>
          <w:rFonts w:ascii="標楷體" w:eastAsia="標楷體" w:hAnsi="標楷體" w:hint="eastAsia"/>
          <w:szCs w:val="24"/>
        </w:rPr>
        <w:t>表1</w:t>
      </w:r>
      <w:r w:rsidRPr="009D11AD">
        <w:rPr>
          <w:rFonts w:ascii="標楷體" w:eastAsia="標楷體" w:hAnsi="標楷體" w:hint="eastAsia"/>
          <w:szCs w:val="24"/>
        </w:rPr>
        <w:t>），保留多年（20至25年）未執行，短期內執行可能性低。另據112年度中央政府總預算，編列總預算及特別預算預計移用數923億餘元。累計餘絀在考量上開執行可能性低之釋股預算保留、112年度總預算及特別預算編列預計移用數後，尚不足以支應疫後特別預算全額經費，仍有待移用特別預算執行期間（112至114年度）之各</w:t>
      </w:r>
      <w:r w:rsidRPr="009D11AD">
        <w:rPr>
          <w:rFonts w:ascii="標楷體" w:eastAsia="標楷體" w:hAnsi="標楷體" w:hint="eastAsia"/>
          <w:szCs w:val="24"/>
        </w:rPr>
        <w:lastRenderedPageBreak/>
        <w:t>年度歲計賸餘或舉借債務支應；又近年度政府編列多項特別預算，均以舉借債務支應，致政府債務不斷累增，截至111年底止，中央政府1年以上債務未償餘額已達5兆6,997億餘元，為利政府財政穩健及增加對未來經濟不確定性可能造成歲入短收之因應彈性，尚不宜全數移用以前年度歲計賸餘支應政府支出。經函請行政院督促權責機關妥善運用政府預算資源，確保財政永續發展。</w:t>
      </w:r>
      <w:r w:rsidRPr="00DA2751">
        <w:rPr>
          <w:rFonts w:ascii="標楷體" w:eastAsia="標楷體" w:hAnsi="標楷體" w:hint="eastAsia"/>
          <w:szCs w:val="24"/>
        </w:rPr>
        <w:t>據復：</w:t>
      </w:r>
      <w:r w:rsidR="00067BDF" w:rsidRPr="00CE57F9">
        <w:rPr>
          <w:rFonts w:ascii="標楷體" w:eastAsia="標楷體" w:hAnsi="標楷體" w:hint="eastAsia"/>
          <w:szCs w:val="24"/>
        </w:rPr>
        <w:t>未來將視</w:t>
      </w:r>
      <w:r w:rsidR="00067BDF" w:rsidRPr="00CE57F9">
        <w:rPr>
          <w:rFonts w:ascii="標楷體" w:eastAsia="標楷體" w:hAnsi="標楷體"/>
          <w:szCs w:val="24"/>
        </w:rPr>
        <w:t>112年度中央政府總預算執行及113年度中央政府總預算案籌編情形，妥為規劃衡酌運用，並將持續強化整體債務控管，嚴守財政紀律，蓄積因應突發衝擊之財政緩衝能力，以具備足夠財政韌性支應緊急重大政務所需</w:t>
      </w:r>
      <w:r w:rsidRPr="00CE57F9">
        <w:rPr>
          <w:rFonts w:ascii="標楷體" w:eastAsia="標楷體" w:hAnsi="標楷體" w:hint="eastAsia"/>
          <w:szCs w:val="24"/>
        </w:rPr>
        <w:t>。</w:t>
      </w:r>
    </w:p>
    <w:p w14:paraId="6F4E105C" w14:textId="7FE1DF2E" w:rsidR="00340074" w:rsidRPr="009D11AD" w:rsidRDefault="00F3518A" w:rsidP="00860D54">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（三</w:t>
      </w:r>
      <w:r w:rsidR="00340074" w:rsidRPr="009D11AD">
        <w:rPr>
          <w:rFonts w:hAnsi="標楷體" w:hint="eastAsia"/>
          <w:b/>
          <w:color w:val="000000" w:themeColor="text1"/>
          <w:sz w:val="28"/>
          <w:szCs w:val="28"/>
        </w:rPr>
        <w:t>）　政府持續加碼補助育兒家庭，幼兒家外送托率及入園率已有顯著增加，惟育齡國人逾5成未婚不利提升生育率，且高房價加重家庭經濟負擔、婦女難以兼顧家庭與就業影響婚育意願，有待研議設置少子女化對策督導會報專責統籌解決少子女化議題相關事務，強化對未婚族群之關注政策鼓勵適齡結婚，並增加家庭教育宣導方式及內容之多樣性，導引年輕人重視婚育價值</w:t>
      </w:r>
      <w:r w:rsidR="00340074" w:rsidRPr="009D11AD">
        <w:rPr>
          <w:rFonts w:hAnsi="標楷體" w:hint="eastAsia"/>
          <w:b/>
          <w:color w:val="000000" w:themeColor="text1"/>
          <w:spacing w:val="-2"/>
          <w:sz w:val="28"/>
          <w:szCs w:val="28"/>
        </w:rPr>
        <w:t>。</w:t>
      </w:r>
    </w:p>
    <w:p w14:paraId="20D69847" w14:textId="17F5E641" w:rsidR="00340074" w:rsidRPr="009D11AD" w:rsidRDefault="00340074">
      <w:pPr>
        <w:pStyle w:val="affb"/>
        <w:kinsoku/>
        <w:overflowPunct w:val="0"/>
        <w:adjustRightInd/>
        <w:spacing w:line="420" w:lineRule="exact"/>
        <w:ind w:left="0" w:firstLineChars="200" w:firstLine="480"/>
        <w:jc w:val="both"/>
        <w:rPr>
          <w:rFonts w:hAnsi="標楷體"/>
          <w:sz w:val="24"/>
          <w:szCs w:val="24"/>
        </w:rPr>
      </w:pPr>
      <w:r w:rsidRPr="009D11AD">
        <w:rPr>
          <w:rFonts w:hAnsi="標楷體" w:hint="eastAsia"/>
          <w:sz w:val="24"/>
          <w:szCs w:val="24"/>
        </w:rPr>
        <w:t>政府為因應少子女化危機，自107年7月起推動「我國少子女化對策計畫」（下稱少子女化對策計畫），歷經4次修正後，107至113年度計畫總經費合計4,851億餘元，其中110年度2度修正計畫，於110年8月及111年8月兩階段加碼育兒津貼、提高幼兒托育與就讀幼兒園之補助，已減輕育兒家庭經濟負擔，並擴大不孕症試管嬰兒補助對象、增加產檢次數及產檢假日數、放寬育嬰留職停薪申請彈性及提高津貼之薪資替代率等，建構更友善的生育環境。截至111年底止，少子女化對策計畫已推動4年餘，累計投入經費2,4</w:t>
      </w:r>
      <w:r w:rsidR="00D25A4E" w:rsidRPr="009D11AD">
        <w:rPr>
          <w:rFonts w:hAnsi="標楷體" w:hint="eastAsia"/>
          <w:sz w:val="24"/>
          <w:szCs w:val="24"/>
        </w:rPr>
        <w:t>96</w:t>
      </w:r>
      <w:r w:rsidRPr="009D11AD">
        <w:rPr>
          <w:rFonts w:hAnsi="標楷體" w:hint="eastAsia"/>
          <w:sz w:val="24"/>
          <w:szCs w:val="24"/>
        </w:rPr>
        <w:t>億餘元，惟國人總生育率自106年之1.13人，逐年降至110年之0.98人，111年適逢虎年更滑落僅餘0.87人，低生育率情勢仍嚴峻。經查少子女化對策計畫執行情形，核有下列事項，經函請行政院研謀善策妥處，以有效提升國人婚育意願。據復：因涉及跨部會業務，已交由教育部、內政部、勞動部、衛生福利部、國家發展委員會、國家科學及技術委員會等部會研處。</w:t>
      </w:r>
    </w:p>
    <w:p w14:paraId="639CA333" w14:textId="52E05BF4" w:rsidR="00340074" w:rsidRPr="009D11AD" w:rsidRDefault="00A31D41">
      <w:pPr>
        <w:overflowPunct w:val="0"/>
        <w:snapToGrid w:val="0"/>
        <w:spacing w:line="420" w:lineRule="exact"/>
        <w:ind w:firstLineChars="450" w:firstLine="1081"/>
        <w:jc w:val="both"/>
        <w:rPr>
          <w:rFonts w:ascii="標楷體" w:eastAsia="標楷體" w:hAnsi="標楷體"/>
          <w:szCs w:val="24"/>
        </w:rPr>
      </w:pPr>
      <w:r>
        <w:rPr>
          <w:rFonts w:ascii="標楷體" w:eastAsia="標楷體" w:hAnsi="標楷體" w:hint="eastAsia"/>
          <w:b/>
          <w:bCs/>
          <w:szCs w:val="24"/>
        </w:rPr>
        <w:t>1</w:t>
      </w:r>
      <w:r w:rsidR="00340074" w:rsidRPr="009D11AD">
        <w:rPr>
          <w:rFonts w:ascii="標楷體" w:eastAsia="標楷體" w:hAnsi="標楷體"/>
          <w:b/>
          <w:bCs/>
          <w:szCs w:val="24"/>
        </w:rPr>
        <w:t>.</w:t>
      </w:r>
      <w:r w:rsidR="00340074" w:rsidRPr="009D11AD">
        <w:rPr>
          <w:rFonts w:ascii="標楷體" w:eastAsia="標楷體" w:hAnsi="標楷體" w:hint="eastAsia"/>
          <w:b/>
          <w:bCs/>
          <w:szCs w:val="24"/>
        </w:rPr>
        <w:t xml:space="preserve">　</w:t>
      </w:r>
      <w:r w:rsidR="00340074" w:rsidRPr="00A31D41">
        <w:rPr>
          <w:rFonts w:ascii="標楷體" w:eastAsia="標楷體" w:hAnsi="標楷體" w:hint="eastAsia"/>
          <w:b/>
          <w:bCs/>
          <w:spacing w:val="2"/>
          <w:szCs w:val="24"/>
        </w:rPr>
        <w:t>少子女化對策計畫推動4年餘，期間持續加碼補助育兒家庭，減輕育兒經濟負擔，惟尚未提升育齡女性生育比率及生育胎數；又國內新生兒高達9成6為婚生子女，育齡國人逾5成未婚，不利提高生育率，有待強化對未婚</w:t>
      </w:r>
      <w:r w:rsidR="00340074" w:rsidRPr="00A31D41">
        <w:rPr>
          <w:rFonts w:ascii="標楷體" w:eastAsia="標楷體" w:hAnsi="標楷體" w:hint="eastAsia"/>
          <w:b/>
          <w:spacing w:val="2"/>
          <w:szCs w:val="24"/>
        </w:rPr>
        <w:t>族群</w:t>
      </w:r>
      <w:r w:rsidR="00340074" w:rsidRPr="00A31D41">
        <w:rPr>
          <w:rFonts w:ascii="標楷體" w:eastAsia="標楷體" w:hAnsi="標楷體" w:hint="eastAsia"/>
          <w:b/>
          <w:bCs/>
          <w:spacing w:val="2"/>
          <w:szCs w:val="24"/>
        </w:rPr>
        <w:t>之關注政策，鼓勵適齡結婚：</w:t>
      </w:r>
      <w:r w:rsidR="003419F0" w:rsidRPr="00CE57F9">
        <w:rPr>
          <w:rFonts w:ascii="標楷體" w:eastAsia="標楷體" w:hAnsi="標楷體" w:hint="eastAsia"/>
          <w:bCs/>
          <w:szCs w:val="24"/>
        </w:rPr>
        <w:t>中央研究院社會學研究所鄭雁馨副研究員於政府審計季刊第</w:t>
      </w:r>
      <w:r w:rsidR="003419F0" w:rsidRPr="00CE57F9">
        <w:rPr>
          <w:rFonts w:ascii="標楷體" w:eastAsia="標楷體" w:hAnsi="標楷體"/>
          <w:bCs/>
          <w:szCs w:val="24"/>
        </w:rPr>
        <w:t>42卷第2期「臺灣低生育率的現象、成因與對策」一文指出</w:t>
      </w:r>
      <w:r w:rsidR="00340074" w:rsidRPr="00CE57F9">
        <w:rPr>
          <w:rFonts w:ascii="標楷體" w:eastAsia="標楷體" w:hAnsi="標楷體" w:hint="eastAsia"/>
          <w:szCs w:val="24"/>
        </w:rPr>
        <w:t>，</w:t>
      </w:r>
      <w:r w:rsidR="00340074" w:rsidRPr="00CE57F9">
        <w:rPr>
          <w:rFonts w:ascii="標楷體" w:eastAsia="標楷體" w:hAnsi="標楷體"/>
          <w:szCs w:val="24"/>
        </w:rPr>
        <w:t>未</w:t>
      </w:r>
      <w:r w:rsidR="00340074" w:rsidRPr="00CE57F9">
        <w:rPr>
          <w:rFonts w:ascii="標楷體" w:eastAsia="標楷體" w:hAnsi="標楷體" w:hint="eastAsia"/>
          <w:szCs w:val="24"/>
        </w:rPr>
        <w:t>婚族群比率快速上升及已婚未育、生育</w:t>
      </w:r>
      <w:r w:rsidR="00340074" w:rsidRPr="00CE57F9">
        <w:rPr>
          <w:rFonts w:ascii="標楷體" w:eastAsia="標楷體" w:hAnsi="標楷體"/>
          <w:szCs w:val="24"/>
        </w:rPr>
        <w:t>1胎與3胎以上者占比之消長，為影響未</w:t>
      </w:r>
      <w:r w:rsidR="00340074" w:rsidRPr="00CE57F9">
        <w:rPr>
          <w:rFonts w:ascii="標楷體" w:eastAsia="標楷體" w:hAnsi="標楷體" w:hint="eastAsia"/>
          <w:szCs w:val="24"/>
        </w:rPr>
        <w:t>來世代生育率之關鍵。少子女化對策計畫逾8成經費投注於未滿6歲幼兒照顧，期能藉由控制</w:t>
      </w:r>
      <w:r w:rsidR="00340074" w:rsidRPr="00CE57F9">
        <w:rPr>
          <w:rFonts w:ascii="標楷體" w:eastAsia="標楷體" w:hAnsi="標楷體"/>
          <w:szCs w:val="24"/>
        </w:rPr>
        <w:t>每名子女托育費不高於</w:t>
      </w:r>
      <w:r w:rsidR="00340074" w:rsidRPr="00CE57F9">
        <w:rPr>
          <w:rFonts w:ascii="標楷體" w:eastAsia="標楷體" w:hAnsi="標楷體" w:hint="eastAsia"/>
          <w:szCs w:val="24"/>
        </w:rPr>
        <w:t>家庭</w:t>
      </w:r>
      <w:r w:rsidR="00340074" w:rsidRPr="00CE57F9">
        <w:rPr>
          <w:rFonts w:ascii="標楷體" w:eastAsia="標楷體" w:hAnsi="標楷體"/>
          <w:szCs w:val="24"/>
        </w:rPr>
        <w:t>可支配所得10</w:t>
      </w:r>
      <w:r w:rsidR="00340074" w:rsidRPr="00CE57F9">
        <w:rPr>
          <w:rFonts w:ascii="標楷體" w:eastAsia="標楷體" w:hAnsi="標楷體" w:hint="eastAsia"/>
          <w:szCs w:val="24"/>
        </w:rPr>
        <w:t>％</w:t>
      </w:r>
      <w:r w:rsidR="00340074" w:rsidRPr="00CE57F9">
        <w:rPr>
          <w:rFonts w:ascii="標楷體" w:eastAsia="標楷體" w:hAnsi="標楷體"/>
          <w:szCs w:val="24"/>
        </w:rPr>
        <w:t>至15％，</w:t>
      </w:r>
      <w:r w:rsidR="00340074" w:rsidRPr="00CE57F9">
        <w:rPr>
          <w:rFonts w:ascii="標楷體" w:eastAsia="標楷體" w:hAnsi="標楷體" w:hint="eastAsia"/>
          <w:szCs w:val="24"/>
        </w:rPr>
        <w:t>提升國人</w:t>
      </w:r>
      <w:r w:rsidR="00340074" w:rsidRPr="00CE57F9">
        <w:rPr>
          <w:rFonts w:ascii="標楷體" w:eastAsia="標楷體" w:hAnsi="標楷體"/>
          <w:szCs w:val="24"/>
        </w:rPr>
        <w:t>生養第2胎</w:t>
      </w:r>
      <w:r w:rsidR="00340074" w:rsidRPr="00CE57F9">
        <w:rPr>
          <w:rFonts w:ascii="標楷體" w:eastAsia="標楷體" w:hAnsi="標楷體" w:hint="eastAsia"/>
          <w:szCs w:val="24"/>
        </w:rPr>
        <w:t>之可能性，惟分析計畫推動前後20至44歲育齡女性已生育胎數變動情形，111年底</w:t>
      </w:r>
      <w:r w:rsidR="00340074" w:rsidRPr="00CE57F9">
        <w:rPr>
          <w:rFonts w:ascii="標楷體" w:eastAsia="標楷體" w:hAnsi="標楷體"/>
          <w:szCs w:val="24"/>
        </w:rPr>
        <w:t>20至44歲</w:t>
      </w:r>
      <w:r w:rsidR="00340074" w:rsidRPr="00CE57F9">
        <w:rPr>
          <w:rFonts w:ascii="標楷體" w:eastAsia="標楷體" w:hAnsi="標楷體" w:hint="eastAsia"/>
          <w:szCs w:val="24"/>
        </w:rPr>
        <w:t>各年齡</w:t>
      </w:r>
      <w:r w:rsidR="003419F0" w:rsidRPr="00CE57F9">
        <w:rPr>
          <w:rFonts w:ascii="標楷體" w:eastAsia="標楷體" w:hAnsi="標楷體" w:hint="eastAsia"/>
          <w:szCs w:val="24"/>
        </w:rPr>
        <w:t>組</w:t>
      </w:r>
      <w:r w:rsidR="00340074" w:rsidRPr="00CE57F9">
        <w:rPr>
          <w:rFonts w:ascii="標楷體" w:eastAsia="標楷體" w:hAnsi="標楷體" w:hint="eastAsia"/>
          <w:szCs w:val="24"/>
        </w:rPr>
        <w:t>女性已生育2胎及3胎以上之比率，均較106年底同年齡</w:t>
      </w:r>
      <w:r w:rsidR="003419F0" w:rsidRPr="00CE57F9">
        <w:rPr>
          <w:rFonts w:ascii="標楷體" w:eastAsia="標楷體" w:hAnsi="標楷體" w:hint="eastAsia"/>
          <w:szCs w:val="24"/>
        </w:rPr>
        <w:t>組</w:t>
      </w:r>
      <w:r w:rsidR="00340074" w:rsidRPr="00CE57F9">
        <w:rPr>
          <w:rFonts w:ascii="標楷體" w:eastAsia="標楷體" w:hAnsi="標楷體" w:hint="eastAsia"/>
          <w:szCs w:val="24"/>
        </w:rPr>
        <w:t>下滑，反映對策措施</w:t>
      </w:r>
      <w:r w:rsidR="00340074" w:rsidRPr="00CE57F9">
        <w:rPr>
          <w:rFonts w:ascii="標楷體" w:eastAsia="標楷體" w:hAnsi="標楷體" w:hint="eastAsia"/>
          <w:bCs/>
          <w:szCs w:val="24"/>
        </w:rPr>
        <w:t>尚</w:t>
      </w:r>
      <w:r w:rsidR="00340074" w:rsidRPr="00CE57F9">
        <w:rPr>
          <w:rFonts w:ascii="標楷體" w:eastAsia="標楷體" w:hAnsi="標楷體" w:hint="eastAsia"/>
          <w:szCs w:val="24"/>
        </w:rPr>
        <w:t>未提升育齡女</w:t>
      </w:r>
      <w:r w:rsidR="00340074" w:rsidRPr="009D11AD">
        <w:rPr>
          <w:rFonts w:ascii="標楷體" w:eastAsia="標楷體" w:hAnsi="標楷體" w:hint="eastAsia"/>
          <w:szCs w:val="24"/>
        </w:rPr>
        <w:t>性生育胎數，且111年底20至24歲、25至29歲、30至34歲、35至39歲、40至44歲</w:t>
      </w:r>
      <w:r w:rsidR="00340074" w:rsidRPr="00A31D41">
        <w:rPr>
          <w:rFonts w:ascii="標楷體" w:eastAsia="標楷體" w:hAnsi="標楷體" w:hint="eastAsia"/>
          <w:szCs w:val="24"/>
        </w:rPr>
        <w:t>女性未</w:t>
      </w:r>
      <w:r w:rsidR="00340074" w:rsidRPr="00A31D41">
        <w:rPr>
          <w:rFonts w:ascii="標楷體" w:eastAsia="標楷體" w:hAnsi="標楷體" w:hint="eastAsia"/>
          <w:szCs w:val="24"/>
        </w:rPr>
        <w:lastRenderedPageBreak/>
        <w:t>生育比率分別為96.05％、86.03％、64.54％、41.44％及30.60％，均較106年底同年齡</w:t>
      </w:r>
      <w:r w:rsidR="003419F0" w:rsidRPr="00A31D41">
        <w:rPr>
          <w:rFonts w:ascii="標楷體" w:eastAsia="標楷體" w:hAnsi="標楷體" w:hint="eastAsia"/>
          <w:szCs w:val="24"/>
        </w:rPr>
        <w:t>組</w:t>
      </w:r>
      <w:r w:rsidR="00340074" w:rsidRPr="00A31D41">
        <w:rPr>
          <w:rFonts w:ascii="標楷體" w:eastAsia="標楷體" w:hAnsi="標楷體" w:hint="eastAsia"/>
          <w:szCs w:val="24"/>
        </w:rPr>
        <w:t>增</w:t>
      </w:r>
      <w:r w:rsidR="00340074" w:rsidRPr="009D11AD">
        <w:rPr>
          <w:rFonts w:ascii="標楷體" w:eastAsia="標楷體" w:hAnsi="標楷體" w:hint="eastAsia"/>
          <w:szCs w:val="24"/>
        </w:rPr>
        <w:t>加</w:t>
      </w:r>
      <w:r w:rsidR="00340074" w:rsidRPr="00CE57F9">
        <w:rPr>
          <w:rFonts w:ascii="標楷體" w:eastAsia="標楷體" w:hAnsi="標楷體" w:hint="eastAsia"/>
          <w:szCs w:val="24"/>
        </w:rPr>
        <w:t>（圖</w:t>
      </w:r>
      <w:r w:rsidR="00F3518A" w:rsidRPr="00CE57F9">
        <w:rPr>
          <w:rFonts w:ascii="標楷體" w:eastAsia="標楷體" w:hAnsi="標楷體" w:hint="eastAsia"/>
          <w:szCs w:val="24"/>
        </w:rPr>
        <w:t>2</w:t>
      </w:r>
      <w:r w:rsidR="00340074" w:rsidRPr="00CE57F9">
        <w:rPr>
          <w:rFonts w:ascii="標楷體" w:eastAsia="標楷體" w:hAnsi="標楷體" w:hint="eastAsia"/>
          <w:szCs w:val="24"/>
        </w:rPr>
        <w:t>）</w:t>
      </w:r>
      <w:r w:rsidR="00340074" w:rsidRPr="009D11AD">
        <w:rPr>
          <w:rFonts w:ascii="標楷體" w:eastAsia="標楷體" w:hAnsi="標楷體" w:hint="eastAsia"/>
          <w:szCs w:val="24"/>
        </w:rPr>
        <w:t>，未生育比率持續攀升。國內新生兒高達9成6為婚生子女，111年底</w:t>
      </w:r>
      <w:r w:rsidR="00340074" w:rsidRPr="009D11AD">
        <w:rPr>
          <w:rFonts w:ascii="標楷體" w:eastAsia="標楷體" w:hAnsi="標楷體"/>
          <w:szCs w:val="24"/>
        </w:rPr>
        <w:t>20至44歲</w:t>
      </w:r>
      <w:r w:rsidR="00340074" w:rsidRPr="009D11AD">
        <w:rPr>
          <w:rFonts w:ascii="標楷體" w:eastAsia="標楷體" w:hAnsi="標楷體" w:hint="eastAsia"/>
          <w:szCs w:val="24"/>
        </w:rPr>
        <w:t>各</w:t>
      </w:r>
      <w:r w:rsidR="003419F0" w:rsidRPr="00DA2751">
        <w:rPr>
          <w:rFonts w:ascii="標楷體" w:eastAsia="標楷體" w:hAnsi="標楷體"/>
          <w:b/>
          <w:noProof/>
        </w:rPr>
        <mc:AlternateContent>
          <mc:Choice Requires="wps">
            <w:drawing>
              <wp:anchor distT="0" distB="0" distL="114300" distR="114300" simplePos="0" relativeHeight="251655680" behindDoc="0" locked="0" layoutInCell="1" allowOverlap="1" wp14:anchorId="1FA1A6E2" wp14:editId="2D23022F">
                <wp:simplePos x="0" y="0"/>
                <wp:positionH relativeFrom="margin">
                  <wp:posOffset>-153035</wp:posOffset>
                </wp:positionH>
                <wp:positionV relativeFrom="paragraph">
                  <wp:posOffset>1676681</wp:posOffset>
                </wp:positionV>
                <wp:extent cx="6400800" cy="4885055"/>
                <wp:effectExtent l="0" t="0" r="0" b="0"/>
                <wp:wrapTopAndBottom/>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4885055"/>
                        </a:xfrm>
                        <a:prstGeom prst="rect">
                          <a:avLst/>
                        </a:prstGeom>
                        <a:solidFill>
                          <a:srgbClr val="FFFFFF"/>
                        </a:solidFill>
                        <a:ln w="9525">
                          <a:noFill/>
                          <a:miter lim="800000"/>
                          <a:headEnd/>
                          <a:tailEnd/>
                        </a:ln>
                      </wps:spPr>
                      <wps:txbx>
                        <w:txbxContent>
                          <w:p w14:paraId="35855A96" w14:textId="1F5D058A" w:rsidR="00CE57F9" w:rsidRPr="00CE57F9" w:rsidRDefault="00CE57F9" w:rsidP="00F3518A">
                            <w:pPr>
                              <w:pStyle w:val="afffffc"/>
                              <w:spacing w:afterLines="50" w:after="180" w:line="360" w:lineRule="exact"/>
                              <w:ind w:leftChars="0" w:left="0" w:firstLineChars="0" w:firstLine="0"/>
                              <w:jc w:val="center"/>
                              <w:outlineLvl w:val="9"/>
                              <w:rPr>
                                <w:b/>
                                <w:color w:val="auto"/>
                                <w:sz w:val="24"/>
                              </w:rPr>
                            </w:pPr>
                            <w:r w:rsidRPr="00085BF0">
                              <w:rPr>
                                <w:rFonts w:hint="eastAsia"/>
                                <w:b/>
                                <w:color w:val="auto"/>
                                <w:sz w:val="24"/>
                              </w:rPr>
                              <w:t>圖</w:t>
                            </w:r>
                            <w:r>
                              <w:rPr>
                                <w:b/>
                                <w:color w:val="auto"/>
                                <w:sz w:val="24"/>
                              </w:rPr>
                              <w:t>2</w:t>
                            </w:r>
                            <w:r w:rsidRPr="00DA2751">
                              <w:rPr>
                                <w:rFonts w:cs="新細明體" w:hint="eastAsia"/>
                                <w:b/>
                                <w:bCs/>
                                <w:kern w:val="0"/>
                                <w:sz w:val="24"/>
                                <w:szCs w:val="24"/>
                              </w:rPr>
                              <w:t xml:space="preserve">　</w:t>
                            </w:r>
                            <w:r w:rsidRPr="00085BF0">
                              <w:rPr>
                                <w:b/>
                                <w:color w:val="auto"/>
                                <w:sz w:val="24"/>
                              </w:rPr>
                              <w:t>106</w:t>
                            </w:r>
                            <w:r w:rsidRPr="00085BF0">
                              <w:rPr>
                                <w:rFonts w:hint="eastAsia"/>
                                <w:b/>
                                <w:color w:val="auto"/>
                                <w:sz w:val="24"/>
                              </w:rPr>
                              <w:t>及111年</w:t>
                            </w:r>
                            <w:r w:rsidRPr="00085BF0">
                              <w:rPr>
                                <w:b/>
                                <w:color w:val="auto"/>
                                <w:sz w:val="24"/>
                              </w:rPr>
                              <w:t>底</w:t>
                            </w:r>
                            <w:r w:rsidRPr="00085BF0">
                              <w:rPr>
                                <w:rFonts w:hint="eastAsia"/>
                                <w:b/>
                                <w:color w:val="auto"/>
                                <w:sz w:val="24"/>
                              </w:rPr>
                              <w:t>育齡女性生育胎數</w:t>
                            </w:r>
                            <w:r w:rsidRPr="00CE57F9">
                              <w:rPr>
                                <w:rFonts w:hint="eastAsia"/>
                                <w:b/>
                                <w:color w:val="auto"/>
                                <w:sz w:val="24"/>
                              </w:rPr>
                              <w:t>及</w:t>
                            </w:r>
                            <w:r w:rsidRPr="00CE57F9">
                              <w:rPr>
                                <w:b/>
                                <w:color w:val="auto"/>
                                <w:sz w:val="24"/>
                              </w:rPr>
                              <w:t>年齡分布之比率</w:t>
                            </w:r>
                          </w:p>
                          <w:p w14:paraId="57F0FCD0" w14:textId="77777777" w:rsidR="00CE57F9" w:rsidRPr="008300B5" w:rsidRDefault="00CE57F9" w:rsidP="00F3518A">
                            <w:pPr>
                              <w:snapToGrid w:val="0"/>
                              <w:jc w:val="center"/>
                              <w:rPr>
                                <w:rFonts w:ascii="標楷體" w:eastAsia="標楷體" w:hAnsi="標楷體"/>
                                <w:sz w:val="20"/>
                              </w:rPr>
                            </w:pPr>
                            <w:r w:rsidRPr="008300B5">
                              <w:rPr>
                                <w:rFonts w:ascii="標楷體" w:eastAsia="標楷體" w:hAnsi="標楷體"/>
                                <w:noProof/>
                                <w:sz w:val="20"/>
                              </w:rPr>
                              <w:drawing>
                                <wp:inline distT="0" distB="0" distL="0" distR="0" wp14:anchorId="08FBD53C" wp14:editId="4030181E">
                                  <wp:extent cx="2552700" cy="2160000"/>
                                  <wp:effectExtent l="0" t="0" r="0" b="0"/>
                                  <wp:docPr id="38" name="圖表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sidRPr="008300B5">
                              <w:rPr>
                                <w:rFonts w:ascii="標楷體" w:eastAsia="標楷體" w:hAnsi="標楷體" w:hint="eastAsia"/>
                                <w:sz w:val="20"/>
                              </w:rPr>
                              <w:t xml:space="preserve"> </w:t>
                            </w:r>
                            <w:r w:rsidRPr="008300B5">
                              <w:rPr>
                                <w:rFonts w:ascii="標楷體" w:eastAsia="標楷體" w:hAnsi="標楷體"/>
                                <w:sz w:val="20"/>
                              </w:rPr>
                              <w:t xml:space="preserve">    </w:t>
                            </w:r>
                            <w:r w:rsidRPr="008300B5">
                              <w:rPr>
                                <w:rFonts w:ascii="標楷體" w:eastAsia="標楷體" w:hAnsi="標楷體"/>
                                <w:noProof/>
                                <w:sz w:val="20"/>
                              </w:rPr>
                              <w:drawing>
                                <wp:inline distT="0" distB="0" distL="0" distR="0" wp14:anchorId="101A0F04" wp14:editId="52BED74E">
                                  <wp:extent cx="2552700" cy="2160000"/>
                                  <wp:effectExtent l="0" t="0" r="0" b="0"/>
                                  <wp:docPr id="39" name="圖表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531FACF9" w14:textId="77777777" w:rsidR="00CE57F9" w:rsidRPr="008300B5" w:rsidRDefault="00CE57F9" w:rsidP="00F3518A">
                            <w:pPr>
                              <w:snapToGrid w:val="0"/>
                              <w:spacing w:beforeLines="50" w:before="180"/>
                              <w:jc w:val="center"/>
                              <w:rPr>
                                <w:rFonts w:ascii="標楷體" w:eastAsia="標楷體" w:hAnsi="標楷體"/>
                                <w:sz w:val="20"/>
                              </w:rPr>
                            </w:pPr>
                            <w:r w:rsidRPr="008300B5">
                              <w:rPr>
                                <w:rFonts w:ascii="標楷體" w:eastAsia="標楷體" w:hAnsi="標楷體"/>
                                <w:noProof/>
                                <w:sz w:val="20"/>
                              </w:rPr>
                              <w:drawing>
                                <wp:inline distT="0" distB="0" distL="0" distR="0" wp14:anchorId="7E56B6C8" wp14:editId="5FAF02A0">
                                  <wp:extent cx="2552700" cy="1836000"/>
                                  <wp:effectExtent l="0" t="0" r="0" b="0"/>
                                  <wp:docPr id="40" name="圖表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sidRPr="008300B5">
                              <w:rPr>
                                <w:rFonts w:ascii="標楷體" w:eastAsia="標楷體" w:hAnsi="標楷體" w:hint="eastAsia"/>
                                <w:sz w:val="20"/>
                              </w:rPr>
                              <w:t xml:space="preserve"> </w:t>
                            </w:r>
                            <w:r w:rsidRPr="008300B5">
                              <w:rPr>
                                <w:rFonts w:ascii="標楷體" w:eastAsia="標楷體" w:hAnsi="標楷體"/>
                                <w:sz w:val="20"/>
                              </w:rPr>
                              <w:t xml:space="preserve">    </w:t>
                            </w:r>
                            <w:r w:rsidRPr="008300B5">
                              <w:rPr>
                                <w:rFonts w:ascii="標楷體" w:eastAsia="標楷體" w:hAnsi="標楷體"/>
                                <w:noProof/>
                                <w:sz w:val="20"/>
                              </w:rPr>
                              <w:drawing>
                                <wp:inline distT="0" distB="0" distL="0" distR="0" wp14:anchorId="5804AA96" wp14:editId="46111D00">
                                  <wp:extent cx="2552700" cy="1836000"/>
                                  <wp:effectExtent l="0" t="0" r="0" b="0"/>
                                  <wp:docPr id="41" name="圖表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13BBE81" w14:textId="77777777" w:rsidR="00CE57F9" w:rsidRPr="00DD587D" w:rsidRDefault="00CE57F9" w:rsidP="00F3518A">
                            <w:pPr>
                              <w:snapToGrid w:val="0"/>
                              <w:spacing w:line="240" w:lineRule="exact"/>
                              <w:ind w:leftChars="354" w:left="850" w:firstLineChars="1" w:firstLine="2"/>
                              <w:rPr>
                                <w:rFonts w:ascii="標楷體" w:eastAsia="標楷體" w:hAnsi="標楷體"/>
                                <w:sz w:val="18"/>
                              </w:rPr>
                            </w:pPr>
                            <w:r w:rsidRPr="00DD587D">
                              <w:rPr>
                                <w:rFonts w:ascii="標楷體" w:eastAsia="標楷體" w:hAnsi="標楷體" w:hint="eastAsia"/>
                                <w:sz w:val="18"/>
                              </w:rPr>
                              <w:t>註</w:t>
                            </w:r>
                            <w:r w:rsidRPr="00DD587D">
                              <w:rPr>
                                <w:rFonts w:ascii="標楷體" w:eastAsia="標楷體" w:hAnsi="標楷體"/>
                                <w:sz w:val="18"/>
                              </w:rPr>
                              <w:t>：</w:t>
                            </w:r>
                            <w:r w:rsidRPr="00DD587D">
                              <w:rPr>
                                <w:rFonts w:ascii="標楷體" w:eastAsia="標楷體" w:hAnsi="標楷體" w:hint="eastAsia"/>
                                <w:sz w:val="18"/>
                              </w:rPr>
                              <w:t>1.育</w:t>
                            </w:r>
                            <w:r w:rsidRPr="00DD587D">
                              <w:rPr>
                                <w:rFonts w:ascii="標楷體" w:eastAsia="標楷體" w:hAnsi="標楷體"/>
                                <w:sz w:val="18"/>
                              </w:rPr>
                              <w:t>齡女性</w:t>
                            </w:r>
                            <w:r w:rsidRPr="00DD587D">
                              <w:rPr>
                                <w:rFonts w:ascii="標楷體" w:eastAsia="標楷體" w:hAnsi="標楷體" w:hint="eastAsia"/>
                                <w:sz w:val="18"/>
                              </w:rPr>
                              <w:t>係</w:t>
                            </w:r>
                            <w:r w:rsidRPr="00DD587D">
                              <w:rPr>
                                <w:rFonts w:ascii="標楷體" w:eastAsia="標楷體" w:hAnsi="標楷體"/>
                                <w:sz w:val="18"/>
                              </w:rPr>
                              <w:t>以</w:t>
                            </w:r>
                            <w:r w:rsidRPr="00DD587D">
                              <w:rPr>
                                <w:rFonts w:ascii="標楷體" w:eastAsia="標楷體" w:hAnsi="標楷體" w:hint="eastAsia"/>
                                <w:sz w:val="18"/>
                              </w:rPr>
                              <w:t>111年</w:t>
                            </w:r>
                            <w:r w:rsidRPr="00DD587D">
                              <w:rPr>
                                <w:rFonts w:ascii="標楷體" w:eastAsia="標楷體" w:hAnsi="標楷體"/>
                                <w:sz w:val="18"/>
                              </w:rPr>
                              <w:t>底女性國人</w:t>
                            </w:r>
                            <w:r w:rsidRPr="00DD587D">
                              <w:rPr>
                                <w:rFonts w:ascii="標楷體" w:eastAsia="標楷體" w:hAnsi="標楷體" w:hint="eastAsia"/>
                                <w:sz w:val="18"/>
                              </w:rPr>
                              <w:t>為</w:t>
                            </w:r>
                            <w:r w:rsidRPr="00DD587D">
                              <w:rPr>
                                <w:rFonts w:ascii="標楷體" w:eastAsia="標楷體" w:hAnsi="標楷體"/>
                                <w:sz w:val="18"/>
                              </w:rPr>
                              <w:t>統計對象</w:t>
                            </w:r>
                            <w:r w:rsidRPr="00DD587D">
                              <w:rPr>
                                <w:rFonts w:ascii="標楷體" w:eastAsia="標楷體" w:hAnsi="標楷體" w:hint="eastAsia"/>
                                <w:sz w:val="18"/>
                              </w:rPr>
                              <w:t>，分</w:t>
                            </w:r>
                            <w:r w:rsidRPr="00DD587D">
                              <w:rPr>
                                <w:rFonts w:ascii="標楷體" w:eastAsia="標楷體" w:hAnsi="標楷體"/>
                                <w:sz w:val="18"/>
                              </w:rPr>
                              <w:t>別</w:t>
                            </w:r>
                            <w:r w:rsidRPr="00DD587D">
                              <w:rPr>
                                <w:rFonts w:ascii="標楷體" w:eastAsia="標楷體" w:hAnsi="標楷體" w:hint="eastAsia"/>
                                <w:sz w:val="18"/>
                              </w:rPr>
                              <w:t>計</w:t>
                            </w:r>
                            <w:r w:rsidRPr="00DD587D">
                              <w:rPr>
                                <w:rFonts w:ascii="標楷體" w:eastAsia="標楷體" w:hAnsi="標楷體"/>
                                <w:sz w:val="18"/>
                              </w:rPr>
                              <w:t>算</w:t>
                            </w:r>
                            <w:r w:rsidRPr="00DD587D">
                              <w:rPr>
                                <w:rFonts w:ascii="標楷體" w:eastAsia="標楷體" w:hAnsi="標楷體" w:hint="eastAsia"/>
                                <w:sz w:val="18"/>
                              </w:rPr>
                              <w:t>截</w:t>
                            </w:r>
                            <w:r w:rsidRPr="00DD587D">
                              <w:rPr>
                                <w:rFonts w:ascii="標楷體" w:eastAsia="標楷體" w:hAnsi="標楷體"/>
                                <w:sz w:val="18"/>
                              </w:rPr>
                              <w:t>至</w:t>
                            </w:r>
                            <w:r w:rsidRPr="00DD587D">
                              <w:rPr>
                                <w:rFonts w:ascii="標楷體" w:eastAsia="標楷體" w:hAnsi="標楷體" w:hint="eastAsia"/>
                                <w:sz w:val="18"/>
                              </w:rPr>
                              <w:t>1</w:t>
                            </w:r>
                            <w:r w:rsidRPr="00DD587D">
                              <w:rPr>
                                <w:rFonts w:ascii="標楷體" w:eastAsia="標楷體" w:hAnsi="標楷體"/>
                                <w:sz w:val="18"/>
                              </w:rPr>
                              <w:t>06</w:t>
                            </w:r>
                            <w:r w:rsidRPr="00DD587D">
                              <w:rPr>
                                <w:rFonts w:ascii="標楷體" w:eastAsia="標楷體" w:hAnsi="標楷體" w:hint="eastAsia"/>
                                <w:sz w:val="18"/>
                              </w:rPr>
                              <w:t>及111年</w:t>
                            </w:r>
                            <w:r w:rsidRPr="00DD587D">
                              <w:rPr>
                                <w:rFonts w:ascii="標楷體" w:eastAsia="標楷體" w:hAnsi="標楷體"/>
                                <w:sz w:val="18"/>
                              </w:rPr>
                              <w:t>底</w:t>
                            </w:r>
                            <w:r w:rsidRPr="00DD587D">
                              <w:rPr>
                                <w:rFonts w:ascii="標楷體" w:eastAsia="標楷體" w:hAnsi="標楷體" w:hint="eastAsia"/>
                                <w:sz w:val="18"/>
                              </w:rPr>
                              <w:t>之生</w:t>
                            </w:r>
                            <w:r w:rsidRPr="00DD587D">
                              <w:rPr>
                                <w:rFonts w:ascii="標楷體" w:eastAsia="標楷體" w:hAnsi="標楷體"/>
                                <w:sz w:val="18"/>
                              </w:rPr>
                              <w:t>育</w:t>
                            </w:r>
                            <w:r w:rsidRPr="00DD587D">
                              <w:rPr>
                                <w:rFonts w:ascii="標楷體" w:eastAsia="標楷體" w:hAnsi="標楷體" w:hint="eastAsia"/>
                                <w:sz w:val="18"/>
                              </w:rPr>
                              <w:t>胎數。</w:t>
                            </w:r>
                          </w:p>
                          <w:p w14:paraId="6C07F982" w14:textId="77777777" w:rsidR="00CE57F9" w:rsidRPr="00DD587D" w:rsidRDefault="00CE57F9" w:rsidP="00F3518A">
                            <w:pPr>
                              <w:spacing w:line="240" w:lineRule="exact"/>
                              <w:ind w:leftChars="507" w:left="1217"/>
                              <w:rPr>
                                <w:rFonts w:ascii="標楷體" w:eastAsia="標楷體" w:hAnsi="標楷體"/>
                                <w:sz w:val="18"/>
                              </w:rPr>
                            </w:pPr>
                            <w:r w:rsidRPr="00DD587D">
                              <w:rPr>
                                <w:rFonts w:ascii="標楷體" w:eastAsia="標楷體" w:hAnsi="標楷體" w:hint="eastAsia"/>
                                <w:sz w:val="18"/>
                              </w:rPr>
                              <w:t>2.資</w:t>
                            </w:r>
                            <w:r w:rsidRPr="00DD587D">
                              <w:rPr>
                                <w:rFonts w:ascii="標楷體" w:eastAsia="標楷體" w:hAnsi="標楷體"/>
                                <w:sz w:val="18"/>
                              </w:rPr>
                              <w:t>料來源：整理自</w:t>
                            </w:r>
                            <w:r w:rsidRPr="00DD587D">
                              <w:rPr>
                                <w:rFonts w:ascii="標楷體" w:eastAsia="標楷體" w:hAnsi="標楷體" w:hint="eastAsia"/>
                                <w:sz w:val="18"/>
                              </w:rPr>
                              <w:t>內</w:t>
                            </w:r>
                            <w:r w:rsidRPr="00DD587D">
                              <w:rPr>
                                <w:rFonts w:ascii="標楷體" w:eastAsia="標楷體" w:hAnsi="標楷體"/>
                                <w:sz w:val="18"/>
                              </w:rPr>
                              <w:t>政部提供資料。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A1A6E2" id="文字方塊 2" o:spid="_x0000_s1027" type="#_x0000_t202" style="position:absolute;left:0;text-align:left;margin-left:-12.05pt;margin-top:132pt;width:7in;height:384.65pt;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" stroked="f">
                <v:textbox>
                  <w:txbxContent>
                    <w:p w14:paraId="35855A96" w14:textId="1F5D058A" w:rsidR="00CE57F9" w:rsidRPr="00CE57F9" w:rsidRDefault="00CE57F9" w:rsidP="00F3518A">
                      <w:pPr>
                        <w:pStyle w:val="afffffc"/>
                        <w:spacing w:afterLines="50" w:after="180" w:line="360" w:lineRule="exact"/>
                        <w:ind w:leftChars="0" w:left="0" w:firstLineChars="0" w:firstLine="0"/>
                        <w:jc w:val="center"/>
                        <w:outlineLvl w:val="9"/>
                        <w:rPr>
                          <w:b/>
                          <w:color w:val="auto"/>
                          <w:sz w:val="24"/>
                        </w:rPr>
                      </w:pPr>
                      <w:r w:rsidRPr="00085BF0">
                        <w:rPr>
                          <w:rFonts w:hint="eastAsia"/>
                          <w:b/>
                          <w:color w:val="auto"/>
                          <w:sz w:val="24"/>
                        </w:rPr>
                        <w:t>圖</w:t>
                      </w:r>
                      <w:r>
                        <w:rPr>
                          <w:b/>
                          <w:color w:val="auto"/>
                          <w:sz w:val="24"/>
                        </w:rPr>
                        <w:t>2</w:t>
                      </w:r>
                      <w:r w:rsidRPr="00DA2751">
                        <w:rPr>
                          <w:rFonts w:cs="新細明體" w:hint="eastAsia"/>
                          <w:b/>
                          <w:bCs/>
                          <w:kern w:val="0"/>
                          <w:sz w:val="24"/>
                          <w:szCs w:val="24"/>
                        </w:rPr>
                        <w:t xml:space="preserve">　</w:t>
                      </w:r>
                      <w:r w:rsidRPr="00085BF0">
                        <w:rPr>
                          <w:b/>
                          <w:color w:val="auto"/>
                          <w:sz w:val="24"/>
                        </w:rPr>
                        <w:t>106</w:t>
                      </w:r>
                      <w:r w:rsidRPr="00085BF0">
                        <w:rPr>
                          <w:rFonts w:hint="eastAsia"/>
                          <w:b/>
                          <w:color w:val="auto"/>
                          <w:sz w:val="24"/>
                        </w:rPr>
                        <w:t>及111年</w:t>
                      </w:r>
                      <w:r w:rsidRPr="00085BF0">
                        <w:rPr>
                          <w:b/>
                          <w:color w:val="auto"/>
                          <w:sz w:val="24"/>
                        </w:rPr>
                        <w:t>底</w:t>
                      </w:r>
                      <w:r w:rsidRPr="00085BF0">
                        <w:rPr>
                          <w:rFonts w:hint="eastAsia"/>
                          <w:b/>
                          <w:color w:val="auto"/>
                          <w:sz w:val="24"/>
                        </w:rPr>
                        <w:t>育齡女性生育胎數</w:t>
                      </w:r>
                      <w:r w:rsidRPr="00CE57F9">
                        <w:rPr>
                          <w:rFonts w:hint="eastAsia"/>
                          <w:b/>
                          <w:color w:val="auto"/>
                          <w:sz w:val="24"/>
                        </w:rPr>
                        <w:t>及</w:t>
                      </w:r>
                      <w:r w:rsidRPr="00CE57F9">
                        <w:rPr>
                          <w:b/>
                          <w:color w:val="auto"/>
                          <w:sz w:val="24"/>
                        </w:rPr>
                        <w:t>年齡分布之比率</w:t>
                      </w:r>
                    </w:p>
                    <w:p w14:paraId="57F0FCD0" w14:textId="77777777" w:rsidR="00CE57F9" w:rsidRPr="008300B5" w:rsidRDefault="00CE57F9" w:rsidP="00F3518A">
                      <w:pPr>
                        <w:snapToGrid w:val="0"/>
                        <w:jc w:val="center"/>
                        <w:rPr>
                          <w:rFonts w:ascii="標楷體" w:eastAsia="標楷體" w:hAnsi="標楷體"/>
                          <w:sz w:val="20"/>
                        </w:rPr>
                      </w:pPr>
                      <w:r w:rsidRPr="008300B5">
                        <w:rPr>
                          <w:rFonts w:ascii="標楷體" w:eastAsia="標楷體" w:hAnsi="標楷體"/>
                          <w:noProof/>
                          <w:sz w:val="20"/>
                        </w:rPr>
                        <w:drawing>
                          <wp:inline distT="0" distB="0" distL="0" distR="0" wp14:anchorId="08FBD53C" wp14:editId="4030181E">
                            <wp:extent cx="2552700" cy="2160000"/>
                            <wp:effectExtent l="0" t="0" r="0" b="0"/>
                            <wp:docPr id="38" name="圖表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sidRPr="008300B5">
                        <w:rPr>
                          <w:rFonts w:ascii="標楷體" w:eastAsia="標楷體" w:hAnsi="標楷體" w:hint="eastAsia"/>
                          <w:sz w:val="20"/>
                        </w:rPr>
                        <w:t xml:space="preserve"> </w:t>
                      </w:r>
                      <w:r w:rsidRPr="008300B5">
                        <w:rPr>
                          <w:rFonts w:ascii="標楷體" w:eastAsia="標楷體" w:hAnsi="標楷體"/>
                          <w:sz w:val="20"/>
                        </w:rPr>
                        <w:t xml:space="preserve">    </w:t>
                      </w:r>
                      <w:r w:rsidRPr="008300B5">
                        <w:rPr>
                          <w:rFonts w:ascii="標楷體" w:eastAsia="標楷體" w:hAnsi="標楷體"/>
                          <w:noProof/>
                          <w:sz w:val="20"/>
                        </w:rPr>
                        <w:drawing>
                          <wp:inline distT="0" distB="0" distL="0" distR="0" wp14:anchorId="101A0F04" wp14:editId="52BED74E">
                            <wp:extent cx="2552700" cy="2160000"/>
                            <wp:effectExtent l="0" t="0" r="0" b="0"/>
                            <wp:docPr id="39" name="圖表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531FACF9" w14:textId="77777777" w:rsidR="00CE57F9" w:rsidRPr="008300B5" w:rsidRDefault="00CE57F9" w:rsidP="00F3518A">
                      <w:pPr>
                        <w:snapToGrid w:val="0"/>
                        <w:spacing w:beforeLines="50" w:before="180"/>
                        <w:jc w:val="center"/>
                        <w:rPr>
                          <w:rFonts w:ascii="標楷體" w:eastAsia="標楷體" w:hAnsi="標楷體"/>
                          <w:sz w:val="20"/>
                        </w:rPr>
                      </w:pPr>
                      <w:r w:rsidRPr="008300B5">
                        <w:rPr>
                          <w:rFonts w:ascii="標楷體" w:eastAsia="標楷體" w:hAnsi="標楷體"/>
                          <w:noProof/>
                          <w:sz w:val="20"/>
                        </w:rPr>
                        <w:drawing>
                          <wp:inline distT="0" distB="0" distL="0" distR="0" wp14:anchorId="7E56B6C8" wp14:editId="5FAF02A0">
                            <wp:extent cx="2552700" cy="1836000"/>
                            <wp:effectExtent l="0" t="0" r="0" b="0"/>
                            <wp:docPr id="40" name="圖表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sidRPr="008300B5">
                        <w:rPr>
                          <w:rFonts w:ascii="標楷體" w:eastAsia="標楷體" w:hAnsi="標楷體" w:hint="eastAsia"/>
                          <w:sz w:val="20"/>
                        </w:rPr>
                        <w:t xml:space="preserve"> </w:t>
                      </w:r>
                      <w:r w:rsidRPr="008300B5">
                        <w:rPr>
                          <w:rFonts w:ascii="標楷體" w:eastAsia="標楷體" w:hAnsi="標楷體"/>
                          <w:sz w:val="20"/>
                        </w:rPr>
                        <w:t xml:space="preserve">    </w:t>
                      </w:r>
                      <w:r w:rsidRPr="008300B5">
                        <w:rPr>
                          <w:rFonts w:ascii="標楷體" w:eastAsia="標楷體" w:hAnsi="標楷體"/>
                          <w:noProof/>
                          <w:sz w:val="20"/>
                        </w:rPr>
                        <w:drawing>
                          <wp:inline distT="0" distB="0" distL="0" distR="0" wp14:anchorId="5804AA96" wp14:editId="46111D00">
                            <wp:extent cx="2552700" cy="1836000"/>
                            <wp:effectExtent l="0" t="0" r="0" b="0"/>
                            <wp:docPr id="41" name="圖表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13BBE81" w14:textId="77777777" w:rsidR="00CE57F9" w:rsidRPr="00DD587D" w:rsidRDefault="00CE57F9" w:rsidP="00F3518A">
                      <w:pPr>
                        <w:snapToGrid w:val="0"/>
                        <w:spacing w:line="240" w:lineRule="exact"/>
                        <w:ind w:leftChars="354" w:left="850" w:firstLineChars="1" w:firstLine="2"/>
                        <w:rPr>
                          <w:rFonts w:ascii="標楷體" w:eastAsia="標楷體" w:hAnsi="標楷體"/>
                          <w:sz w:val="18"/>
                        </w:rPr>
                      </w:pPr>
                      <w:r w:rsidRPr="00DD587D">
                        <w:rPr>
                          <w:rFonts w:ascii="標楷體" w:eastAsia="標楷體" w:hAnsi="標楷體" w:hint="eastAsia"/>
                          <w:sz w:val="18"/>
                        </w:rPr>
                        <w:t>註</w:t>
                      </w:r>
                      <w:r w:rsidRPr="00DD587D">
                        <w:rPr>
                          <w:rFonts w:ascii="標楷體" w:eastAsia="標楷體" w:hAnsi="標楷體"/>
                          <w:sz w:val="18"/>
                        </w:rPr>
                        <w:t>：</w:t>
                      </w:r>
                      <w:r w:rsidRPr="00DD587D">
                        <w:rPr>
                          <w:rFonts w:ascii="標楷體" w:eastAsia="標楷體" w:hAnsi="標楷體" w:hint="eastAsia"/>
                          <w:sz w:val="18"/>
                        </w:rPr>
                        <w:t>1.育</w:t>
                      </w:r>
                      <w:r w:rsidRPr="00DD587D">
                        <w:rPr>
                          <w:rFonts w:ascii="標楷體" w:eastAsia="標楷體" w:hAnsi="標楷體"/>
                          <w:sz w:val="18"/>
                        </w:rPr>
                        <w:t>齡女性</w:t>
                      </w:r>
                      <w:r w:rsidRPr="00DD587D">
                        <w:rPr>
                          <w:rFonts w:ascii="標楷體" w:eastAsia="標楷體" w:hAnsi="標楷體" w:hint="eastAsia"/>
                          <w:sz w:val="18"/>
                        </w:rPr>
                        <w:t>係</w:t>
                      </w:r>
                      <w:r w:rsidRPr="00DD587D">
                        <w:rPr>
                          <w:rFonts w:ascii="標楷體" w:eastAsia="標楷體" w:hAnsi="標楷體"/>
                          <w:sz w:val="18"/>
                        </w:rPr>
                        <w:t>以</w:t>
                      </w:r>
                      <w:r w:rsidRPr="00DD587D">
                        <w:rPr>
                          <w:rFonts w:ascii="標楷體" w:eastAsia="標楷體" w:hAnsi="標楷體" w:hint="eastAsia"/>
                          <w:sz w:val="18"/>
                        </w:rPr>
                        <w:t>111年</w:t>
                      </w:r>
                      <w:r w:rsidRPr="00DD587D">
                        <w:rPr>
                          <w:rFonts w:ascii="標楷體" w:eastAsia="標楷體" w:hAnsi="標楷體"/>
                          <w:sz w:val="18"/>
                        </w:rPr>
                        <w:t>底女性國人</w:t>
                      </w:r>
                      <w:r w:rsidRPr="00DD587D">
                        <w:rPr>
                          <w:rFonts w:ascii="標楷體" w:eastAsia="標楷體" w:hAnsi="標楷體" w:hint="eastAsia"/>
                          <w:sz w:val="18"/>
                        </w:rPr>
                        <w:t>為</w:t>
                      </w:r>
                      <w:r w:rsidRPr="00DD587D">
                        <w:rPr>
                          <w:rFonts w:ascii="標楷體" w:eastAsia="標楷體" w:hAnsi="標楷體"/>
                          <w:sz w:val="18"/>
                        </w:rPr>
                        <w:t>統計對象</w:t>
                      </w:r>
                      <w:r w:rsidRPr="00DD587D">
                        <w:rPr>
                          <w:rFonts w:ascii="標楷體" w:eastAsia="標楷體" w:hAnsi="標楷體" w:hint="eastAsia"/>
                          <w:sz w:val="18"/>
                        </w:rPr>
                        <w:t>，分</w:t>
                      </w:r>
                      <w:r w:rsidRPr="00DD587D">
                        <w:rPr>
                          <w:rFonts w:ascii="標楷體" w:eastAsia="標楷體" w:hAnsi="標楷體"/>
                          <w:sz w:val="18"/>
                        </w:rPr>
                        <w:t>別</w:t>
                      </w:r>
                      <w:r w:rsidRPr="00DD587D">
                        <w:rPr>
                          <w:rFonts w:ascii="標楷體" w:eastAsia="標楷體" w:hAnsi="標楷體" w:hint="eastAsia"/>
                          <w:sz w:val="18"/>
                        </w:rPr>
                        <w:t>計</w:t>
                      </w:r>
                      <w:r w:rsidRPr="00DD587D">
                        <w:rPr>
                          <w:rFonts w:ascii="標楷體" w:eastAsia="標楷體" w:hAnsi="標楷體"/>
                          <w:sz w:val="18"/>
                        </w:rPr>
                        <w:t>算</w:t>
                      </w:r>
                      <w:r w:rsidRPr="00DD587D">
                        <w:rPr>
                          <w:rFonts w:ascii="標楷體" w:eastAsia="標楷體" w:hAnsi="標楷體" w:hint="eastAsia"/>
                          <w:sz w:val="18"/>
                        </w:rPr>
                        <w:t>截</w:t>
                      </w:r>
                      <w:r w:rsidRPr="00DD587D">
                        <w:rPr>
                          <w:rFonts w:ascii="標楷體" w:eastAsia="標楷體" w:hAnsi="標楷體"/>
                          <w:sz w:val="18"/>
                        </w:rPr>
                        <w:t>至</w:t>
                      </w:r>
                      <w:r w:rsidRPr="00DD587D">
                        <w:rPr>
                          <w:rFonts w:ascii="標楷體" w:eastAsia="標楷體" w:hAnsi="標楷體" w:hint="eastAsia"/>
                          <w:sz w:val="18"/>
                        </w:rPr>
                        <w:t>1</w:t>
                      </w:r>
                      <w:r w:rsidRPr="00DD587D">
                        <w:rPr>
                          <w:rFonts w:ascii="標楷體" w:eastAsia="標楷體" w:hAnsi="標楷體"/>
                          <w:sz w:val="18"/>
                        </w:rPr>
                        <w:t>06</w:t>
                      </w:r>
                      <w:r w:rsidRPr="00DD587D">
                        <w:rPr>
                          <w:rFonts w:ascii="標楷體" w:eastAsia="標楷體" w:hAnsi="標楷體" w:hint="eastAsia"/>
                          <w:sz w:val="18"/>
                        </w:rPr>
                        <w:t>及111年</w:t>
                      </w:r>
                      <w:r w:rsidRPr="00DD587D">
                        <w:rPr>
                          <w:rFonts w:ascii="標楷體" w:eastAsia="標楷體" w:hAnsi="標楷體"/>
                          <w:sz w:val="18"/>
                        </w:rPr>
                        <w:t>底</w:t>
                      </w:r>
                      <w:r w:rsidRPr="00DD587D">
                        <w:rPr>
                          <w:rFonts w:ascii="標楷體" w:eastAsia="標楷體" w:hAnsi="標楷體" w:hint="eastAsia"/>
                          <w:sz w:val="18"/>
                        </w:rPr>
                        <w:t>之生</w:t>
                      </w:r>
                      <w:r w:rsidRPr="00DD587D">
                        <w:rPr>
                          <w:rFonts w:ascii="標楷體" w:eastAsia="標楷體" w:hAnsi="標楷體"/>
                          <w:sz w:val="18"/>
                        </w:rPr>
                        <w:t>育</w:t>
                      </w:r>
                      <w:r w:rsidRPr="00DD587D">
                        <w:rPr>
                          <w:rFonts w:ascii="標楷體" w:eastAsia="標楷體" w:hAnsi="標楷體" w:hint="eastAsia"/>
                          <w:sz w:val="18"/>
                        </w:rPr>
                        <w:t>胎數。</w:t>
                      </w:r>
                    </w:p>
                    <w:p w14:paraId="6C07F982" w14:textId="77777777" w:rsidR="00CE57F9" w:rsidRPr="00DD587D" w:rsidRDefault="00CE57F9" w:rsidP="00F3518A">
                      <w:pPr>
                        <w:spacing w:line="240" w:lineRule="exact"/>
                        <w:ind w:leftChars="507" w:left="1217"/>
                        <w:rPr>
                          <w:rFonts w:ascii="標楷體" w:eastAsia="標楷體" w:hAnsi="標楷體"/>
                          <w:sz w:val="18"/>
                        </w:rPr>
                      </w:pPr>
                      <w:r w:rsidRPr="00DD587D">
                        <w:rPr>
                          <w:rFonts w:ascii="標楷體" w:eastAsia="標楷體" w:hAnsi="標楷體" w:hint="eastAsia"/>
                          <w:sz w:val="18"/>
                        </w:rPr>
                        <w:t>2.資</w:t>
                      </w:r>
                      <w:r w:rsidRPr="00DD587D">
                        <w:rPr>
                          <w:rFonts w:ascii="標楷體" w:eastAsia="標楷體" w:hAnsi="標楷體"/>
                          <w:sz w:val="18"/>
                        </w:rPr>
                        <w:t>料來源：整理自</w:t>
                      </w:r>
                      <w:r w:rsidRPr="00DD587D">
                        <w:rPr>
                          <w:rFonts w:ascii="標楷體" w:eastAsia="標楷體" w:hAnsi="標楷體" w:hint="eastAsia"/>
                          <w:sz w:val="18"/>
                        </w:rPr>
                        <w:t>內</w:t>
                      </w:r>
                      <w:r w:rsidRPr="00DD587D">
                        <w:rPr>
                          <w:rFonts w:ascii="標楷體" w:eastAsia="標楷體" w:hAnsi="標楷體"/>
                          <w:sz w:val="18"/>
                        </w:rPr>
                        <w:t>政部提供資料。</w:t>
                      </w:r>
                    </w:p>
                  </w:txbxContent>
                </v:textbox>
                <w10:wrap type="topAndBottom" anchorx="margin"/>
              </v:shape>
            </w:pict>
          </mc:Fallback>
        </mc:AlternateContent>
      </w:r>
      <w:r w:rsidR="00340074" w:rsidRPr="009D11AD">
        <w:rPr>
          <w:rFonts w:ascii="標楷體" w:eastAsia="標楷體" w:hAnsi="標楷體" w:hint="eastAsia"/>
          <w:szCs w:val="24"/>
        </w:rPr>
        <w:t>年齡</w:t>
      </w:r>
      <w:r w:rsidR="003419F0" w:rsidRPr="00CE57F9">
        <w:rPr>
          <w:rFonts w:ascii="標楷體" w:eastAsia="標楷體" w:hAnsi="標楷體" w:hint="eastAsia"/>
          <w:szCs w:val="24"/>
        </w:rPr>
        <w:t>組</w:t>
      </w:r>
      <w:r w:rsidR="00340074" w:rsidRPr="00CE57F9">
        <w:rPr>
          <w:rFonts w:ascii="標楷體" w:eastAsia="標楷體" w:hAnsi="標楷體" w:hint="eastAsia"/>
          <w:szCs w:val="24"/>
        </w:rPr>
        <w:t>女性未婚比率均較106年底同年齡</w:t>
      </w:r>
      <w:r w:rsidR="003419F0" w:rsidRPr="00CE57F9">
        <w:rPr>
          <w:rFonts w:ascii="標楷體" w:eastAsia="標楷體" w:hAnsi="標楷體" w:hint="eastAsia"/>
          <w:szCs w:val="24"/>
        </w:rPr>
        <w:t>組</w:t>
      </w:r>
      <w:r w:rsidR="00340074" w:rsidRPr="00CE57F9">
        <w:rPr>
          <w:rFonts w:ascii="標楷體" w:eastAsia="標楷體" w:hAnsi="標楷體" w:hint="eastAsia"/>
          <w:szCs w:val="24"/>
        </w:rPr>
        <w:t>增加，</w:t>
      </w:r>
      <w:r w:rsidR="00340074" w:rsidRPr="009D11AD">
        <w:rPr>
          <w:rFonts w:ascii="標楷體" w:eastAsia="標楷體" w:hAnsi="標楷體" w:hint="eastAsia"/>
          <w:szCs w:val="24"/>
        </w:rPr>
        <w:t>平均逾5成未婚，且男性未婚比率更甚於女性，平均逾6成未婚，不利提高生育率，為生育率屢創新低之癥結主因。本部前就</w:t>
      </w:r>
      <w:r w:rsidR="00340074" w:rsidRPr="009D11AD">
        <w:rPr>
          <w:rFonts w:ascii="標楷體" w:eastAsia="標楷體" w:hAnsi="標楷體"/>
          <w:szCs w:val="24"/>
        </w:rPr>
        <w:t>政府部門針對不同世代與兩性婚育影響因素之演變與異同欠缺深入研究，</w:t>
      </w:r>
      <w:r w:rsidR="00340074" w:rsidRPr="009D11AD">
        <w:rPr>
          <w:rFonts w:ascii="標楷體" w:eastAsia="標楷體" w:hAnsi="標楷體" w:hint="eastAsia"/>
          <w:szCs w:val="24"/>
        </w:rPr>
        <w:t>建請行政院</w:t>
      </w:r>
      <w:r w:rsidR="00340074" w:rsidRPr="009D11AD">
        <w:rPr>
          <w:rFonts w:ascii="標楷體" w:eastAsia="標楷體" w:hAnsi="標楷體"/>
          <w:szCs w:val="24"/>
        </w:rPr>
        <w:t>由專責機構或投入資源進行實證分析與研究，</w:t>
      </w:r>
      <w:r w:rsidR="00340074" w:rsidRPr="009D11AD">
        <w:rPr>
          <w:rFonts w:ascii="標楷體" w:eastAsia="標楷體" w:hAnsi="標楷體" w:hint="eastAsia"/>
          <w:szCs w:val="24"/>
        </w:rPr>
        <w:t>行政院已交由國家科學及技術委員會進行少子女化問題與對策之實證調查研究，鑑於現行少子女化對策計畫著重於提供育兒家庭經濟支持及營造友善家庭的職場環境，</w:t>
      </w:r>
      <w:r w:rsidR="00340074" w:rsidRPr="009D11AD">
        <w:rPr>
          <w:rFonts w:ascii="標楷體" w:eastAsia="標楷體" w:hAnsi="標楷體"/>
          <w:szCs w:val="24"/>
        </w:rPr>
        <w:t>對</w:t>
      </w:r>
      <w:r w:rsidR="00340074" w:rsidRPr="009D11AD">
        <w:rPr>
          <w:rFonts w:ascii="標楷體" w:eastAsia="標楷體" w:hAnsi="標楷體" w:hint="eastAsia"/>
          <w:szCs w:val="24"/>
        </w:rPr>
        <w:t>於</w:t>
      </w:r>
      <w:r w:rsidR="00340074" w:rsidRPr="009D11AD">
        <w:rPr>
          <w:rFonts w:ascii="標楷體" w:eastAsia="標楷體" w:hAnsi="標楷體"/>
          <w:szCs w:val="24"/>
        </w:rPr>
        <w:t>未婚族群</w:t>
      </w:r>
      <w:r w:rsidR="00340074" w:rsidRPr="009D11AD">
        <w:rPr>
          <w:rFonts w:ascii="標楷體" w:eastAsia="標楷體" w:hAnsi="標楷體" w:hint="eastAsia"/>
          <w:szCs w:val="24"/>
        </w:rPr>
        <w:t>之</w:t>
      </w:r>
      <w:r w:rsidR="00340074" w:rsidRPr="009D11AD">
        <w:rPr>
          <w:rFonts w:ascii="標楷體" w:eastAsia="標楷體" w:hAnsi="標楷體"/>
          <w:szCs w:val="24"/>
        </w:rPr>
        <w:t>關注</w:t>
      </w:r>
      <w:r w:rsidR="00340074" w:rsidRPr="009D11AD">
        <w:rPr>
          <w:rFonts w:ascii="標楷體" w:eastAsia="標楷體" w:hAnsi="標楷體" w:hint="eastAsia"/>
          <w:szCs w:val="24"/>
        </w:rPr>
        <w:t>不足，有待根據研究成果</w:t>
      </w:r>
      <w:r w:rsidR="00340074" w:rsidRPr="009D11AD">
        <w:rPr>
          <w:rFonts w:ascii="標楷體" w:eastAsia="標楷體" w:hAnsi="標楷體"/>
          <w:szCs w:val="24"/>
        </w:rPr>
        <w:t>統籌運用各項政策誘因，強化對未婚族群</w:t>
      </w:r>
      <w:r w:rsidR="00340074" w:rsidRPr="009D11AD">
        <w:rPr>
          <w:rFonts w:ascii="標楷體" w:eastAsia="標楷體" w:hAnsi="標楷體" w:hint="eastAsia"/>
          <w:szCs w:val="24"/>
        </w:rPr>
        <w:t>之</w:t>
      </w:r>
      <w:r w:rsidR="00340074" w:rsidRPr="009D11AD">
        <w:rPr>
          <w:rFonts w:ascii="標楷體" w:eastAsia="標楷體" w:hAnsi="標楷體"/>
          <w:szCs w:val="24"/>
        </w:rPr>
        <w:t>關注</w:t>
      </w:r>
      <w:r w:rsidR="00340074" w:rsidRPr="009D11AD">
        <w:rPr>
          <w:rFonts w:ascii="標楷體" w:eastAsia="標楷體" w:hAnsi="標楷體" w:hint="eastAsia"/>
          <w:szCs w:val="24"/>
        </w:rPr>
        <w:t>與支持</w:t>
      </w:r>
      <w:r w:rsidR="00340074" w:rsidRPr="009D11AD">
        <w:rPr>
          <w:rFonts w:ascii="標楷體" w:eastAsia="標楷體" w:hAnsi="標楷體"/>
          <w:szCs w:val="24"/>
        </w:rPr>
        <w:t>，</w:t>
      </w:r>
      <w:r w:rsidR="00340074" w:rsidRPr="009D11AD">
        <w:rPr>
          <w:rFonts w:ascii="標楷體" w:eastAsia="標楷體" w:hAnsi="標楷體" w:hint="eastAsia"/>
          <w:szCs w:val="24"/>
        </w:rPr>
        <w:t>以</w:t>
      </w:r>
      <w:r w:rsidR="00340074" w:rsidRPr="009D11AD">
        <w:rPr>
          <w:rFonts w:ascii="標楷體" w:eastAsia="標楷體" w:hAnsi="標楷體"/>
          <w:szCs w:val="24"/>
        </w:rPr>
        <w:t>鼓勵適齡國人結婚，提升結婚率，漸次提高生育率。</w:t>
      </w:r>
    </w:p>
    <w:p w14:paraId="0B2DB957" w14:textId="587C47B0" w:rsidR="00340074" w:rsidRPr="009D11AD" w:rsidRDefault="00340074" w:rsidP="00E9304D">
      <w:pPr>
        <w:overflowPunct w:val="0"/>
        <w:snapToGrid w:val="0"/>
        <w:spacing w:line="460" w:lineRule="exact"/>
        <w:ind w:firstLineChars="450" w:firstLine="1081"/>
        <w:jc w:val="both"/>
        <w:rPr>
          <w:rFonts w:ascii="標楷體" w:eastAsia="標楷體" w:hAnsi="標楷體"/>
          <w:szCs w:val="24"/>
        </w:rPr>
      </w:pPr>
      <w:r w:rsidRPr="009D11AD">
        <w:rPr>
          <w:rFonts w:ascii="標楷體" w:eastAsia="標楷體" w:hAnsi="標楷體" w:hint="eastAsia"/>
          <w:b/>
          <w:bCs/>
          <w:szCs w:val="24"/>
        </w:rPr>
        <w:t>2</w:t>
      </w:r>
      <w:r w:rsidRPr="009D11AD">
        <w:rPr>
          <w:rFonts w:ascii="標楷體" w:eastAsia="標楷體" w:hAnsi="標楷體"/>
          <w:b/>
          <w:bCs/>
          <w:szCs w:val="24"/>
        </w:rPr>
        <w:t>.</w:t>
      </w:r>
      <w:r w:rsidRPr="009D11AD">
        <w:rPr>
          <w:rFonts w:ascii="標楷體" w:eastAsia="標楷體" w:hAnsi="標楷體" w:hint="eastAsia"/>
          <w:b/>
          <w:bCs/>
          <w:szCs w:val="24"/>
        </w:rPr>
        <w:t xml:space="preserve">　</w:t>
      </w:r>
      <w:r w:rsidRPr="009D11AD">
        <w:rPr>
          <w:rFonts w:ascii="標楷體" w:eastAsia="標楷體" w:hAnsi="標楷體" w:hint="eastAsia"/>
          <w:b/>
          <w:spacing w:val="-2"/>
          <w:szCs w:val="24"/>
        </w:rPr>
        <w:t>國人不婚、晚婚問題尚無明確主責機關，高房價加重家庭經濟負擔未納入對策計畫管考，相關部會亦未能於執行成果報告主動提報尚待解決問題及</w:t>
      </w:r>
      <w:r w:rsidRPr="009D11AD">
        <w:rPr>
          <w:rFonts w:ascii="標楷體" w:eastAsia="標楷體" w:hAnsi="標楷體"/>
          <w:b/>
          <w:spacing w:val="-2"/>
          <w:szCs w:val="24"/>
        </w:rPr>
        <w:t>改善</w:t>
      </w:r>
      <w:r w:rsidRPr="009D11AD">
        <w:rPr>
          <w:rFonts w:ascii="標楷體" w:eastAsia="標楷體" w:hAnsi="標楷體" w:hint="eastAsia"/>
          <w:b/>
          <w:spacing w:val="-2"/>
          <w:szCs w:val="24"/>
        </w:rPr>
        <w:t>規劃與</w:t>
      </w:r>
      <w:r w:rsidRPr="009D11AD">
        <w:rPr>
          <w:rFonts w:ascii="標楷體" w:eastAsia="標楷體" w:hAnsi="標楷體"/>
          <w:b/>
          <w:spacing w:val="-2"/>
          <w:szCs w:val="24"/>
        </w:rPr>
        <w:t>進程</w:t>
      </w:r>
      <w:r w:rsidRPr="009D11AD">
        <w:rPr>
          <w:rFonts w:ascii="標楷體" w:eastAsia="標楷體" w:hAnsi="標楷體" w:hint="eastAsia"/>
          <w:b/>
          <w:spacing w:val="-2"/>
          <w:szCs w:val="24"/>
        </w:rPr>
        <w:t>，允宜研議設立少子女化對策督導會報之可行性，專責統籌解決少子女化議題相關事務：</w:t>
      </w:r>
      <w:r w:rsidRPr="009D11AD">
        <w:rPr>
          <w:rFonts w:ascii="標楷體" w:eastAsia="標楷體" w:hAnsi="標楷體" w:hint="eastAsia"/>
          <w:spacing w:val="-2"/>
          <w:szCs w:val="24"/>
        </w:rPr>
        <w:t>少子女化</w:t>
      </w:r>
      <w:r w:rsidRPr="009D11AD">
        <w:rPr>
          <w:rFonts w:ascii="標楷體" w:eastAsia="標楷體" w:hAnsi="標楷體" w:hint="eastAsia"/>
          <w:szCs w:val="24"/>
        </w:rPr>
        <w:t>對策計畫推動4年以來，由衛生福利部及教育部輪流擔任計畫窗口，首重改善幼兒托育與照顧服務，未滿2歲幼兒送托率已由106年底之10.56％，提升至111年底之19.88％，2至5歲幼兒入園率亦由</w:t>
      </w:r>
      <w:r w:rsidRPr="009D11AD">
        <w:rPr>
          <w:rFonts w:ascii="標楷體" w:eastAsia="標楷體" w:hAnsi="標楷體" w:hint="eastAsia"/>
          <w:szCs w:val="24"/>
        </w:rPr>
        <w:lastRenderedPageBreak/>
        <w:t>61.70％，提升至77.28％，績效顯著，惟對策計畫載述造成國人低生育率之4項原因，部分仍未改善或存有癥結問題。有關「晚婚及不婚影響生育人數」、「育齡婦女生育年齡延後，影響生育胎次」等2項，111年底</w:t>
      </w:r>
      <w:r w:rsidRPr="009D11AD">
        <w:rPr>
          <w:rFonts w:ascii="標楷體" w:eastAsia="標楷體" w:hAnsi="標楷體"/>
          <w:szCs w:val="24"/>
        </w:rPr>
        <w:t>20</w:t>
      </w:r>
      <w:r w:rsidRPr="009D11AD">
        <w:rPr>
          <w:rFonts w:ascii="標楷體" w:eastAsia="標楷體" w:hAnsi="標楷體" w:hint="eastAsia"/>
          <w:szCs w:val="24"/>
        </w:rPr>
        <w:t>至</w:t>
      </w:r>
      <w:r w:rsidRPr="009D11AD">
        <w:rPr>
          <w:rFonts w:ascii="標楷體" w:eastAsia="標楷體" w:hAnsi="標楷體"/>
          <w:szCs w:val="24"/>
        </w:rPr>
        <w:t>44歲</w:t>
      </w:r>
      <w:r w:rsidRPr="009D11AD">
        <w:rPr>
          <w:rFonts w:ascii="標楷體" w:eastAsia="標楷體" w:hAnsi="標楷體" w:hint="eastAsia"/>
          <w:szCs w:val="24"/>
        </w:rPr>
        <w:t>國人未婚比率較106年底攀升，不婚、晚婚問題未見改善，且無明確主責機關。在「育兒成本高，家庭經濟負擔沉重」方面，根據</w:t>
      </w:r>
      <w:r w:rsidR="003419F0" w:rsidRPr="00CE57F9">
        <w:rPr>
          <w:rFonts w:ascii="標楷體" w:eastAsia="標楷體" w:hAnsi="標楷體"/>
          <w:szCs w:val="24"/>
        </w:rPr>
        <w:t>112年3月30日出版第1371期</w:t>
      </w:r>
      <w:r w:rsidRPr="00CE57F9">
        <w:rPr>
          <w:rFonts w:ascii="標楷體" w:eastAsia="標楷體" w:hAnsi="標楷體" w:hint="eastAsia"/>
          <w:szCs w:val="24"/>
        </w:rPr>
        <w:t>《今周刊》「2023年</w:t>
      </w:r>
      <w:r w:rsidRPr="009D11AD">
        <w:rPr>
          <w:rFonts w:ascii="標楷體" w:eastAsia="標楷體" w:hAnsi="標楷體" w:hint="eastAsia"/>
          <w:szCs w:val="24"/>
        </w:rPr>
        <w:t>台灣婚育意願大調查」結果，高達76.9％受訪者因「擔心經濟無法負荷」而不想生孩子，逾4成受訪者曾因計畫買房而考慮晚婚或不婚，乃至晚生或不生；</w:t>
      </w:r>
      <w:r w:rsidRPr="009D11AD">
        <w:rPr>
          <w:rFonts w:ascii="標楷體" w:eastAsia="標楷體" w:hAnsi="標楷體"/>
          <w:szCs w:val="24"/>
        </w:rPr>
        <w:t>111年第4季全國房貸負擔率</w:t>
      </w:r>
      <w:r w:rsidRPr="009D11AD">
        <w:rPr>
          <w:rFonts w:ascii="標楷體" w:eastAsia="標楷體" w:hAnsi="標楷體" w:hint="eastAsia"/>
          <w:szCs w:val="24"/>
        </w:rPr>
        <w:t>為</w:t>
      </w:r>
      <w:r w:rsidRPr="009D11AD">
        <w:rPr>
          <w:rFonts w:ascii="標楷體" w:eastAsia="標楷體" w:hAnsi="標楷體"/>
          <w:szCs w:val="24"/>
        </w:rPr>
        <w:t>40.25</w:t>
      </w:r>
      <w:r w:rsidRPr="009D11AD">
        <w:rPr>
          <w:rFonts w:ascii="標楷體" w:eastAsia="標楷體" w:hAnsi="標楷體" w:hint="eastAsia"/>
          <w:szCs w:val="24"/>
        </w:rPr>
        <w:t>％</w:t>
      </w:r>
      <w:r w:rsidRPr="009D11AD">
        <w:rPr>
          <w:rFonts w:ascii="標楷體" w:eastAsia="標楷體" w:hAnsi="標楷體"/>
          <w:szCs w:val="24"/>
        </w:rPr>
        <w:t>，</w:t>
      </w:r>
      <w:r w:rsidRPr="009D11AD">
        <w:rPr>
          <w:rFonts w:ascii="標楷體" w:eastAsia="標楷體" w:hAnsi="標楷體" w:hint="eastAsia"/>
          <w:szCs w:val="24"/>
        </w:rPr>
        <w:t>相較於</w:t>
      </w:r>
      <w:r w:rsidRPr="009D11AD">
        <w:rPr>
          <w:rFonts w:ascii="標楷體" w:eastAsia="標楷體" w:hAnsi="標楷體"/>
          <w:szCs w:val="24"/>
        </w:rPr>
        <w:t>106年</w:t>
      </w:r>
      <w:r w:rsidRPr="009D11AD">
        <w:rPr>
          <w:rFonts w:ascii="標楷體" w:eastAsia="標楷體" w:hAnsi="標楷體" w:hint="eastAsia"/>
          <w:szCs w:val="24"/>
        </w:rPr>
        <w:t>第</w:t>
      </w:r>
      <w:r w:rsidRPr="009D11AD">
        <w:rPr>
          <w:rFonts w:ascii="標楷體" w:eastAsia="標楷體" w:hAnsi="標楷體"/>
          <w:szCs w:val="24"/>
        </w:rPr>
        <w:t>4季</w:t>
      </w:r>
      <w:r w:rsidRPr="009D11AD">
        <w:rPr>
          <w:rFonts w:ascii="標楷體" w:eastAsia="標楷體" w:hAnsi="標楷體" w:hint="eastAsia"/>
          <w:szCs w:val="24"/>
        </w:rPr>
        <w:t>之</w:t>
      </w:r>
      <w:r w:rsidRPr="009D11AD">
        <w:rPr>
          <w:rFonts w:ascii="標楷體" w:eastAsia="標楷體" w:hAnsi="標楷體"/>
          <w:szCs w:val="24"/>
        </w:rPr>
        <w:t>37.58</w:t>
      </w:r>
      <w:r w:rsidRPr="009D11AD">
        <w:rPr>
          <w:rFonts w:ascii="標楷體" w:eastAsia="標楷體" w:hAnsi="標楷體" w:hint="eastAsia"/>
          <w:szCs w:val="24"/>
        </w:rPr>
        <w:t>％及</w:t>
      </w:r>
      <w:r w:rsidRPr="009D11AD">
        <w:rPr>
          <w:rFonts w:ascii="標楷體" w:eastAsia="標楷體" w:hAnsi="標楷體"/>
          <w:szCs w:val="24"/>
        </w:rPr>
        <w:t>可合理負擔</w:t>
      </w:r>
      <w:r w:rsidRPr="009D11AD">
        <w:rPr>
          <w:rFonts w:ascii="標楷體" w:eastAsia="標楷體" w:hAnsi="標楷體" w:hint="eastAsia"/>
          <w:szCs w:val="24"/>
        </w:rPr>
        <w:t>水準（未及</w:t>
      </w:r>
      <w:r w:rsidR="00495B90" w:rsidRPr="009D11AD">
        <w:rPr>
          <w:rFonts w:ascii="標楷體" w:eastAsia="標楷體" w:hAnsi="標楷體"/>
          <w:noProof/>
          <w:szCs w:val="24"/>
        </w:rPr>
        <mc:AlternateContent>
          <mc:Choice Requires="wps">
            <w:drawing>
              <wp:anchor distT="0" distB="0" distL="114300" distR="114300" simplePos="0" relativeHeight="251641344" behindDoc="0" locked="0" layoutInCell="1" allowOverlap="1" wp14:anchorId="33623820" wp14:editId="3317976C">
                <wp:simplePos x="0" y="0"/>
                <wp:positionH relativeFrom="column">
                  <wp:posOffset>2900680</wp:posOffset>
                </wp:positionH>
                <wp:positionV relativeFrom="paragraph">
                  <wp:posOffset>1887855</wp:posOffset>
                </wp:positionV>
                <wp:extent cx="3384550" cy="3069590"/>
                <wp:effectExtent l="0" t="0" r="6350" b="0"/>
                <wp:wrapSquare wrapText="bothSides"/>
                <wp:docPr id="16" name="文字方塊 16"/>
                <wp:cNvGraphicFramePr/>
                <a:graphic xmlns:a="http://schemas.openxmlformats.org/drawingml/2006/main">
                  <a:graphicData uri="http://schemas.microsoft.com/office/word/2010/wordprocessingShape">
                    <wps:wsp>
                      <wps:cNvSpPr txBox="1"/>
                      <wps:spPr>
                        <a:xfrm>
                          <a:off x="0" y="0"/>
                          <a:ext cx="3384550" cy="3069590"/>
                        </a:xfrm>
                        <a:prstGeom prst="rect">
                          <a:avLst/>
                        </a:prstGeom>
                        <a:solidFill>
                          <a:srgbClr val="FFFFFF"/>
                        </a:solidFill>
                        <a:ln w="6350">
                          <a:noFill/>
                        </a:ln>
                      </wps:spPr>
                      <wps:txbx>
                        <w:txbxContent>
                          <w:p w14:paraId="15DF6679" w14:textId="77777777" w:rsidR="00CE57F9" w:rsidRPr="002924C4" w:rsidRDefault="00CE57F9" w:rsidP="00BD516C">
                            <w:pPr>
                              <w:spacing w:line="320" w:lineRule="exact"/>
                              <w:ind w:leftChars="-45" w:left="529" w:hangingChars="265" w:hanging="637"/>
                              <w:rPr>
                                <w:rFonts w:ascii="標楷體" w:eastAsia="標楷體" w:hAnsi="標楷體"/>
                                <w:b/>
                              </w:rPr>
                            </w:pPr>
                            <w:r w:rsidRPr="002924C4">
                              <w:rPr>
                                <w:rFonts w:ascii="標楷體" w:eastAsia="標楷體" w:hAnsi="標楷體" w:hint="eastAsia"/>
                                <w:b/>
                              </w:rPr>
                              <w:t>表</w:t>
                            </w:r>
                            <w:r w:rsidRPr="002924C4">
                              <w:rPr>
                                <w:rFonts w:ascii="標楷體" w:eastAsia="標楷體" w:hAnsi="標楷體"/>
                                <w:b/>
                              </w:rPr>
                              <w:t>2</w:t>
                            </w:r>
                            <w:r w:rsidRPr="002924C4">
                              <w:rPr>
                                <w:rFonts w:ascii="標楷體" w:eastAsia="標楷體" w:hAnsi="標楷體" w:hint="eastAsia"/>
                                <w:b/>
                              </w:rPr>
                              <w:t xml:space="preserve">　106及</w:t>
                            </w:r>
                            <w:r w:rsidRPr="002924C4">
                              <w:rPr>
                                <w:rFonts w:ascii="標楷體" w:eastAsia="標楷體" w:hAnsi="標楷體"/>
                                <w:b/>
                              </w:rPr>
                              <w:t>111</w:t>
                            </w:r>
                            <w:r w:rsidRPr="002924C4">
                              <w:rPr>
                                <w:rFonts w:ascii="標楷體" w:eastAsia="標楷體" w:hAnsi="標楷體" w:hint="eastAsia"/>
                                <w:b/>
                              </w:rPr>
                              <w:t>年第4季房貸負擔率與</w:t>
                            </w:r>
                            <w:r w:rsidRPr="002924C4">
                              <w:rPr>
                                <w:rFonts w:ascii="標楷體" w:eastAsia="標楷體" w:hAnsi="標楷體"/>
                                <w:b/>
                              </w:rPr>
                              <w:t>房</w:t>
                            </w:r>
                            <w:r w:rsidRPr="002924C4">
                              <w:rPr>
                                <w:rFonts w:ascii="標楷體" w:eastAsia="標楷體" w:hAnsi="標楷體" w:hint="eastAsia"/>
                                <w:b/>
                              </w:rPr>
                              <w:t>價</w:t>
                            </w:r>
                            <w:r w:rsidRPr="002924C4">
                              <w:rPr>
                                <w:rFonts w:ascii="標楷體" w:eastAsia="標楷體" w:hAnsi="標楷體"/>
                                <w:b/>
                              </w:rPr>
                              <w:t>負擔能力</w:t>
                            </w:r>
                          </w:p>
                          <w:p w14:paraId="366AF7E4" w14:textId="77777777" w:rsidR="00CE57F9" w:rsidRPr="000035EC" w:rsidRDefault="00CE57F9" w:rsidP="00BD516C">
                            <w:pPr>
                              <w:spacing w:line="360" w:lineRule="exact"/>
                              <w:jc w:val="right"/>
                              <w:rPr>
                                <w:rFonts w:ascii="標楷體" w:eastAsia="標楷體" w:hAnsi="標楷體"/>
                                <w:bCs/>
                                <w:sz w:val="20"/>
                              </w:rPr>
                            </w:pPr>
                            <w:r w:rsidRPr="000035EC">
                              <w:rPr>
                                <w:rFonts w:ascii="標楷體" w:eastAsia="標楷體" w:hAnsi="標楷體" w:hint="eastAsia"/>
                                <w:bCs/>
                                <w:sz w:val="20"/>
                              </w:rPr>
                              <w:t>單位：％</w:t>
                            </w:r>
                          </w:p>
                          <w:tbl>
                            <w:tblPr>
                              <w:tblStyle w:val="29"/>
                              <w:tblW w:w="5162" w:type="dxa"/>
                              <w:tblLayout w:type="fixed"/>
                              <w:tblLook w:val="04A0" w:firstRow="1" w:lastRow="0" w:firstColumn="1" w:lastColumn="0" w:noHBand="0" w:noVBand="1"/>
                            </w:tblPr>
                            <w:tblGrid>
                              <w:gridCol w:w="1384"/>
                              <w:gridCol w:w="944"/>
                              <w:gridCol w:w="945"/>
                              <w:gridCol w:w="944"/>
                              <w:gridCol w:w="945"/>
                            </w:tblGrid>
                            <w:tr w:rsidR="00CE57F9" w:rsidRPr="000035EC" w14:paraId="2DFF5122" w14:textId="77777777" w:rsidTr="00DA2751">
                              <w:tc>
                                <w:tcPr>
                                  <w:tcW w:w="1384" w:type="dxa"/>
                                  <w:vMerge w:val="restart"/>
                                  <w:tcBorders>
                                    <w:tl2br w:val="single" w:sz="4" w:space="0" w:color="auto"/>
                                  </w:tcBorders>
                                  <w:shd w:val="clear" w:color="auto" w:fill="auto"/>
                                </w:tcPr>
                                <w:p w14:paraId="749B7B34" w14:textId="151080C0" w:rsidR="00CE57F9" w:rsidRPr="00CE57F9" w:rsidRDefault="00CE57F9" w:rsidP="00DA2751">
                                  <w:pPr>
                                    <w:spacing w:beforeLines="20" w:before="72" w:line="280" w:lineRule="exact"/>
                                    <w:jc w:val="right"/>
                                    <w:rPr>
                                      <w:rFonts w:ascii="標楷體" w:eastAsia="標楷體" w:hAnsi="標楷體"/>
                                      <w:sz w:val="20"/>
                                    </w:rPr>
                                  </w:pPr>
                                  <w:r w:rsidRPr="00CE57F9">
                                    <w:rPr>
                                      <w:rFonts w:ascii="標楷體" w:eastAsia="標楷體" w:hAnsi="標楷體" w:hint="eastAsia"/>
                                      <w:sz w:val="20"/>
                                    </w:rPr>
                                    <w:t>年季</w:t>
                                  </w:r>
                                </w:p>
                                <w:p w14:paraId="40B4A7B1" w14:textId="0E3078EB" w:rsidR="00CE57F9" w:rsidRPr="00CE57F9" w:rsidRDefault="00CE57F9" w:rsidP="00DA2751">
                                  <w:pPr>
                                    <w:spacing w:beforeLines="10" w:before="36" w:line="320" w:lineRule="exact"/>
                                    <w:rPr>
                                      <w:rFonts w:ascii="標楷體" w:eastAsia="標楷體" w:hAnsi="標楷體"/>
                                      <w:sz w:val="20"/>
                                    </w:rPr>
                                  </w:pPr>
                                  <w:r w:rsidRPr="00CE57F9">
                                    <w:rPr>
                                      <w:rFonts w:ascii="標楷體" w:eastAsia="標楷體" w:hAnsi="標楷體" w:hint="eastAsia"/>
                                      <w:sz w:val="20"/>
                                    </w:rPr>
                                    <w:t>區</w:t>
                                  </w:r>
                                  <w:r w:rsidRPr="00CE57F9">
                                    <w:rPr>
                                      <w:rFonts w:ascii="標楷體" w:eastAsia="標楷體" w:hAnsi="標楷體"/>
                                      <w:sz w:val="20"/>
                                    </w:rPr>
                                    <w:t>域別</w:t>
                                  </w:r>
                                </w:p>
                              </w:tc>
                              <w:tc>
                                <w:tcPr>
                                  <w:tcW w:w="1889" w:type="dxa"/>
                                  <w:gridSpan w:val="2"/>
                                  <w:shd w:val="clear" w:color="auto" w:fill="auto"/>
                                </w:tcPr>
                                <w:p w14:paraId="6D91FE2D" w14:textId="77777777" w:rsidR="00CE57F9" w:rsidRPr="00CE57F9" w:rsidRDefault="00CE57F9" w:rsidP="00DA2751">
                                  <w:pPr>
                                    <w:spacing w:line="280" w:lineRule="exact"/>
                                    <w:jc w:val="center"/>
                                    <w:rPr>
                                      <w:rFonts w:ascii="標楷體" w:eastAsia="標楷體" w:hAnsi="標楷體"/>
                                      <w:sz w:val="20"/>
                                    </w:rPr>
                                  </w:pPr>
                                  <w:r w:rsidRPr="00CE57F9">
                                    <w:rPr>
                                      <w:rFonts w:ascii="標楷體" w:eastAsia="標楷體" w:hAnsi="標楷體"/>
                                      <w:sz w:val="20"/>
                                    </w:rPr>
                                    <w:t>106</w:t>
                                  </w:r>
                                  <w:r w:rsidRPr="00CE57F9">
                                    <w:rPr>
                                      <w:rFonts w:ascii="標楷體" w:eastAsia="標楷體" w:hAnsi="標楷體" w:hint="eastAsia"/>
                                      <w:sz w:val="20"/>
                                    </w:rPr>
                                    <w:t>年</w:t>
                                  </w:r>
                                  <w:r w:rsidRPr="00CE57F9">
                                    <w:rPr>
                                      <w:rFonts w:ascii="標楷體" w:eastAsia="標楷體" w:hAnsi="標楷體"/>
                                      <w:sz w:val="20"/>
                                    </w:rPr>
                                    <w:t>第4季</w:t>
                                  </w:r>
                                </w:p>
                              </w:tc>
                              <w:tc>
                                <w:tcPr>
                                  <w:tcW w:w="1889" w:type="dxa"/>
                                  <w:gridSpan w:val="2"/>
                                  <w:shd w:val="clear" w:color="auto" w:fill="auto"/>
                                </w:tcPr>
                                <w:p w14:paraId="14D0EC20" w14:textId="77777777" w:rsidR="00CE57F9" w:rsidRPr="00CE57F9" w:rsidRDefault="00CE57F9" w:rsidP="00DA2751">
                                  <w:pPr>
                                    <w:spacing w:line="280" w:lineRule="exact"/>
                                    <w:jc w:val="center"/>
                                    <w:rPr>
                                      <w:rFonts w:ascii="標楷體" w:eastAsia="標楷體" w:hAnsi="標楷體"/>
                                      <w:sz w:val="20"/>
                                    </w:rPr>
                                  </w:pPr>
                                  <w:r w:rsidRPr="00CE57F9">
                                    <w:rPr>
                                      <w:rFonts w:ascii="標楷體" w:eastAsia="標楷體" w:hAnsi="標楷體"/>
                                      <w:sz w:val="20"/>
                                    </w:rPr>
                                    <w:t>111</w:t>
                                  </w:r>
                                  <w:r w:rsidRPr="00CE57F9">
                                    <w:rPr>
                                      <w:rFonts w:ascii="標楷體" w:eastAsia="標楷體" w:hAnsi="標楷體" w:hint="eastAsia"/>
                                      <w:sz w:val="20"/>
                                    </w:rPr>
                                    <w:t>年</w:t>
                                  </w:r>
                                  <w:r w:rsidRPr="00CE57F9">
                                    <w:rPr>
                                      <w:rFonts w:ascii="標楷體" w:eastAsia="標楷體" w:hAnsi="標楷體"/>
                                      <w:sz w:val="20"/>
                                    </w:rPr>
                                    <w:t>第4季</w:t>
                                  </w:r>
                                </w:p>
                              </w:tc>
                            </w:tr>
                            <w:tr w:rsidR="00CE57F9" w:rsidRPr="000035EC" w14:paraId="6736DA38" w14:textId="77777777" w:rsidTr="00DA2751">
                              <w:tc>
                                <w:tcPr>
                                  <w:tcW w:w="1384" w:type="dxa"/>
                                  <w:vMerge/>
                                  <w:tcBorders>
                                    <w:top w:val="nil"/>
                                    <w:tl2br w:val="single" w:sz="4" w:space="0" w:color="auto"/>
                                  </w:tcBorders>
                                  <w:vAlign w:val="center"/>
                                </w:tcPr>
                                <w:p w14:paraId="676A1E3D" w14:textId="77777777" w:rsidR="00CE57F9" w:rsidRPr="00CE57F9" w:rsidRDefault="00CE57F9" w:rsidP="00DA2751">
                                  <w:pPr>
                                    <w:spacing w:line="280" w:lineRule="exact"/>
                                    <w:jc w:val="center"/>
                                    <w:rPr>
                                      <w:rFonts w:ascii="標楷體" w:eastAsia="標楷體" w:hAnsi="標楷體"/>
                                      <w:sz w:val="20"/>
                                    </w:rPr>
                                  </w:pPr>
                                </w:p>
                              </w:tc>
                              <w:tc>
                                <w:tcPr>
                                  <w:tcW w:w="944" w:type="dxa"/>
                                  <w:vAlign w:val="center"/>
                                </w:tcPr>
                                <w:p w14:paraId="66753D8A" w14:textId="1E91BC4D" w:rsidR="00CE57F9" w:rsidRPr="00CE57F9" w:rsidRDefault="00CE57F9" w:rsidP="00DA2751">
                                  <w:pPr>
                                    <w:spacing w:line="240" w:lineRule="exact"/>
                                    <w:jc w:val="center"/>
                                    <w:rPr>
                                      <w:rFonts w:ascii="標楷體" w:eastAsia="標楷體" w:hAnsi="標楷體"/>
                                      <w:sz w:val="20"/>
                                    </w:rPr>
                                  </w:pPr>
                                  <w:r w:rsidRPr="00CE57F9">
                                    <w:rPr>
                                      <w:rFonts w:ascii="標楷體" w:eastAsia="標楷體" w:hAnsi="標楷體" w:hint="eastAsia"/>
                                      <w:sz w:val="20"/>
                                    </w:rPr>
                                    <w:t>房貸</w:t>
                                  </w:r>
                                  <w:r w:rsidRPr="00CE57F9">
                                    <w:rPr>
                                      <w:rFonts w:ascii="標楷體" w:eastAsia="標楷體" w:hAnsi="標楷體"/>
                                      <w:sz w:val="20"/>
                                    </w:rPr>
                                    <w:t>負擔率</w:t>
                                  </w:r>
                                </w:p>
                              </w:tc>
                              <w:tc>
                                <w:tcPr>
                                  <w:tcW w:w="945" w:type="dxa"/>
                                  <w:vAlign w:val="center"/>
                                </w:tcPr>
                                <w:p w14:paraId="6D16EF76" w14:textId="4EDB4873" w:rsidR="00CE57F9" w:rsidRPr="00CE57F9" w:rsidRDefault="00CE57F9" w:rsidP="00DA2751">
                                  <w:pPr>
                                    <w:spacing w:line="240" w:lineRule="exact"/>
                                    <w:jc w:val="center"/>
                                    <w:rPr>
                                      <w:rFonts w:ascii="標楷體" w:eastAsia="標楷體" w:hAnsi="標楷體"/>
                                      <w:sz w:val="20"/>
                                    </w:rPr>
                                  </w:pPr>
                                  <w:r w:rsidRPr="00CE57F9">
                                    <w:rPr>
                                      <w:rFonts w:ascii="標楷體" w:eastAsia="標楷體" w:hAnsi="標楷體" w:hint="eastAsia"/>
                                      <w:sz w:val="20"/>
                                    </w:rPr>
                                    <w:t>房價負擔能力</w:t>
                                  </w:r>
                                </w:p>
                              </w:tc>
                              <w:tc>
                                <w:tcPr>
                                  <w:tcW w:w="944" w:type="dxa"/>
                                  <w:vAlign w:val="center"/>
                                </w:tcPr>
                                <w:p w14:paraId="01DDBFEE" w14:textId="259D83E3" w:rsidR="00CE57F9" w:rsidRPr="00CE57F9" w:rsidRDefault="00CE57F9" w:rsidP="00DA2751">
                                  <w:pPr>
                                    <w:spacing w:line="240" w:lineRule="exact"/>
                                    <w:jc w:val="center"/>
                                    <w:rPr>
                                      <w:rFonts w:ascii="標楷體" w:eastAsia="標楷體" w:hAnsi="標楷體"/>
                                      <w:sz w:val="20"/>
                                    </w:rPr>
                                  </w:pPr>
                                  <w:r w:rsidRPr="00CE57F9">
                                    <w:rPr>
                                      <w:rFonts w:ascii="標楷體" w:eastAsia="標楷體" w:hAnsi="標楷體" w:hint="eastAsia"/>
                                      <w:sz w:val="20"/>
                                    </w:rPr>
                                    <w:t>房貸</w:t>
                                  </w:r>
                                  <w:r w:rsidRPr="00CE57F9">
                                    <w:rPr>
                                      <w:rFonts w:ascii="標楷體" w:eastAsia="標楷體" w:hAnsi="標楷體"/>
                                      <w:sz w:val="20"/>
                                    </w:rPr>
                                    <w:t>負擔率</w:t>
                                  </w:r>
                                </w:p>
                              </w:tc>
                              <w:tc>
                                <w:tcPr>
                                  <w:tcW w:w="945" w:type="dxa"/>
                                  <w:vAlign w:val="center"/>
                                </w:tcPr>
                                <w:p w14:paraId="23ED71E3" w14:textId="57B82FC4" w:rsidR="00CE57F9" w:rsidRPr="00CE57F9" w:rsidRDefault="00CE57F9" w:rsidP="00DA2751">
                                  <w:pPr>
                                    <w:spacing w:line="240" w:lineRule="exact"/>
                                    <w:jc w:val="center"/>
                                    <w:rPr>
                                      <w:rFonts w:ascii="標楷體" w:eastAsia="標楷體" w:hAnsi="標楷體"/>
                                      <w:sz w:val="20"/>
                                    </w:rPr>
                                  </w:pPr>
                                  <w:r w:rsidRPr="00CE57F9">
                                    <w:rPr>
                                      <w:rFonts w:ascii="標楷體" w:eastAsia="標楷體" w:hAnsi="標楷體" w:hint="eastAsia"/>
                                      <w:sz w:val="20"/>
                                    </w:rPr>
                                    <w:t>房價負擔能力</w:t>
                                  </w:r>
                                </w:p>
                              </w:tc>
                            </w:tr>
                            <w:tr w:rsidR="00CE57F9" w:rsidRPr="000035EC" w14:paraId="5B725B68" w14:textId="77777777" w:rsidTr="00DA2751">
                              <w:trPr>
                                <w:trHeight w:hRule="exact" w:val="284"/>
                              </w:trPr>
                              <w:tc>
                                <w:tcPr>
                                  <w:tcW w:w="1384" w:type="dxa"/>
                                  <w:vAlign w:val="center"/>
                                </w:tcPr>
                                <w:p w14:paraId="36D84019" w14:textId="7777777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全</w:t>
                                  </w:r>
                                  <w:r w:rsidRPr="000035EC">
                                    <w:rPr>
                                      <w:rFonts w:ascii="標楷體" w:eastAsia="標楷體" w:hAnsi="標楷體"/>
                                      <w:sz w:val="20"/>
                                    </w:rPr>
                                    <w:t>國</w:t>
                                  </w:r>
                                </w:p>
                              </w:tc>
                              <w:tc>
                                <w:tcPr>
                                  <w:tcW w:w="944" w:type="dxa"/>
                                  <w:vAlign w:val="center"/>
                                </w:tcPr>
                                <w:p w14:paraId="27F80221" w14:textId="4EAA450A"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37.58</w:t>
                                  </w:r>
                                </w:p>
                              </w:tc>
                              <w:tc>
                                <w:tcPr>
                                  <w:tcW w:w="945" w:type="dxa"/>
                                  <w:vAlign w:val="center"/>
                                </w:tcPr>
                                <w:p w14:paraId="211FC225" w14:textId="52CEA9EE"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略低</w:t>
                                  </w:r>
                                </w:p>
                              </w:tc>
                              <w:tc>
                                <w:tcPr>
                                  <w:tcW w:w="944" w:type="dxa"/>
                                  <w:vAlign w:val="center"/>
                                </w:tcPr>
                                <w:p w14:paraId="7A1CF74E" w14:textId="75277C8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4</w:t>
                                  </w:r>
                                  <w:r w:rsidRPr="000035EC">
                                    <w:rPr>
                                      <w:rFonts w:ascii="標楷體" w:eastAsia="標楷體" w:hAnsi="標楷體"/>
                                      <w:sz w:val="20"/>
                                    </w:rPr>
                                    <w:t>0</w:t>
                                  </w:r>
                                  <w:r w:rsidRPr="000035EC">
                                    <w:rPr>
                                      <w:rFonts w:ascii="標楷體" w:eastAsia="標楷體" w:hAnsi="標楷體" w:hint="eastAsia"/>
                                      <w:sz w:val="20"/>
                                    </w:rPr>
                                    <w:t>.</w:t>
                                  </w:r>
                                  <w:r w:rsidRPr="000035EC">
                                    <w:rPr>
                                      <w:rFonts w:ascii="標楷體" w:eastAsia="標楷體" w:hAnsi="標楷體"/>
                                      <w:sz w:val="20"/>
                                    </w:rPr>
                                    <w:t>25</w:t>
                                  </w:r>
                                </w:p>
                              </w:tc>
                              <w:tc>
                                <w:tcPr>
                                  <w:tcW w:w="945" w:type="dxa"/>
                                  <w:vAlign w:val="center"/>
                                </w:tcPr>
                                <w:p w14:paraId="5A67CEB8" w14:textId="5A30C979"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偏低</w:t>
                                  </w:r>
                                </w:p>
                              </w:tc>
                            </w:tr>
                            <w:tr w:rsidR="00CE57F9" w:rsidRPr="000035EC" w14:paraId="6226C856" w14:textId="77777777" w:rsidTr="00DA2751">
                              <w:trPr>
                                <w:trHeight w:hRule="exact" w:val="284"/>
                              </w:trPr>
                              <w:tc>
                                <w:tcPr>
                                  <w:tcW w:w="1384" w:type="dxa"/>
                                  <w:vAlign w:val="center"/>
                                </w:tcPr>
                                <w:p w14:paraId="4D299A91" w14:textId="7777777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臺北市</w:t>
                                  </w:r>
                                </w:p>
                              </w:tc>
                              <w:tc>
                                <w:tcPr>
                                  <w:tcW w:w="944" w:type="dxa"/>
                                  <w:vAlign w:val="center"/>
                                </w:tcPr>
                                <w:p w14:paraId="7DD6E965" w14:textId="06E1367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61.52</w:t>
                                  </w:r>
                                </w:p>
                              </w:tc>
                              <w:tc>
                                <w:tcPr>
                                  <w:tcW w:w="945" w:type="dxa"/>
                                  <w:vAlign w:val="center"/>
                                </w:tcPr>
                                <w:p w14:paraId="501B9B32" w14:textId="453F11A6"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過低</w:t>
                                  </w:r>
                                </w:p>
                              </w:tc>
                              <w:tc>
                                <w:tcPr>
                                  <w:tcW w:w="944" w:type="dxa"/>
                                  <w:vAlign w:val="center"/>
                                </w:tcPr>
                                <w:p w14:paraId="01E3493A" w14:textId="08F32A9B"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66.06</w:t>
                                  </w:r>
                                </w:p>
                              </w:tc>
                              <w:tc>
                                <w:tcPr>
                                  <w:tcW w:w="945" w:type="dxa"/>
                                  <w:vAlign w:val="center"/>
                                </w:tcPr>
                                <w:p w14:paraId="4E1DA3EE" w14:textId="747931DD"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過低</w:t>
                                  </w:r>
                                </w:p>
                              </w:tc>
                            </w:tr>
                            <w:tr w:rsidR="00CE57F9" w:rsidRPr="000035EC" w14:paraId="20C195C5" w14:textId="77777777" w:rsidTr="00DA2751">
                              <w:trPr>
                                <w:trHeight w:hRule="exact" w:val="284"/>
                              </w:trPr>
                              <w:tc>
                                <w:tcPr>
                                  <w:tcW w:w="1384" w:type="dxa"/>
                                  <w:vAlign w:val="center"/>
                                </w:tcPr>
                                <w:p w14:paraId="04E07425" w14:textId="7777777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新北市</w:t>
                                  </w:r>
                                </w:p>
                              </w:tc>
                              <w:tc>
                                <w:tcPr>
                                  <w:tcW w:w="944" w:type="dxa"/>
                                  <w:vAlign w:val="center"/>
                                </w:tcPr>
                                <w:p w14:paraId="5B122139" w14:textId="73B638B3"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52.19</w:t>
                                  </w:r>
                                </w:p>
                              </w:tc>
                              <w:tc>
                                <w:tcPr>
                                  <w:tcW w:w="945" w:type="dxa"/>
                                  <w:vAlign w:val="center"/>
                                </w:tcPr>
                                <w:p w14:paraId="31D46E4F" w14:textId="620D226B"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過低</w:t>
                                  </w:r>
                                </w:p>
                              </w:tc>
                              <w:tc>
                                <w:tcPr>
                                  <w:tcW w:w="944" w:type="dxa"/>
                                  <w:vAlign w:val="center"/>
                                </w:tcPr>
                                <w:p w14:paraId="3ACD89CB" w14:textId="30AA144E"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53.10</w:t>
                                  </w:r>
                                </w:p>
                              </w:tc>
                              <w:tc>
                                <w:tcPr>
                                  <w:tcW w:w="945" w:type="dxa"/>
                                  <w:vAlign w:val="center"/>
                                </w:tcPr>
                                <w:p w14:paraId="3D988F63" w14:textId="1AF7C2B5"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過低</w:t>
                                  </w:r>
                                </w:p>
                              </w:tc>
                            </w:tr>
                            <w:tr w:rsidR="00CE57F9" w:rsidRPr="000035EC" w14:paraId="5658B8AC" w14:textId="77777777" w:rsidTr="00DA2751">
                              <w:trPr>
                                <w:trHeight w:hRule="exact" w:val="284"/>
                              </w:trPr>
                              <w:tc>
                                <w:tcPr>
                                  <w:tcW w:w="1384" w:type="dxa"/>
                                  <w:vAlign w:val="center"/>
                                </w:tcPr>
                                <w:p w14:paraId="3D9B6103" w14:textId="7777777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桃園市</w:t>
                                  </w:r>
                                </w:p>
                              </w:tc>
                              <w:tc>
                                <w:tcPr>
                                  <w:tcW w:w="944" w:type="dxa"/>
                                  <w:vAlign w:val="center"/>
                                </w:tcPr>
                                <w:p w14:paraId="0A127086" w14:textId="07D9AFC2"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33.42</w:t>
                                  </w:r>
                                </w:p>
                              </w:tc>
                              <w:tc>
                                <w:tcPr>
                                  <w:tcW w:w="945" w:type="dxa"/>
                                  <w:vAlign w:val="center"/>
                                </w:tcPr>
                                <w:p w14:paraId="0CE57DA5" w14:textId="1C4FDDC4"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略低</w:t>
                                  </w:r>
                                </w:p>
                              </w:tc>
                              <w:tc>
                                <w:tcPr>
                                  <w:tcW w:w="944" w:type="dxa"/>
                                  <w:vAlign w:val="center"/>
                                </w:tcPr>
                                <w:p w14:paraId="6DF50CC6" w14:textId="45385A8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32.81</w:t>
                                  </w:r>
                                </w:p>
                              </w:tc>
                              <w:tc>
                                <w:tcPr>
                                  <w:tcW w:w="945" w:type="dxa"/>
                                  <w:vAlign w:val="center"/>
                                </w:tcPr>
                                <w:p w14:paraId="5B11D657" w14:textId="4F911D72"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略低</w:t>
                                  </w:r>
                                </w:p>
                              </w:tc>
                            </w:tr>
                            <w:tr w:rsidR="00CE57F9" w:rsidRPr="000035EC" w14:paraId="65A9C728" w14:textId="77777777" w:rsidTr="00DA2751">
                              <w:trPr>
                                <w:trHeight w:hRule="exact" w:val="284"/>
                              </w:trPr>
                              <w:tc>
                                <w:tcPr>
                                  <w:tcW w:w="1384" w:type="dxa"/>
                                  <w:vAlign w:val="center"/>
                                </w:tcPr>
                                <w:p w14:paraId="24B17BFF" w14:textId="7777777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臺中市</w:t>
                                  </w:r>
                                </w:p>
                              </w:tc>
                              <w:tc>
                                <w:tcPr>
                                  <w:tcW w:w="944" w:type="dxa"/>
                                  <w:vAlign w:val="center"/>
                                </w:tcPr>
                                <w:p w14:paraId="258D2826" w14:textId="1DF5B799"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39.45</w:t>
                                  </w:r>
                                </w:p>
                              </w:tc>
                              <w:tc>
                                <w:tcPr>
                                  <w:tcW w:w="945" w:type="dxa"/>
                                  <w:vAlign w:val="center"/>
                                </w:tcPr>
                                <w:p w14:paraId="47EEB37D" w14:textId="42D4D590"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略低</w:t>
                                  </w:r>
                                </w:p>
                              </w:tc>
                              <w:tc>
                                <w:tcPr>
                                  <w:tcW w:w="944" w:type="dxa"/>
                                  <w:vAlign w:val="center"/>
                                </w:tcPr>
                                <w:p w14:paraId="4931B077" w14:textId="7691382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46.53</w:t>
                                  </w:r>
                                </w:p>
                              </w:tc>
                              <w:tc>
                                <w:tcPr>
                                  <w:tcW w:w="945" w:type="dxa"/>
                                  <w:vAlign w:val="center"/>
                                </w:tcPr>
                                <w:p w14:paraId="2B6891B0" w14:textId="682D3DFF"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偏低</w:t>
                                  </w:r>
                                </w:p>
                              </w:tc>
                            </w:tr>
                            <w:tr w:rsidR="00CE57F9" w:rsidRPr="000035EC" w14:paraId="7320C272" w14:textId="77777777" w:rsidTr="00DA2751">
                              <w:trPr>
                                <w:trHeight w:hRule="exact" w:val="284"/>
                              </w:trPr>
                              <w:tc>
                                <w:tcPr>
                                  <w:tcW w:w="1384" w:type="dxa"/>
                                  <w:vAlign w:val="center"/>
                                </w:tcPr>
                                <w:p w14:paraId="3D4A288A" w14:textId="7777777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臺南市</w:t>
                                  </w:r>
                                </w:p>
                              </w:tc>
                              <w:tc>
                                <w:tcPr>
                                  <w:tcW w:w="944" w:type="dxa"/>
                                  <w:vAlign w:val="center"/>
                                </w:tcPr>
                                <w:p w14:paraId="1E172E8F" w14:textId="3C242CA0"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31.06</w:t>
                                  </w:r>
                                </w:p>
                              </w:tc>
                              <w:tc>
                                <w:tcPr>
                                  <w:tcW w:w="945" w:type="dxa"/>
                                  <w:vAlign w:val="center"/>
                                </w:tcPr>
                                <w:p w14:paraId="61021C42" w14:textId="3A416EC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略低</w:t>
                                  </w:r>
                                </w:p>
                              </w:tc>
                              <w:tc>
                                <w:tcPr>
                                  <w:tcW w:w="944" w:type="dxa"/>
                                  <w:vAlign w:val="center"/>
                                </w:tcPr>
                                <w:p w14:paraId="53B9CCC0" w14:textId="52D0C4B9"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39.22</w:t>
                                  </w:r>
                                </w:p>
                              </w:tc>
                              <w:tc>
                                <w:tcPr>
                                  <w:tcW w:w="945" w:type="dxa"/>
                                  <w:vAlign w:val="center"/>
                                </w:tcPr>
                                <w:p w14:paraId="2902FFEC" w14:textId="13F40E54"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略低</w:t>
                                  </w:r>
                                </w:p>
                              </w:tc>
                            </w:tr>
                            <w:tr w:rsidR="00CE57F9" w:rsidRPr="000035EC" w14:paraId="63A900E4" w14:textId="77777777" w:rsidTr="00DA2751">
                              <w:trPr>
                                <w:trHeight w:hRule="exact" w:val="284"/>
                              </w:trPr>
                              <w:tc>
                                <w:tcPr>
                                  <w:tcW w:w="1384" w:type="dxa"/>
                                  <w:vAlign w:val="center"/>
                                </w:tcPr>
                                <w:p w14:paraId="4AD074B7" w14:textId="7777777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高雄市</w:t>
                                  </w:r>
                                </w:p>
                              </w:tc>
                              <w:tc>
                                <w:tcPr>
                                  <w:tcW w:w="944" w:type="dxa"/>
                                  <w:vAlign w:val="center"/>
                                </w:tcPr>
                                <w:p w14:paraId="175125FC" w14:textId="2E17DBCD"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33.74</w:t>
                                  </w:r>
                                </w:p>
                              </w:tc>
                              <w:tc>
                                <w:tcPr>
                                  <w:tcW w:w="945" w:type="dxa"/>
                                  <w:vAlign w:val="center"/>
                                </w:tcPr>
                                <w:p w14:paraId="3A1A8080" w14:textId="1AF96C02"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略低</w:t>
                                  </w:r>
                                </w:p>
                              </w:tc>
                              <w:tc>
                                <w:tcPr>
                                  <w:tcW w:w="944" w:type="dxa"/>
                                  <w:vAlign w:val="center"/>
                                </w:tcPr>
                                <w:p w14:paraId="30CA461B" w14:textId="64582535"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38.76</w:t>
                                  </w:r>
                                </w:p>
                              </w:tc>
                              <w:tc>
                                <w:tcPr>
                                  <w:tcW w:w="945" w:type="dxa"/>
                                  <w:vAlign w:val="center"/>
                                </w:tcPr>
                                <w:p w14:paraId="25C0772F" w14:textId="11D3BD25"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略低</w:t>
                                  </w:r>
                                </w:p>
                              </w:tc>
                            </w:tr>
                          </w:tbl>
                          <w:p w14:paraId="65941B38" w14:textId="77777777" w:rsidR="00CE57F9" w:rsidRPr="00085BF0" w:rsidRDefault="00CE57F9" w:rsidP="00DA2751">
                            <w:pPr>
                              <w:spacing w:line="220" w:lineRule="exact"/>
                              <w:ind w:leftChars="-49" w:left="427" w:hangingChars="303" w:hanging="545"/>
                              <w:jc w:val="both"/>
                              <w:rPr>
                                <w:rFonts w:ascii="標楷體" w:eastAsia="標楷體" w:hAnsi="標楷體"/>
                                <w:sz w:val="18"/>
                              </w:rPr>
                            </w:pPr>
                            <w:r w:rsidRPr="000035EC">
                              <w:rPr>
                                <w:rFonts w:ascii="標楷體" w:eastAsia="標楷體" w:hAnsi="標楷體" w:hint="eastAsia"/>
                                <w:sz w:val="18"/>
                              </w:rPr>
                              <w:t>註：1.</w:t>
                            </w:r>
                            <w:r w:rsidRPr="000035EC">
                              <w:rPr>
                                <w:rFonts w:ascii="標楷體" w:eastAsia="標楷體" w:hAnsi="標楷體"/>
                                <w:sz w:val="18"/>
                              </w:rPr>
                              <w:t>房</w:t>
                            </w:r>
                            <w:r w:rsidRPr="00085BF0">
                              <w:rPr>
                                <w:rFonts w:ascii="標楷體" w:eastAsia="標楷體" w:hAnsi="標楷體"/>
                                <w:sz w:val="18"/>
                              </w:rPr>
                              <w:t>貸負擔率50</w:t>
                            </w:r>
                            <w:r w:rsidRPr="00085BF0">
                              <w:rPr>
                                <w:rFonts w:ascii="標楷體" w:eastAsia="標楷體" w:hAnsi="標楷體" w:hint="eastAsia"/>
                                <w:sz w:val="18"/>
                              </w:rPr>
                              <w:t>％</w:t>
                            </w:r>
                            <w:r w:rsidRPr="00085BF0">
                              <w:rPr>
                                <w:rFonts w:ascii="標楷體" w:eastAsia="標楷體" w:hAnsi="標楷體"/>
                                <w:sz w:val="18"/>
                              </w:rPr>
                              <w:t>以上表示房價負擔能力過低</w:t>
                            </w:r>
                            <w:r w:rsidRPr="00085BF0">
                              <w:rPr>
                                <w:rFonts w:ascii="標楷體" w:eastAsia="標楷體" w:hAnsi="標楷體" w:hint="eastAsia"/>
                                <w:sz w:val="18"/>
                              </w:rPr>
                              <w:t>；</w:t>
                            </w:r>
                            <w:r w:rsidRPr="00085BF0">
                              <w:rPr>
                                <w:rFonts w:ascii="標楷體" w:eastAsia="標楷體" w:hAnsi="標楷體"/>
                                <w:sz w:val="18"/>
                              </w:rPr>
                              <w:t>40</w:t>
                            </w:r>
                            <w:r w:rsidRPr="00085BF0">
                              <w:rPr>
                                <w:rFonts w:ascii="標楷體" w:eastAsia="標楷體" w:hAnsi="標楷體" w:hint="eastAsia"/>
                                <w:sz w:val="18"/>
                              </w:rPr>
                              <w:t>％以</w:t>
                            </w:r>
                            <w:r w:rsidRPr="00085BF0">
                              <w:rPr>
                                <w:rFonts w:ascii="標楷體" w:eastAsia="標楷體" w:hAnsi="標楷體"/>
                                <w:sz w:val="18"/>
                              </w:rPr>
                              <w:t>上</w:t>
                            </w:r>
                            <w:r w:rsidRPr="00085BF0">
                              <w:rPr>
                                <w:rFonts w:ascii="標楷體" w:eastAsia="標楷體" w:hAnsi="標楷體" w:hint="eastAsia"/>
                                <w:sz w:val="18"/>
                              </w:rPr>
                              <w:t>，</w:t>
                            </w:r>
                            <w:r w:rsidRPr="00085BF0">
                              <w:rPr>
                                <w:rFonts w:ascii="標楷體" w:eastAsia="標楷體" w:hAnsi="標楷體"/>
                                <w:sz w:val="18"/>
                              </w:rPr>
                              <w:t>未及50</w:t>
                            </w:r>
                            <w:r w:rsidRPr="00085BF0">
                              <w:rPr>
                                <w:rFonts w:ascii="標楷體" w:eastAsia="標楷體" w:hAnsi="標楷體" w:hint="eastAsia"/>
                                <w:sz w:val="18"/>
                              </w:rPr>
                              <w:t>％</w:t>
                            </w:r>
                            <w:r w:rsidRPr="00085BF0">
                              <w:rPr>
                                <w:rFonts w:ascii="標楷體" w:eastAsia="標楷體" w:hAnsi="標楷體"/>
                                <w:sz w:val="18"/>
                              </w:rPr>
                              <w:t>表示房價負擔能力偏低</w:t>
                            </w:r>
                            <w:r w:rsidRPr="00085BF0">
                              <w:rPr>
                                <w:rFonts w:ascii="標楷體" w:eastAsia="標楷體" w:hAnsi="標楷體" w:hint="eastAsia"/>
                                <w:sz w:val="18"/>
                              </w:rPr>
                              <w:t>；</w:t>
                            </w:r>
                            <w:r w:rsidRPr="00085BF0">
                              <w:rPr>
                                <w:rFonts w:ascii="標楷體" w:eastAsia="標楷體" w:hAnsi="標楷體"/>
                                <w:sz w:val="18"/>
                              </w:rPr>
                              <w:t>30</w:t>
                            </w:r>
                            <w:r w:rsidRPr="00085BF0">
                              <w:rPr>
                                <w:rFonts w:ascii="標楷體" w:eastAsia="標楷體" w:hAnsi="標楷體" w:hint="eastAsia"/>
                                <w:sz w:val="18"/>
                              </w:rPr>
                              <w:t>％以</w:t>
                            </w:r>
                            <w:r w:rsidRPr="00085BF0">
                              <w:rPr>
                                <w:rFonts w:ascii="標楷體" w:eastAsia="標楷體" w:hAnsi="標楷體"/>
                                <w:sz w:val="18"/>
                              </w:rPr>
                              <w:t>上</w:t>
                            </w:r>
                            <w:r w:rsidRPr="00085BF0">
                              <w:rPr>
                                <w:rFonts w:ascii="標楷體" w:eastAsia="標楷體" w:hAnsi="標楷體" w:hint="eastAsia"/>
                                <w:sz w:val="18"/>
                              </w:rPr>
                              <w:t>，</w:t>
                            </w:r>
                            <w:r w:rsidRPr="00085BF0">
                              <w:rPr>
                                <w:rFonts w:ascii="標楷體" w:eastAsia="標楷體" w:hAnsi="標楷體"/>
                                <w:sz w:val="18"/>
                              </w:rPr>
                              <w:t>未及40</w:t>
                            </w:r>
                            <w:r w:rsidRPr="00085BF0">
                              <w:rPr>
                                <w:rFonts w:ascii="標楷體" w:eastAsia="標楷體" w:hAnsi="標楷體" w:hint="eastAsia"/>
                                <w:sz w:val="18"/>
                              </w:rPr>
                              <w:t>％</w:t>
                            </w:r>
                            <w:r w:rsidRPr="00085BF0">
                              <w:rPr>
                                <w:rFonts w:ascii="標楷體" w:eastAsia="標楷體" w:hAnsi="標楷體"/>
                                <w:sz w:val="18"/>
                              </w:rPr>
                              <w:t>表示房價負擔能力略低</w:t>
                            </w:r>
                            <w:r w:rsidRPr="00085BF0">
                              <w:rPr>
                                <w:rFonts w:ascii="標楷體" w:eastAsia="標楷體" w:hAnsi="標楷體" w:hint="eastAsia"/>
                                <w:sz w:val="18"/>
                              </w:rPr>
                              <w:t>；未</w:t>
                            </w:r>
                            <w:r w:rsidRPr="00085BF0">
                              <w:rPr>
                                <w:rFonts w:ascii="標楷體" w:eastAsia="標楷體" w:hAnsi="標楷體"/>
                                <w:sz w:val="18"/>
                              </w:rPr>
                              <w:t>及30</w:t>
                            </w:r>
                            <w:r w:rsidRPr="00085BF0">
                              <w:rPr>
                                <w:rFonts w:ascii="標楷體" w:eastAsia="標楷體" w:hAnsi="標楷體" w:hint="eastAsia"/>
                                <w:sz w:val="18"/>
                              </w:rPr>
                              <w:t>％</w:t>
                            </w:r>
                            <w:r w:rsidRPr="00085BF0">
                              <w:rPr>
                                <w:rFonts w:ascii="標楷體" w:eastAsia="標楷體" w:hAnsi="標楷體"/>
                                <w:sz w:val="18"/>
                              </w:rPr>
                              <w:t>表示可合理負擔。</w:t>
                            </w:r>
                          </w:p>
                          <w:p w14:paraId="7DE51EDD" w14:textId="77777777" w:rsidR="00CE57F9" w:rsidRPr="00085BF0" w:rsidRDefault="00CE57F9" w:rsidP="00DA2751">
                            <w:pPr>
                              <w:spacing w:line="220" w:lineRule="exact"/>
                              <w:ind w:leftChars="105" w:left="252"/>
                              <w:jc w:val="both"/>
                              <w:rPr>
                                <w:rFonts w:ascii="標楷體" w:eastAsia="標楷體" w:hAnsi="標楷體"/>
                                <w:sz w:val="18"/>
                              </w:rPr>
                            </w:pPr>
                            <w:r w:rsidRPr="00085BF0">
                              <w:rPr>
                                <w:rFonts w:ascii="標楷體" w:eastAsia="標楷體" w:hAnsi="標楷體" w:hint="eastAsia"/>
                                <w:sz w:val="18"/>
                              </w:rPr>
                              <w:t>2.資料來源：整理自內政部不動產資訊平臺公布資料。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623820" id="文字方塊 16" o:spid="_x0000_s1028" type="#_x0000_t202" style="position:absolute;left:0;text-align:left;margin-left:228.4pt;margin-top:148.65pt;width:266.5pt;height:241.7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" stroked="f" strokeweight=".5pt">
                <v:textbox>
                  <w:txbxContent>
                    <w:p w14:paraId="15DF6679" w14:textId="77777777" w:rsidR="00CE57F9" w:rsidRPr="002924C4" w:rsidRDefault="00CE57F9" w:rsidP="00BD516C">
                      <w:pPr>
                        <w:spacing w:line="320" w:lineRule="exact"/>
                        <w:ind w:leftChars="-45" w:left="529" w:hangingChars="265" w:hanging="637"/>
                        <w:rPr>
                          <w:rFonts w:ascii="標楷體" w:eastAsia="標楷體" w:hAnsi="標楷體"/>
                          <w:b/>
                        </w:rPr>
                      </w:pPr>
                      <w:r w:rsidRPr="002924C4">
                        <w:rPr>
                          <w:rFonts w:ascii="標楷體" w:eastAsia="標楷體" w:hAnsi="標楷體" w:hint="eastAsia"/>
                          <w:b/>
                        </w:rPr>
                        <w:t>表</w:t>
                      </w:r>
                      <w:r w:rsidRPr="002924C4">
                        <w:rPr>
                          <w:rFonts w:ascii="標楷體" w:eastAsia="標楷體" w:hAnsi="標楷體"/>
                          <w:b/>
                        </w:rPr>
                        <w:t>2</w:t>
                      </w:r>
                      <w:r w:rsidRPr="002924C4">
                        <w:rPr>
                          <w:rFonts w:ascii="標楷體" w:eastAsia="標楷體" w:hAnsi="標楷體" w:hint="eastAsia"/>
                          <w:b/>
                        </w:rPr>
                        <w:t xml:space="preserve">　106及</w:t>
                      </w:r>
                      <w:r w:rsidRPr="002924C4">
                        <w:rPr>
                          <w:rFonts w:ascii="標楷體" w:eastAsia="標楷體" w:hAnsi="標楷體"/>
                          <w:b/>
                        </w:rPr>
                        <w:t>111</w:t>
                      </w:r>
                      <w:r w:rsidRPr="002924C4">
                        <w:rPr>
                          <w:rFonts w:ascii="標楷體" w:eastAsia="標楷體" w:hAnsi="標楷體" w:hint="eastAsia"/>
                          <w:b/>
                        </w:rPr>
                        <w:t>年第4季房貸負擔率與</w:t>
                      </w:r>
                      <w:r w:rsidRPr="002924C4">
                        <w:rPr>
                          <w:rFonts w:ascii="標楷體" w:eastAsia="標楷體" w:hAnsi="標楷體"/>
                          <w:b/>
                        </w:rPr>
                        <w:t>房</w:t>
                      </w:r>
                      <w:r w:rsidRPr="002924C4">
                        <w:rPr>
                          <w:rFonts w:ascii="標楷體" w:eastAsia="標楷體" w:hAnsi="標楷體" w:hint="eastAsia"/>
                          <w:b/>
                        </w:rPr>
                        <w:t>價</w:t>
                      </w:r>
                      <w:r w:rsidRPr="002924C4">
                        <w:rPr>
                          <w:rFonts w:ascii="標楷體" w:eastAsia="標楷體" w:hAnsi="標楷體"/>
                          <w:b/>
                        </w:rPr>
                        <w:t>負擔能力</w:t>
                      </w:r>
                    </w:p>
                    <w:p w14:paraId="366AF7E4" w14:textId="77777777" w:rsidR="00CE57F9" w:rsidRPr="000035EC" w:rsidRDefault="00CE57F9" w:rsidP="00BD516C">
                      <w:pPr>
                        <w:spacing w:line="360" w:lineRule="exact"/>
                        <w:jc w:val="right"/>
                        <w:rPr>
                          <w:rFonts w:ascii="標楷體" w:eastAsia="標楷體" w:hAnsi="標楷體"/>
                          <w:bCs/>
                          <w:sz w:val="20"/>
                        </w:rPr>
                      </w:pPr>
                      <w:r w:rsidRPr="000035EC">
                        <w:rPr>
                          <w:rFonts w:ascii="標楷體" w:eastAsia="標楷體" w:hAnsi="標楷體" w:hint="eastAsia"/>
                          <w:bCs/>
                          <w:sz w:val="20"/>
                        </w:rPr>
                        <w:t>單位：％</w:t>
                      </w:r>
                    </w:p>
                    <w:tbl>
                      <w:tblPr>
                        <w:tblStyle w:val="29"/>
                        <w:tblW w:w="5162" w:type="dxa"/>
                        <w:tblLayout w:type="fixed"/>
                        <w:tblLook w:val="04A0" w:firstRow="1" w:lastRow="0" w:firstColumn="1" w:lastColumn="0" w:noHBand="0" w:noVBand="1"/>
                      </w:tblPr>
                      <w:tblGrid>
                        <w:gridCol w:w="1384"/>
                        <w:gridCol w:w="944"/>
                        <w:gridCol w:w="945"/>
                        <w:gridCol w:w="944"/>
                        <w:gridCol w:w="945"/>
                      </w:tblGrid>
                      <w:tr w:rsidR="00CE57F9" w:rsidRPr="000035EC" w14:paraId="2DFF5122" w14:textId="77777777" w:rsidTr="00DA2751">
                        <w:tc>
                          <w:tcPr>
                            <w:tcW w:w="1384" w:type="dxa"/>
                            <w:vMerge w:val="restart"/>
                            <w:tcBorders>
                              <w:tl2br w:val="single" w:sz="4" w:space="0" w:color="auto"/>
                            </w:tcBorders>
                            <w:shd w:val="clear" w:color="auto" w:fill="auto"/>
                          </w:tcPr>
                          <w:p w14:paraId="749B7B34" w14:textId="151080C0" w:rsidR="00CE57F9" w:rsidRPr="00CE57F9" w:rsidRDefault="00CE57F9" w:rsidP="00DA2751">
                            <w:pPr>
                              <w:spacing w:beforeLines="20" w:before="72" w:line="280" w:lineRule="exact"/>
                              <w:jc w:val="right"/>
                              <w:rPr>
                                <w:rFonts w:ascii="標楷體" w:eastAsia="標楷體" w:hAnsi="標楷體"/>
                                <w:sz w:val="20"/>
                              </w:rPr>
                            </w:pPr>
                            <w:r w:rsidRPr="00CE57F9">
                              <w:rPr>
                                <w:rFonts w:ascii="標楷體" w:eastAsia="標楷體" w:hAnsi="標楷體" w:hint="eastAsia"/>
                                <w:sz w:val="20"/>
                              </w:rPr>
                              <w:t>年季</w:t>
                            </w:r>
                          </w:p>
                          <w:p w14:paraId="40B4A7B1" w14:textId="0E3078EB" w:rsidR="00CE57F9" w:rsidRPr="00CE57F9" w:rsidRDefault="00CE57F9" w:rsidP="00DA2751">
                            <w:pPr>
                              <w:spacing w:beforeLines="10" w:before="36" w:line="320" w:lineRule="exact"/>
                              <w:rPr>
                                <w:rFonts w:ascii="標楷體" w:eastAsia="標楷體" w:hAnsi="標楷體"/>
                                <w:sz w:val="20"/>
                              </w:rPr>
                            </w:pPr>
                            <w:r w:rsidRPr="00CE57F9">
                              <w:rPr>
                                <w:rFonts w:ascii="標楷體" w:eastAsia="標楷體" w:hAnsi="標楷體" w:hint="eastAsia"/>
                                <w:sz w:val="20"/>
                              </w:rPr>
                              <w:t>區</w:t>
                            </w:r>
                            <w:r w:rsidRPr="00CE57F9">
                              <w:rPr>
                                <w:rFonts w:ascii="標楷體" w:eastAsia="標楷體" w:hAnsi="標楷體"/>
                                <w:sz w:val="20"/>
                              </w:rPr>
                              <w:t>域別</w:t>
                            </w:r>
                          </w:p>
                        </w:tc>
                        <w:tc>
                          <w:tcPr>
                            <w:tcW w:w="1889" w:type="dxa"/>
                            <w:gridSpan w:val="2"/>
                            <w:shd w:val="clear" w:color="auto" w:fill="auto"/>
                          </w:tcPr>
                          <w:p w14:paraId="6D91FE2D" w14:textId="77777777" w:rsidR="00CE57F9" w:rsidRPr="00CE57F9" w:rsidRDefault="00CE57F9" w:rsidP="00DA2751">
                            <w:pPr>
                              <w:spacing w:line="280" w:lineRule="exact"/>
                              <w:jc w:val="center"/>
                              <w:rPr>
                                <w:rFonts w:ascii="標楷體" w:eastAsia="標楷體" w:hAnsi="標楷體"/>
                                <w:sz w:val="20"/>
                              </w:rPr>
                            </w:pPr>
                            <w:r w:rsidRPr="00CE57F9">
                              <w:rPr>
                                <w:rFonts w:ascii="標楷體" w:eastAsia="標楷體" w:hAnsi="標楷體"/>
                                <w:sz w:val="20"/>
                              </w:rPr>
                              <w:t>106</w:t>
                            </w:r>
                            <w:r w:rsidRPr="00CE57F9">
                              <w:rPr>
                                <w:rFonts w:ascii="標楷體" w:eastAsia="標楷體" w:hAnsi="標楷體" w:hint="eastAsia"/>
                                <w:sz w:val="20"/>
                              </w:rPr>
                              <w:t>年</w:t>
                            </w:r>
                            <w:r w:rsidRPr="00CE57F9">
                              <w:rPr>
                                <w:rFonts w:ascii="標楷體" w:eastAsia="標楷體" w:hAnsi="標楷體"/>
                                <w:sz w:val="20"/>
                              </w:rPr>
                              <w:t>第4季</w:t>
                            </w:r>
                          </w:p>
                        </w:tc>
                        <w:tc>
                          <w:tcPr>
                            <w:tcW w:w="1889" w:type="dxa"/>
                            <w:gridSpan w:val="2"/>
                            <w:shd w:val="clear" w:color="auto" w:fill="auto"/>
                          </w:tcPr>
                          <w:p w14:paraId="14D0EC20" w14:textId="77777777" w:rsidR="00CE57F9" w:rsidRPr="00CE57F9" w:rsidRDefault="00CE57F9" w:rsidP="00DA2751">
                            <w:pPr>
                              <w:spacing w:line="280" w:lineRule="exact"/>
                              <w:jc w:val="center"/>
                              <w:rPr>
                                <w:rFonts w:ascii="標楷體" w:eastAsia="標楷體" w:hAnsi="標楷體"/>
                                <w:sz w:val="20"/>
                              </w:rPr>
                            </w:pPr>
                            <w:r w:rsidRPr="00CE57F9">
                              <w:rPr>
                                <w:rFonts w:ascii="標楷體" w:eastAsia="標楷體" w:hAnsi="標楷體"/>
                                <w:sz w:val="20"/>
                              </w:rPr>
                              <w:t>111</w:t>
                            </w:r>
                            <w:r w:rsidRPr="00CE57F9">
                              <w:rPr>
                                <w:rFonts w:ascii="標楷體" w:eastAsia="標楷體" w:hAnsi="標楷體" w:hint="eastAsia"/>
                                <w:sz w:val="20"/>
                              </w:rPr>
                              <w:t>年</w:t>
                            </w:r>
                            <w:r w:rsidRPr="00CE57F9">
                              <w:rPr>
                                <w:rFonts w:ascii="標楷體" w:eastAsia="標楷體" w:hAnsi="標楷體"/>
                                <w:sz w:val="20"/>
                              </w:rPr>
                              <w:t>第4季</w:t>
                            </w:r>
                          </w:p>
                        </w:tc>
                      </w:tr>
                      <w:tr w:rsidR="00CE57F9" w:rsidRPr="000035EC" w14:paraId="6736DA38" w14:textId="77777777" w:rsidTr="00DA2751">
                        <w:tc>
                          <w:tcPr>
                            <w:tcW w:w="1384" w:type="dxa"/>
                            <w:vMerge/>
                            <w:tcBorders>
                              <w:top w:val="nil"/>
                              <w:tl2br w:val="single" w:sz="4" w:space="0" w:color="auto"/>
                            </w:tcBorders>
                            <w:vAlign w:val="center"/>
                          </w:tcPr>
                          <w:p w14:paraId="676A1E3D" w14:textId="77777777" w:rsidR="00CE57F9" w:rsidRPr="00CE57F9" w:rsidRDefault="00CE57F9" w:rsidP="00DA2751">
                            <w:pPr>
                              <w:spacing w:line="280" w:lineRule="exact"/>
                              <w:jc w:val="center"/>
                              <w:rPr>
                                <w:rFonts w:ascii="標楷體" w:eastAsia="標楷體" w:hAnsi="標楷體"/>
                                <w:sz w:val="20"/>
                              </w:rPr>
                            </w:pPr>
                          </w:p>
                        </w:tc>
                        <w:tc>
                          <w:tcPr>
                            <w:tcW w:w="944" w:type="dxa"/>
                            <w:vAlign w:val="center"/>
                          </w:tcPr>
                          <w:p w14:paraId="66753D8A" w14:textId="1E91BC4D" w:rsidR="00CE57F9" w:rsidRPr="00CE57F9" w:rsidRDefault="00CE57F9" w:rsidP="00DA2751">
                            <w:pPr>
                              <w:spacing w:line="240" w:lineRule="exact"/>
                              <w:jc w:val="center"/>
                              <w:rPr>
                                <w:rFonts w:ascii="標楷體" w:eastAsia="標楷體" w:hAnsi="標楷體"/>
                                <w:sz w:val="20"/>
                              </w:rPr>
                            </w:pPr>
                            <w:r w:rsidRPr="00CE57F9">
                              <w:rPr>
                                <w:rFonts w:ascii="標楷體" w:eastAsia="標楷體" w:hAnsi="標楷體" w:hint="eastAsia"/>
                                <w:sz w:val="20"/>
                              </w:rPr>
                              <w:t>房貸</w:t>
                            </w:r>
                            <w:r w:rsidRPr="00CE57F9">
                              <w:rPr>
                                <w:rFonts w:ascii="標楷體" w:eastAsia="標楷體" w:hAnsi="標楷體"/>
                                <w:sz w:val="20"/>
                              </w:rPr>
                              <w:t>負擔率</w:t>
                            </w:r>
                          </w:p>
                        </w:tc>
                        <w:tc>
                          <w:tcPr>
                            <w:tcW w:w="945" w:type="dxa"/>
                            <w:vAlign w:val="center"/>
                          </w:tcPr>
                          <w:p w14:paraId="6D16EF76" w14:textId="4EDB4873" w:rsidR="00CE57F9" w:rsidRPr="00CE57F9" w:rsidRDefault="00CE57F9" w:rsidP="00DA2751">
                            <w:pPr>
                              <w:spacing w:line="240" w:lineRule="exact"/>
                              <w:jc w:val="center"/>
                              <w:rPr>
                                <w:rFonts w:ascii="標楷體" w:eastAsia="標楷體" w:hAnsi="標楷體"/>
                                <w:sz w:val="20"/>
                              </w:rPr>
                            </w:pPr>
                            <w:r w:rsidRPr="00CE57F9">
                              <w:rPr>
                                <w:rFonts w:ascii="標楷體" w:eastAsia="標楷體" w:hAnsi="標楷體" w:hint="eastAsia"/>
                                <w:sz w:val="20"/>
                              </w:rPr>
                              <w:t>房價負擔能力</w:t>
                            </w:r>
                          </w:p>
                        </w:tc>
                        <w:tc>
                          <w:tcPr>
                            <w:tcW w:w="944" w:type="dxa"/>
                            <w:vAlign w:val="center"/>
                          </w:tcPr>
                          <w:p w14:paraId="01DDBFEE" w14:textId="259D83E3" w:rsidR="00CE57F9" w:rsidRPr="00CE57F9" w:rsidRDefault="00CE57F9" w:rsidP="00DA2751">
                            <w:pPr>
                              <w:spacing w:line="240" w:lineRule="exact"/>
                              <w:jc w:val="center"/>
                              <w:rPr>
                                <w:rFonts w:ascii="標楷體" w:eastAsia="標楷體" w:hAnsi="標楷體"/>
                                <w:sz w:val="20"/>
                              </w:rPr>
                            </w:pPr>
                            <w:r w:rsidRPr="00CE57F9">
                              <w:rPr>
                                <w:rFonts w:ascii="標楷體" w:eastAsia="標楷體" w:hAnsi="標楷體" w:hint="eastAsia"/>
                                <w:sz w:val="20"/>
                              </w:rPr>
                              <w:t>房貸</w:t>
                            </w:r>
                            <w:r w:rsidRPr="00CE57F9">
                              <w:rPr>
                                <w:rFonts w:ascii="標楷體" w:eastAsia="標楷體" w:hAnsi="標楷體"/>
                                <w:sz w:val="20"/>
                              </w:rPr>
                              <w:t>負擔率</w:t>
                            </w:r>
                          </w:p>
                        </w:tc>
                        <w:tc>
                          <w:tcPr>
                            <w:tcW w:w="945" w:type="dxa"/>
                            <w:vAlign w:val="center"/>
                          </w:tcPr>
                          <w:p w14:paraId="23ED71E3" w14:textId="57B82FC4" w:rsidR="00CE57F9" w:rsidRPr="00CE57F9" w:rsidRDefault="00CE57F9" w:rsidP="00DA2751">
                            <w:pPr>
                              <w:spacing w:line="240" w:lineRule="exact"/>
                              <w:jc w:val="center"/>
                              <w:rPr>
                                <w:rFonts w:ascii="標楷體" w:eastAsia="標楷體" w:hAnsi="標楷體"/>
                                <w:sz w:val="20"/>
                              </w:rPr>
                            </w:pPr>
                            <w:r w:rsidRPr="00CE57F9">
                              <w:rPr>
                                <w:rFonts w:ascii="標楷體" w:eastAsia="標楷體" w:hAnsi="標楷體" w:hint="eastAsia"/>
                                <w:sz w:val="20"/>
                              </w:rPr>
                              <w:t>房價負擔能力</w:t>
                            </w:r>
                          </w:p>
                        </w:tc>
                      </w:tr>
                      <w:tr w:rsidR="00CE57F9" w:rsidRPr="000035EC" w14:paraId="5B725B68" w14:textId="77777777" w:rsidTr="00DA2751">
                        <w:trPr>
                          <w:trHeight w:hRule="exact" w:val="284"/>
                        </w:trPr>
                        <w:tc>
                          <w:tcPr>
                            <w:tcW w:w="1384" w:type="dxa"/>
                            <w:vAlign w:val="center"/>
                          </w:tcPr>
                          <w:p w14:paraId="36D84019" w14:textId="7777777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全</w:t>
                            </w:r>
                            <w:r w:rsidRPr="000035EC">
                              <w:rPr>
                                <w:rFonts w:ascii="標楷體" w:eastAsia="標楷體" w:hAnsi="標楷體"/>
                                <w:sz w:val="20"/>
                              </w:rPr>
                              <w:t>國</w:t>
                            </w:r>
                          </w:p>
                        </w:tc>
                        <w:tc>
                          <w:tcPr>
                            <w:tcW w:w="944" w:type="dxa"/>
                            <w:vAlign w:val="center"/>
                          </w:tcPr>
                          <w:p w14:paraId="27F80221" w14:textId="4EAA450A"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37.58</w:t>
                            </w:r>
                          </w:p>
                        </w:tc>
                        <w:tc>
                          <w:tcPr>
                            <w:tcW w:w="945" w:type="dxa"/>
                            <w:vAlign w:val="center"/>
                          </w:tcPr>
                          <w:p w14:paraId="211FC225" w14:textId="52CEA9EE"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略低</w:t>
                            </w:r>
                          </w:p>
                        </w:tc>
                        <w:tc>
                          <w:tcPr>
                            <w:tcW w:w="944" w:type="dxa"/>
                            <w:vAlign w:val="center"/>
                          </w:tcPr>
                          <w:p w14:paraId="7A1CF74E" w14:textId="75277C8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4</w:t>
                            </w:r>
                            <w:r w:rsidRPr="000035EC">
                              <w:rPr>
                                <w:rFonts w:ascii="標楷體" w:eastAsia="標楷體" w:hAnsi="標楷體"/>
                                <w:sz w:val="20"/>
                              </w:rPr>
                              <w:t>0</w:t>
                            </w:r>
                            <w:r w:rsidRPr="000035EC">
                              <w:rPr>
                                <w:rFonts w:ascii="標楷體" w:eastAsia="標楷體" w:hAnsi="標楷體" w:hint="eastAsia"/>
                                <w:sz w:val="20"/>
                              </w:rPr>
                              <w:t>.</w:t>
                            </w:r>
                            <w:r w:rsidRPr="000035EC">
                              <w:rPr>
                                <w:rFonts w:ascii="標楷體" w:eastAsia="標楷體" w:hAnsi="標楷體"/>
                                <w:sz w:val="20"/>
                              </w:rPr>
                              <w:t>25</w:t>
                            </w:r>
                          </w:p>
                        </w:tc>
                        <w:tc>
                          <w:tcPr>
                            <w:tcW w:w="945" w:type="dxa"/>
                            <w:vAlign w:val="center"/>
                          </w:tcPr>
                          <w:p w14:paraId="5A67CEB8" w14:textId="5A30C979"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偏低</w:t>
                            </w:r>
                          </w:p>
                        </w:tc>
                      </w:tr>
                      <w:tr w:rsidR="00CE57F9" w:rsidRPr="000035EC" w14:paraId="6226C856" w14:textId="77777777" w:rsidTr="00DA2751">
                        <w:trPr>
                          <w:trHeight w:hRule="exact" w:val="284"/>
                        </w:trPr>
                        <w:tc>
                          <w:tcPr>
                            <w:tcW w:w="1384" w:type="dxa"/>
                            <w:vAlign w:val="center"/>
                          </w:tcPr>
                          <w:p w14:paraId="4D299A91" w14:textId="7777777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臺北市</w:t>
                            </w:r>
                          </w:p>
                        </w:tc>
                        <w:tc>
                          <w:tcPr>
                            <w:tcW w:w="944" w:type="dxa"/>
                            <w:vAlign w:val="center"/>
                          </w:tcPr>
                          <w:p w14:paraId="7DD6E965" w14:textId="06E1367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61.52</w:t>
                            </w:r>
                          </w:p>
                        </w:tc>
                        <w:tc>
                          <w:tcPr>
                            <w:tcW w:w="945" w:type="dxa"/>
                            <w:vAlign w:val="center"/>
                          </w:tcPr>
                          <w:p w14:paraId="501B9B32" w14:textId="453F11A6"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過低</w:t>
                            </w:r>
                          </w:p>
                        </w:tc>
                        <w:tc>
                          <w:tcPr>
                            <w:tcW w:w="944" w:type="dxa"/>
                            <w:vAlign w:val="center"/>
                          </w:tcPr>
                          <w:p w14:paraId="01E3493A" w14:textId="08F32A9B"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66.06</w:t>
                            </w:r>
                          </w:p>
                        </w:tc>
                        <w:tc>
                          <w:tcPr>
                            <w:tcW w:w="945" w:type="dxa"/>
                            <w:vAlign w:val="center"/>
                          </w:tcPr>
                          <w:p w14:paraId="4E1DA3EE" w14:textId="747931DD"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過低</w:t>
                            </w:r>
                          </w:p>
                        </w:tc>
                      </w:tr>
                      <w:tr w:rsidR="00CE57F9" w:rsidRPr="000035EC" w14:paraId="20C195C5" w14:textId="77777777" w:rsidTr="00DA2751">
                        <w:trPr>
                          <w:trHeight w:hRule="exact" w:val="284"/>
                        </w:trPr>
                        <w:tc>
                          <w:tcPr>
                            <w:tcW w:w="1384" w:type="dxa"/>
                            <w:vAlign w:val="center"/>
                          </w:tcPr>
                          <w:p w14:paraId="04E07425" w14:textId="7777777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新北市</w:t>
                            </w:r>
                          </w:p>
                        </w:tc>
                        <w:tc>
                          <w:tcPr>
                            <w:tcW w:w="944" w:type="dxa"/>
                            <w:vAlign w:val="center"/>
                          </w:tcPr>
                          <w:p w14:paraId="5B122139" w14:textId="73B638B3"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52.19</w:t>
                            </w:r>
                          </w:p>
                        </w:tc>
                        <w:tc>
                          <w:tcPr>
                            <w:tcW w:w="945" w:type="dxa"/>
                            <w:vAlign w:val="center"/>
                          </w:tcPr>
                          <w:p w14:paraId="31D46E4F" w14:textId="620D226B"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過低</w:t>
                            </w:r>
                          </w:p>
                        </w:tc>
                        <w:tc>
                          <w:tcPr>
                            <w:tcW w:w="944" w:type="dxa"/>
                            <w:vAlign w:val="center"/>
                          </w:tcPr>
                          <w:p w14:paraId="3ACD89CB" w14:textId="30AA144E"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53.10</w:t>
                            </w:r>
                          </w:p>
                        </w:tc>
                        <w:tc>
                          <w:tcPr>
                            <w:tcW w:w="945" w:type="dxa"/>
                            <w:vAlign w:val="center"/>
                          </w:tcPr>
                          <w:p w14:paraId="3D988F63" w14:textId="1AF7C2B5"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過低</w:t>
                            </w:r>
                          </w:p>
                        </w:tc>
                      </w:tr>
                      <w:tr w:rsidR="00CE57F9" w:rsidRPr="000035EC" w14:paraId="5658B8AC" w14:textId="77777777" w:rsidTr="00DA2751">
                        <w:trPr>
                          <w:trHeight w:hRule="exact" w:val="284"/>
                        </w:trPr>
                        <w:tc>
                          <w:tcPr>
                            <w:tcW w:w="1384" w:type="dxa"/>
                            <w:vAlign w:val="center"/>
                          </w:tcPr>
                          <w:p w14:paraId="3D9B6103" w14:textId="7777777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桃園市</w:t>
                            </w:r>
                          </w:p>
                        </w:tc>
                        <w:tc>
                          <w:tcPr>
                            <w:tcW w:w="944" w:type="dxa"/>
                            <w:vAlign w:val="center"/>
                          </w:tcPr>
                          <w:p w14:paraId="0A127086" w14:textId="07D9AFC2"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33.42</w:t>
                            </w:r>
                          </w:p>
                        </w:tc>
                        <w:tc>
                          <w:tcPr>
                            <w:tcW w:w="945" w:type="dxa"/>
                            <w:vAlign w:val="center"/>
                          </w:tcPr>
                          <w:p w14:paraId="0CE57DA5" w14:textId="1C4FDDC4"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略低</w:t>
                            </w:r>
                          </w:p>
                        </w:tc>
                        <w:tc>
                          <w:tcPr>
                            <w:tcW w:w="944" w:type="dxa"/>
                            <w:vAlign w:val="center"/>
                          </w:tcPr>
                          <w:p w14:paraId="6DF50CC6" w14:textId="45385A8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32.81</w:t>
                            </w:r>
                          </w:p>
                        </w:tc>
                        <w:tc>
                          <w:tcPr>
                            <w:tcW w:w="945" w:type="dxa"/>
                            <w:vAlign w:val="center"/>
                          </w:tcPr>
                          <w:p w14:paraId="5B11D657" w14:textId="4F911D72"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略低</w:t>
                            </w:r>
                          </w:p>
                        </w:tc>
                      </w:tr>
                      <w:tr w:rsidR="00CE57F9" w:rsidRPr="000035EC" w14:paraId="65A9C728" w14:textId="77777777" w:rsidTr="00DA2751">
                        <w:trPr>
                          <w:trHeight w:hRule="exact" w:val="284"/>
                        </w:trPr>
                        <w:tc>
                          <w:tcPr>
                            <w:tcW w:w="1384" w:type="dxa"/>
                            <w:vAlign w:val="center"/>
                          </w:tcPr>
                          <w:p w14:paraId="24B17BFF" w14:textId="7777777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臺中市</w:t>
                            </w:r>
                          </w:p>
                        </w:tc>
                        <w:tc>
                          <w:tcPr>
                            <w:tcW w:w="944" w:type="dxa"/>
                            <w:vAlign w:val="center"/>
                          </w:tcPr>
                          <w:p w14:paraId="258D2826" w14:textId="1DF5B799"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39.45</w:t>
                            </w:r>
                          </w:p>
                        </w:tc>
                        <w:tc>
                          <w:tcPr>
                            <w:tcW w:w="945" w:type="dxa"/>
                            <w:vAlign w:val="center"/>
                          </w:tcPr>
                          <w:p w14:paraId="47EEB37D" w14:textId="42D4D590"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略低</w:t>
                            </w:r>
                          </w:p>
                        </w:tc>
                        <w:tc>
                          <w:tcPr>
                            <w:tcW w:w="944" w:type="dxa"/>
                            <w:vAlign w:val="center"/>
                          </w:tcPr>
                          <w:p w14:paraId="4931B077" w14:textId="7691382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46.53</w:t>
                            </w:r>
                          </w:p>
                        </w:tc>
                        <w:tc>
                          <w:tcPr>
                            <w:tcW w:w="945" w:type="dxa"/>
                            <w:vAlign w:val="center"/>
                          </w:tcPr>
                          <w:p w14:paraId="2B6891B0" w14:textId="682D3DFF"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偏低</w:t>
                            </w:r>
                          </w:p>
                        </w:tc>
                      </w:tr>
                      <w:tr w:rsidR="00CE57F9" w:rsidRPr="000035EC" w14:paraId="7320C272" w14:textId="77777777" w:rsidTr="00DA2751">
                        <w:trPr>
                          <w:trHeight w:hRule="exact" w:val="284"/>
                        </w:trPr>
                        <w:tc>
                          <w:tcPr>
                            <w:tcW w:w="1384" w:type="dxa"/>
                            <w:vAlign w:val="center"/>
                          </w:tcPr>
                          <w:p w14:paraId="3D4A288A" w14:textId="7777777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臺南市</w:t>
                            </w:r>
                          </w:p>
                        </w:tc>
                        <w:tc>
                          <w:tcPr>
                            <w:tcW w:w="944" w:type="dxa"/>
                            <w:vAlign w:val="center"/>
                          </w:tcPr>
                          <w:p w14:paraId="1E172E8F" w14:textId="3C242CA0"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31.06</w:t>
                            </w:r>
                          </w:p>
                        </w:tc>
                        <w:tc>
                          <w:tcPr>
                            <w:tcW w:w="945" w:type="dxa"/>
                            <w:vAlign w:val="center"/>
                          </w:tcPr>
                          <w:p w14:paraId="61021C42" w14:textId="3A416EC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略低</w:t>
                            </w:r>
                          </w:p>
                        </w:tc>
                        <w:tc>
                          <w:tcPr>
                            <w:tcW w:w="944" w:type="dxa"/>
                            <w:vAlign w:val="center"/>
                          </w:tcPr>
                          <w:p w14:paraId="53B9CCC0" w14:textId="52D0C4B9"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39.22</w:t>
                            </w:r>
                          </w:p>
                        </w:tc>
                        <w:tc>
                          <w:tcPr>
                            <w:tcW w:w="945" w:type="dxa"/>
                            <w:vAlign w:val="center"/>
                          </w:tcPr>
                          <w:p w14:paraId="2902FFEC" w14:textId="13F40E54"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略低</w:t>
                            </w:r>
                          </w:p>
                        </w:tc>
                      </w:tr>
                      <w:tr w:rsidR="00CE57F9" w:rsidRPr="000035EC" w14:paraId="63A900E4" w14:textId="77777777" w:rsidTr="00DA2751">
                        <w:trPr>
                          <w:trHeight w:hRule="exact" w:val="284"/>
                        </w:trPr>
                        <w:tc>
                          <w:tcPr>
                            <w:tcW w:w="1384" w:type="dxa"/>
                            <w:vAlign w:val="center"/>
                          </w:tcPr>
                          <w:p w14:paraId="4AD074B7" w14:textId="77777777"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高雄市</w:t>
                            </w:r>
                          </w:p>
                        </w:tc>
                        <w:tc>
                          <w:tcPr>
                            <w:tcW w:w="944" w:type="dxa"/>
                            <w:vAlign w:val="center"/>
                          </w:tcPr>
                          <w:p w14:paraId="175125FC" w14:textId="2E17DBCD"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33.74</w:t>
                            </w:r>
                          </w:p>
                        </w:tc>
                        <w:tc>
                          <w:tcPr>
                            <w:tcW w:w="945" w:type="dxa"/>
                            <w:vAlign w:val="center"/>
                          </w:tcPr>
                          <w:p w14:paraId="3A1A8080" w14:textId="1AF96C02"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略低</w:t>
                            </w:r>
                          </w:p>
                        </w:tc>
                        <w:tc>
                          <w:tcPr>
                            <w:tcW w:w="944" w:type="dxa"/>
                            <w:vAlign w:val="center"/>
                          </w:tcPr>
                          <w:p w14:paraId="30CA461B" w14:textId="64582535"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sz w:val="20"/>
                              </w:rPr>
                              <w:t>38.76</w:t>
                            </w:r>
                          </w:p>
                        </w:tc>
                        <w:tc>
                          <w:tcPr>
                            <w:tcW w:w="945" w:type="dxa"/>
                            <w:vAlign w:val="center"/>
                          </w:tcPr>
                          <w:p w14:paraId="25C0772F" w14:textId="11D3BD25" w:rsidR="00CE57F9" w:rsidRPr="000035EC" w:rsidRDefault="00CE57F9" w:rsidP="00DA2751">
                            <w:pPr>
                              <w:spacing w:line="280" w:lineRule="exact"/>
                              <w:jc w:val="center"/>
                              <w:rPr>
                                <w:rFonts w:ascii="標楷體" w:eastAsia="標楷體" w:hAnsi="標楷體"/>
                                <w:sz w:val="20"/>
                              </w:rPr>
                            </w:pPr>
                            <w:r w:rsidRPr="000035EC">
                              <w:rPr>
                                <w:rFonts w:ascii="標楷體" w:eastAsia="標楷體" w:hAnsi="標楷體" w:hint="eastAsia"/>
                                <w:sz w:val="20"/>
                              </w:rPr>
                              <w:t>略低</w:t>
                            </w:r>
                          </w:p>
                        </w:tc>
                      </w:tr>
                    </w:tbl>
                    <w:p w14:paraId="65941B38" w14:textId="77777777" w:rsidR="00CE57F9" w:rsidRPr="00085BF0" w:rsidRDefault="00CE57F9" w:rsidP="00DA2751">
                      <w:pPr>
                        <w:spacing w:line="220" w:lineRule="exact"/>
                        <w:ind w:leftChars="-49" w:left="427" w:hangingChars="303" w:hanging="545"/>
                        <w:jc w:val="both"/>
                        <w:rPr>
                          <w:rFonts w:ascii="標楷體" w:eastAsia="標楷體" w:hAnsi="標楷體"/>
                          <w:sz w:val="18"/>
                        </w:rPr>
                      </w:pPr>
                      <w:r w:rsidRPr="000035EC">
                        <w:rPr>
                          <w:rFonts w:ascii="標楷體" w:eastAsia="標楷體" w:hAnsi="標楷體" w:hint="eastAsia"/>
                          <w:sz w:val="18"/>
                        </w:rPr>
                        <w:t>註：1.</w:t>
                      </w:r>
                      <w:r w:rsidRPr="000035EC">
                        <w:rPr>
                          <w:rFonts w:ascii="標楷體" w:eastAsia="標楷體" w:hAnsi="標楷體"/>
                          <w:sz w:val="18"/>
                        </w:rPr>
                        <w:t>房</w:t>
                      </w:r>
                      <w:r w:rsidRPr="00085BF0">
                        <w:rPr>
                          <w:rFonts w:ascii="標楷體" w:eastAsia="標楷體" w:hAnsi="標楷體"/>
                          <w:sz w:val="18"/>
                        </w:rPr>
                        <w:t>貸負擔率50</w:t>
                      </w:r>
                      <w:r w:rsidRPr="00085BF0">
                        <w:rPr>
                          <w:rFonts w:ascii="標楷體" w:eastAsia="標楷體" w:hAnsi="標楷體" w:hint="eastAsia"/>
                          <w:sz w:val="18"/>
                        </w:rPr>
                        <w:t>％</w:t>
                      </w:r>
                      <w:r w:rsidRPr="00085BF0">
                        <w:rPr>
                          <w:rFonts w:ascii="標楷體" w:eastAsia="標楷體" w:hAnsi="標楷體"/>
                          <w:sz w:val="18"/>
                        </w:rPr>
                        <w:t>以上表示房價負擔能力過低</w:t>
                      </w:r>
                      <w:r w:rsidRPr="00085BF0">
                        <w:rPr>
                          <w:rFonts w:ascii="標楷體" w:eastAsia="標楷體" w:hAnsi="標楷體" w:hint="eastAsia"/>
                          <w:sz w:val="18"/>
                        </w:rPr>
                        <w:t>；</w:t>
                      </w:r>
                      <w:r w:rsidRPr="00085BF0">
                        <w:rPr>
                          <w:rFonts w:ascii="標楷體" w:eastAsia="標楷體" w:hAnsi="標楷體"/>
                          <w:sz w:val="18"/>
                        </w:rPr>
                        <w:t>40</w:t>
                      </w:r>
                      <w:r w:rsidRPr="00085BF0">
                        <w:rPr>
                          <w:rFonts w:ascii="標楷體" w:eastAsia="標楷體" w:hAnsi="標楷體" w:hint="eastAsia"/>
                          <w:sz w:val="18"/>
                        </w:rPr>
                        <w:t>％以</w:t>
                      </w:r>
                      <w:r w:rsidRPr="00085BF0">
                        <w:rPr>
                          <w:rFonts w:ascii="標楷體" w:eastAsia="標楷體" w:hAnsi="標楷體"/>
                          <w:sz w:val="18"/>
                        </w:rPr>
                        <w:t>上</w:t>
                      </w:r>
                      <w:r w:rsidRPr="00085BF0">
                        <w:rPr>
                          <w:rFonts w:ascii="標楷體" w:eastAsia="標楷體" w:hAnsi="標楷體" w:hint="eastAsia"/>
                          <w:sz w:val="18"/>
                        </w:rPr>
                        <w:t>，</w:t>
                      </w:r>
                      <w:r w:rsidRPr="00085BF0">
                        <w:rPr>
                          <w:rFonts w:ascii="標楷體" w:eastAsia="標楷體" w:hAnsi="標楷體"/>
                          <w:sz w:val="18"/>
                        </w:rPr>
                        <w:t>未及50</w:t>
                      </w:r>
                      <w:r w:rsidRPr="00085BF0">
                        <w:rPr>
                          <w:rFonts w:ascii="標楷體" w:eastAsia="標楷體" w:hAnsi="標楷體" w:hint="eastAsia"/>
                          <w:sz w:val="18"/>
                        </w:rPr>
                        <w:t>％</w:t>
                      </w:r>
                      <w:r w:rsidRPr="00085BF0">
                        <w:rPr>
                          <w:rFonts w:ascii="標楷體" w:eastAsia="標楷體" w:hAnsi="標楷體"/>
                          <w:sz w:val="18"/>
                        </w:rPr>
                        <w:t>表示房價負擔能力偏低</w:t>
                      </w:r>
                      <w:r w:rsidRPr="00085BF0">
                        <w:rPr>
                          <w:rFonts w:ascii="標楷體" w:eastAsia="標楷體" w:hAnsi="標楷體" w:hint="eastAsia"/>
                          <w:sz w:val="18"/>
                        </w:rPr>
                        <w:t>；</w:t>
                      </w:r>
                      <w:r w:rsidRPr="00085BF0">
                        <w:rPr>
                          <w:rFonts w:ascii="標楷體" w:eastAsia="標楷體" w:hAnsi="標楷體"/>
                          <w:sz w:val="18"/>
                        </w:rPr>
                        <w:t>30</w:t>
                      </w:r>
                      <w:r w:rsidRPr="00085BF0">
                        <w:rPr>
                          <w:rFonts w:ascii="標楷體" w:eastAsia="標楷體" w:hAnsi="標楷體" w:hint="eastAsia"/>
                          <w:sz w:val="18"/>
                        </w:rPr>
                        <w:t>％以</w:t>
                      </w:r>
                      <w:r w:rsidRPr="00085BF0">
                        <w:rPr>
                          <w:rFonts w:ascii="標楷體" w:eastAsia="標楷體" w:hAnsi="標楷體"/>
                          <w:sz w:val="18"/>
                        </w:rPr>
                        <w:t>上</w:t>
                      </w:r>
                      <w:r w:rsidRPr="00085BF0">
                        <w:rPr>
                          <w:rFonts w:ascii="標楷體" w:eastAsia="標楷體" w:hAnsi="標楷體" w:hint="eastAsia"/>
                          <w:sz w:val="18"/>
                        </w:rPr>
                        <w:t>，</w:t>
                      </w:r>
                      <w:r w:rsidRPr="00085BF0">
                        <w:rPr>
                          <w:rFonts w:ascii="標楷體" w:eastAsia="標楷體" w:hAnsi="標楷體"/>
                          <w:sz w:val="18"/>
                        </w:rPr>
                        <w:t>未及40</w:t>
                      </w:r>
                      <w:r w:rsidRPr="00085BF0">
                        <w:rPr>
                          <w:rFonts w:ascii="標楷體" w:eastAsia="標楷體" w:hAnsi="標楷體" w:hint="eastAsia"/>
                          <w:sz w:val="18"/>
                        </w:rPr>
                        <w:t>％</w:t>
                      </w:r>
                      <w:r w:rsidRPr="00085BF0">
                        <w:rPr>
                          <w:rFonts w:ascii="標楷體" w:eastAsia="標楷體" w:hAnsi="標楷體"/>
                          <w:sz w:val="18"/>
                        </w:rPr>
                        <w:t>表示房價負擔能力略低</w:t>
                      </w:r>
                      <w:r w:rsidRPr="00085BF0">
                        <w:rPr>
                          <w:rFonts w:ascii="標楷體" w:eastAsia="標楷體" w:hAnsi="標楷體" w:hint="eastAsia"/>
                          <w:sz w:val="18"/>
                        </w:rPr>
                        <w:t>；未</w:t>
                      </w:r>
                      <w:r w:rsidRPr="00085BF0">
                        <w:rPr>
                          <w:rFonts w:ascii="標楷體" w:eastAsia="標楷體" w:hAnsi="標楷體"/>
                          <w:sz w:val="18"/>
                        </w:rPr>
                        <w:t>及30</w:t>
                      </w:r>
                      <w:r w:rsidRPr="00085BF0">
                        <w:rPr>
                          <w:rFonts w:ascii="標楷體" w:eastAsia="標楷體" w:hAnsi="標楷體" w:hint="eastAsia"/>
                          <w:sz w:val="18"/>
                        </w:rPr>
                        <w:t>％</w:t>
                      </w:r>
                      <w:r w:rsidRPr="00085BF0">
                        <w:rPr>
                          <w:rFonts w:ascii="標楷體" w:eastAsia="標楷體" w:hAnsi="標楷體"/>
                          <w:sz w:val="18"/>
                        </w:rPr>
                        <w:t>表示可合理負擔。</w:t>
                      </w:r>
                    </w:p>
                    <w:p w14:paraId="7DE51EDD" w14:textId="77777777" w:rsidR="00CE57F9" w:rsidRPr="00085BF0" w:rsidRDefault="00CE57F9" w:rsidP="00DA2751">
                      <w:pPr>
                        <w:spacing w:line="220" w:lineRule="exact"/>
                        <w:ind w:leftChars="105" w:left="252"/>
                        <w:jc w:val="both"/>
                        <w:rPr>
                          <w:rFonts w:ascii="標楷體" w:eastAsia="標楷體" w:hAnsi="標楷體"/>
                          <w:sz w:val="18"/>
                        </w:rPr>
                      </w:pPr>
                      <w:r w:rsidRPr="00085BF0">
                        <w:rPr>
                          <w:rFonts w:ascii="標楷體" w:eastAsia="標楷體" w:hAnsi="標楷體" w:hint="eastAsia"/>
                          <w:sz w:val="18"/>
                        </w:rPr>
                        <w:t>2.資料來源：整理自內政部不動產資訊平臺公布資料。</w:t>
                      </w:r>
                    </w:p>
                  </w:txbxContent>
                </v:textbox>
                <w10:wrap type="square"/>
              </v:shape>
            </w:pict>
          </mc:Fallback>
        </mc:AlternateContent>
      </w:r>
      <w:r w:rsidRPr="009D11AD">
        <w:rPr>
          <w:rFonts w:ascii="標楷體" w:eastAsia="標楷體" w:hAnsi="標楷體"/>
          <w:szCs w:val="24"/>
        </w:rPr>
        <w:t>30</w:t>
      </w:r>
      <w:r w:rsidRPr="009D11AD">
        <w:rPr>
          <w:rFonts w:ascii="標楷體" w:eastAsia="標楷體" w:hAnsi="標楷體" w:hint="eastAsia"/>
          <w:szCs w:val="24"/>
        </w:rPr>
        <w:t>％</w:t>
      </w:r>
      <w:r w:rsidRPr="009D11AD">
        <w:rPr>
          <w:rFonts w:ascii="標楷體" w:eastAsia="標楷體" w:hAnsi="標楷體"/>
          <w:szCs w:val="24"/>
        </w:rPr>
        <w:t>）</w:t>
      </w:r>
      <w:r w:rsidRPr="009D11AD">
        <w:rPr>
          <w:rFonts w:ascii="標楷體" w:eastAsia="標楷體" w:hAnsi="標楷體" w:hint="eastAsia"/>
          <w:szCs w:val="24"/>
        </w:rPr>
        <w:t>，</w:t>
      </w:r>
      <w:r w:rsidRPr="009D11AD">
        <w:rPr>
          <w:rFonts w:ascii="標楷體" w:eastAsia="標楷體" w:hAnsi="標楷體"/>
          <w:szCs w:val="24"/>
        </w:rPr>
        <w:t>房貸負擔</w:t>
      </w:r>
      <w:r w:rsidRPr="009D11AD">
        <w:rPr>
          <w:rFonts w:ascii="標楷體" w:eastAsia="標楷體" w:hAnsi="標楷體" w:hint="eastAsia"/>
          <w:szCs w:val="24"/>
        </w:rPr>
        <w:t>仍沉重，尤以人口集中之都會區為甚（</w:t>
      </w:r>
      <w:r w:rsidRPr="00CE57F9">
        <w:rPr>
          <w:rFonts w:ascii="標楷體" w:eastAsia="標楷體" w:hAnsi="標楷體" w:hint="eastAsia"/>
          <w:szCs w:val="24"/>
        </w:rPr>
        <w:t>表</w:t>
      </w:r>
      <w:r w:rsidR="00BD516C" w:rsidRPr="00CE57F9">
        <w:rPr>
          <w:rFonts w:ascii="標楷體" w:eastAsia="標楷體" w:hAnsi="標楷體" w:hint="eastAsia"/>
          <w:szCs w:val="24"/>
        </w:rPr>
        <w:t>2</w:t>
      </w:r>
      <w:r w:rsidRPr="009D11AD">
        <w:rPr>
          <w:rFonts w:ascii="標楷體" w:eastAsia="標楷體" w:hAnsi="標楷體" w:hint="eastAsia"/>
          <w:szCs w:val="24"/>
        </w:rPr>
        <w:t>），政府雖持續加碼育兒補助，然而受房價飆漲影響，買房成為家庭經濟重大負擔，卻未列入對策計畫管考。在「婦女難兼顧家庭與就業，影響生育意願及勞動參與率」方面，近便、優質及可負擔的托育與教保服務，為職業婦女兼顧家庭與就業之基礎，惟111年底未滿2歲幼兒送托率為19.88％，未達年度預計目標（</w:t>
      </w:r>
      <w:r w:rsidRPr="009D11AD">
        <w:rPr>
          <w:rFonts w:ascii="標楷體" w:eastAsia="標楷體" w:hAnsi="標楷體"/>
          <w:szCs w:val="24"/>
        </w:rPr>
        <w:t>20.94％</w:t>
      </w:r>
      <w:r w:rsidRPr="009D11AD">
        <w:rPr>
          <w:rFonts w:ascii="標楷體" w:eastAsia="標楷體" w:hAnsi="標楷體" w:hint="eastAsia"/>
          <w:szCs w:val="24"/>
        </w:rPr>
        <w:t>），2</w:t>
      </w:r>
      <w:r w:rsidRPr="009D11AD">
        <w:rPr>
          <w:rFonts w:ascii="標楷體" w:eastAsia="標楷體" w:hAnsi="標楷體"/>
          <w:szCs w:val="24"/>
        </w:rPr>
        <w:t>至</w:t>
      </w:r>
      <w:r w:rsidRPr="009D11AD">
        <w:rPr>
          <w:rFonts w:ascii="標楷體" w:eastAsia="標楷體" w:hAnsi="標楷體" w:hint="eastAsia"/>
          <w:szCs w:val="24"/>
        </w:rPr>
        <w:t>5</w:t>
      </w:r>
      <w:r w:rsidRPr="009D11AD">
        <w:rPr>
          <w:rFonts w:ascii="標楷體" w:eastAsia="標楷體" w:hAnsi="標楷體"/>
          <w:szCs w:val="24"/>
        </w:rPr>
        <w:t>歲</w:t>
      </w:r>
      <w:r w:rsidRPr="009D11AD">
        <w:rPr>
          <w:rFonts w:ascii="標楷體" w:eastAsia="標楷體" w:hAnsi="標楷體" w:hint="eastAsia"/>
          <w:szCs w:val="24"/>
        </w:rPr>
        <w:t>幼兒就讀</w:t>
      </w:r>
      <w:r w:rsidRPr="009D11AD">
        <w:rPr>
          <w:rFonts w:ascii="標楷體" w:eastAsia="標楷體" w:hAnsi="標楷體"/>
          <w:szCs w:val="24"/>
        </w:rPr>
        <w:t>公共化</w:t>
      </w:r>
      <w:r w:rsidRPr="009D11AD">
        <w:rPr>
          <w:rFonts w:ascii="標楷體" w:eastAsia="標楷體" w:hAnsi="標楷體" w:hint="eastAsia"/>
          <w:szCs w:val="24"/>
        </w:rPr>
        <w:t>幼兒園仍存在</w:t>
      </w:r>
      <w:r w:rsidRPr="009D11AD">
        <w:rPr>
          <w:rFonts w:ascii="標楷體" w:eastAsia="標楷體" w:hAnsi="標楷體"/>
          <w:szCs w:val="24"/>
        </w:rPr>
        <w:t>地區別</w:t>
      </w:r>
      <w:r w:rsidRPr="009D11AD">
        <w:rPr>
          <w:rFonts w:ascii="標楷體" w:eastAsia="標楷體" w:hAnsi="標楷體" w:hint="eastAsia"/>
          <w:szCs w:val="24"/>
        </w:rPr>
        <w:t>及年齡別之</w:t>
      </w:r>
      <w:r w:rsidRPr="009D11AD">
        <w:rPr>
          <w:rFonts w:ascii="標楷體" w:eastAsia="標楷體" w:hAnsi="標楷體"/>
          <w:szCs w:val="24"/>
        </w:rPr>
        <w:t>差異化供需失衡問題</w:t>
      </w:r>
      <w:r w:rsidRPr="009D11AD">
        <w:rPr>
          <w:rFonts w:ascii="標楷體" w:eastAsia="標楷體" w:hAnsi="標楷體" w:hint="eastAsia"/>
          <w:szCs w:val="24"/>
        </w:rPr>
        <w:t>；又</w:t>
      </w:r>
      <w:r w:rsidRPr="009D11AD">
        <w:rPr>
          <w:rFonts w:ascii="標楷體" w:eastAsia="標楷體" w:hAnsi="標楷體"/>
          <w:spacing w:val="4"/>
          <w:szCs w:val="24"/>
        </w:rPr>
        <w:t>111</w:t>
      </w:r>
      <w:r w:rsidRPr="009D11AD">
        <w:rPr>
          <w:rFonts w:ascii="標楷體" w:eastAsia="標楷體" w:hAnsi="標楷體" w:hint="eastAsia"/>
          <w:spacing w:val="4"/>
          <w:szCs w:val="24"/>
        </w:rPr>
        <w:t>年</w:t>
      </w:r>
      <w:r w:rsidRPr="009D11AD">
        <w:rPr>
          <w:rFonts w:ascii="標楷體" w:eastAsia="標楷體" w:hAnsi="標楷體"/>
          <w:szCs w:val="24"/>
        </w:rPr>
        <w:t>僱用管理就業平等概況調查</w:t>
      </w:r>
      <w:r w:rsidRPr="009D11AD">
        <w:rPr>
          <w:rFonts w:ascii="標楷體" w:eastAsia="標楷體" w:hAnsi="標楷體" w:hint="eastAsia"/>
          <w:szCs w:val="24"/>
        </w:rPr>
        <w:t>及工作場所就業平等概況調查結果，</w:t>
      </w:r>
      <w:r w:rsidRPr="009D11AD">
        <w:rPr>
          <w:rFonts w:ascii="標楷體" w:eastAsia="標楷體" w:hAnsi="標楷體" w:hint="eastAsia"/>
          <w:spacing w:val="4"/>
          <w:szCs w:val="24"/>
        </w:rPr>
        <w:t>員工人數2</w:t>
      </w:r>
      <w:r w:rsidRPr="009D11AD">
        <w:rPr>
          <w:rFonts w:ascii="標楷體" w:eastAsia="標楷體" w:hAnsi="標楷體"/>
          <w:spacing w:val="4"/>
          <w:szCs w:val="24"/>
        </w:rPr>
        <w:t>9</w:t>
      </w:r>
      <w:r w:rsidRPr="009D11AD">
        <w:rPr>
          <w:rFonts w:ascii="標楷體" w:eastAsia="標楷體" w:hAnsi="標楷體" w:hint="eastAsia"/>
          <w:spacing w:val="4"/>
          <w:szCs w:val="24"/>
        </w:rPr>
        <w:t>人以下之</w:t>
      </w:r>
      <w:r w:rsidRPr="009D11AD">
        <w:rPr>
          <w:rFonts w:ascii="標楷體" w:eastAsia="標楷體" w:hAnsi="標楷體" w:hint="eastAsia"/>
          <w:szCs w:val="24"/>
        </w:rPr>
        <w:t>事業單位</w:t>
      </w:r>
      <w:r w:rsidRPr="009D11AD">
        <w:rPr>
          <w:rFonts w:ascii="標楷體" w:eastAsia="標楷體" w:hAnsi="標楷體" w:hint="eastAsia"/>
          <w:spacing w:val="4"/>
          <w:szCs w:val="24"/>
        </w:rPr>
        <w:t>，同意員工申請育嬰留職停薪之比率為81.5％，相較於106年調查之78.9％，仍未充分遵循友善育兒措施，另受僱者認為應放寬以「日」或「小時」彈性使用育嬰留職停薪之比率，男性為79.6％，女性為77.2％，事業單位同意放寬之比率僅為48.4％，反映勞資雙方立場不一，未能讓家長更彈性運用以照顧子女。經查111年度少子女化對策計畫執行成果報告，著重揭露執行產出，執行進度彙整表之各工作項目待（處理）解決事項，各部會均填列「無」，未能主動提報上開尚待解決問題及改善規劃與進程，現行計畫管考機制涵蓋面向與強度尚有不足。</w:t>
      </w:r>
      <w:r w:rsidRPr="009D11AD">
        <w:rPr>
          <w:rFonts w:ascii="標楷體" w:eastAsia="標楷體" w:hAnsi="標楷體" w:hint="eastAsia"/>
          <w:szCs w:val="24"/>
        </w:rPr>
        <w:t>面臨日益嚴峻的國人不婚、晚婚問題，允宜</w:t>
      </w:r>
      <w:r w:rsidRPr="009D11AD">
        <w:rPr>
          <w:rFonts w:ascii="標楷體" w:eastAsia="標楷體" w:hAnsi="標楷體" w:hint="eastAsia"/>
          <w:spacing w:val="4"/>
          <w:szCs w:val="24"/>
        </w:rPr>
        <w:t>研議</w:t>
      </w:r>
      <w:r w:rsidRPr="009D11AD">
        <w:rPr>
          <w:rFonts w:ascii="標楷體" w:eastAsia="標楷體" w:hAnsi="標楷體" w:hint="eastAsia"/>
          <w:szCs w:val="24"/>
        </w:rPr>
        <w:t>由人口政策專業單位</w:t>
      </w:r>
      <w:r w:rsidRPr="009D11AD">
        <w:rPr>
          <w:rFonts w:ascii="標楷體" w:eastAsia="標楷體" w:hAnsi="標楷體"/>
          <w:spacing w:val="4"/>
          <w:szCs w:val="24"/>
        </w:rPr>
        <w:t>負責幕僚作業</w:t>
      </w:r>
      <w:r w:rsidRPr="009D11AD">
        <w:rPr>
          <w:rFonts w:ascii="標楷體" w:eastAsia="標楷體" w:hAnsi="標楷體" w:hint="eastAsia"/>
          <w:spacing w:val="4"/>
          <w:szCs w:val="24"/>
        </w:rPr>
        <w:t>，並設立少子女化對策督導會報之可行性，專責列管及</w:t>
      </w:r>
      <w:r w:rsidRPr="009D11AD">
        <w:rPr>
          <w:rFonts w:ascii="標楷體" w:eastAsia="標楷體" w:hAnsi="標楷體" w:hint="eastAsia"/>
          <w:szCs w:val="24"/>
        </w:rPr>
        <w:t>統籌解決影響國人婚育意願之癥結問題</w:t>
      </w:r>
      <w:r w:rsidRPr="009D11AD">
        <w:rPr>
          <w:rFonts w:ascii="標楷體" w:eastAsia="標楷體" w:hAnsi="標楷體" w:hint="eastAsia"/>
          <w:spacing w:val="4"/>
          <w:szCs w:val="24"/>
        </w:rPr>
        <w:t>，以有效提升</w:t>
      </w:r>
      <w:r w:rsidRPr="009D11AD">
        <w:rPr>
          <w:rFonts w:ascii="標楷體" w:eastAsia="標楷體" w:hAnsi="標楷體" w:hint="eastAsia"/>
          <w:szCs w:val="24"/>
        </w:rPr>
        <w:t>國人生育率。</w:t>
      </w:r>
    </w:p>
    <w:p w14:paraId="742C01F7" w14:textId="2280D93D" w:rsidR="00340074" w:rsidRPr="009D11AD" w:rsidRDefault="00340074" w:rsidP="00E9304D">
      <w:pPr>
        <w:pStyle w:val="affb"/>
        <w:kinsoku/>
        <w:overflowPunct w:val="0"/>
        <w:adjustRightInd/>
        <w:spacing w:line="460" w:lineRule="exact"/>
        <w:ind w:left="0" w:firstLineChars="450" w:firstLine="1081"/>
        <w:jc w:val="both"/>
        <w:rPr>
          <w:rFonts w:hAnsi="標楷體"/>
          <w:bCs/>
          <w:color w:val="000000" w:themeColor="text1"/>
          <w:sz w:val="24"/>
          <w:szCs w:val="24"/>
        </w:rPr>
      </w:pPr>
      <w:r w:rsidRPr="009D11AD">
        <w:rPr>
          <w:rFonts w:hAnsi="標楷體" w:hint="eastAsia"/>
          <w:b/>
          <w:bCs/>
          <w:sz w:val="24"/>
          <w:szCs w:val="24"/>
        </w:rPr>
        <w:t>3</w:t>
      </w:r>
      <w:r w:rsidRPr="009D11AD">
        <w:rPr>
          <w:rFonts w:hAnsi="標楷體"/>
          <w:b/>
          <w:bCs/>
          <w:sz w:val="24"/>
          <w:szCs w:val="24"/>
        </w:rPr>
        <w:t>.</w:t>
      </w:r>
      <w:r w:rsidRPr="009D11AD">
        <w:rPr>
          <w:rFonts w:hAnsi="標楷體" w:hint="eastAsia"/>
          <w:b/>
          <w:bCs/>
          <w:sz w:val="24"/>
          <w:szCs w:val="24"/>
        </w:rPr>
        <w:t xml:space="preserve">　</w:t>
      </w:r>
      <w:r w:rsidRPr="009D11AD">
        <w:rPr>
          <w:rFonts w:hAnsi="標楷體" w:hint="eastAsia"/>
          <w:b/>
          <w:spacing w:val="-2"/>
          <w:sz w:val="24"/>
          <w:szCs w:val="24"/>
        </w:rPr>
        <w:t>重視婚育價值為翻轉少子女化之關鍵因素之一，政府已加強推動及宣導家庭教育，</w:t>
      </w:r>
      <w:r w:rsidRPr="00CE57F9">
        <w:rPr>
          <w:rFonts w:hAnsi="標楷體" w:hint="eastAsia"/>
          <w:b/>
          <w:spacing w:val="-2"/>
          <w:sz w:val="24"/>
          <w:szCs w:val="24"/>
        </w:rPr>
        <w:t>惟</w:t>
      </w:r>
      <w:r w:rsidR="00A449B7" w:rsidRPr="00CE57F9">
        <w:rPr>
          <w:rFonts w:hAnsi="標楷體" w:hint="eastAsia"/>
          <w:b/>
          <w:spacing w:val="-2"/>
          <w:sz w:val="24"/>
          <w:szCs w:val="24"/>
        </w:rPr>
        <w:t>能否將宣導資訊有效傳達至目標族群，尚無相關統計分析，允宜</w:t>
      </w:r>
      <w:r w:rsidRPr="009D11AD">
        <w:rPr>
          <w:rFonts w:hAnsi="標楷體" w:hint="eastAsia"/>
          <w:b/>
          <w:spacing w:val="-2"/>
          <w:sz w:val="24"/>
          <w:szCs w:val="24"/>
        </w:rPr>
        <w:t>跨部會研議宣導方式</w:t>
      </w:r>
      <w:r w:rsidRPr="009D11AD">
        <w:rPr>
          <w:rFonts w:hAnsi="標楷體"/>
          <w:b/>
          <w:spacing w:val="-2"/>
          <w:sz w:val="24"/>
          <w:szCs w:val="24"/>
        </w:rPr>
        <w:t>及</w:t>
      </w:r>
      <w:r w:rsidRPr="009D11AD">
        <w:rPr>
          <w:rFonts w:hAnsi="標楷體" w:hint="eastAsia"/>
          <w:b/>
          <w:spacing w:val="-2"/>
          <w:sz w:val="24"/>
          <w:szCs w:val="24"/>
        </w:rPr>
        <w:t>內</w:t>
      </w:r>
      <w:r w:rsidRPr="009D11AD">
        <w:rPr>
          <w:rFonts w:hAnsi="標楷體" w:hint="eastAsia"/>
          <w:b/>
          <w:spacing w:val="-2"/>
          <w:sz w:val="24"/>
          <w:szCs w:val="24"/>
        </w:rPr>
        <w:lastRenderedPageBreak/>
        <w:t>容之</w:t>
      </w:r>
      <w:r w:rsidRPr="009D11AD">
        <w:rPr>
          <w:rFonts w:hAnsi="標楷體"/>
          <w:b/>
          <w:spacing w:val="-2"/>
          <w:sz w:val="24"/>
          <w:szCs w:val="24"/>
        </w:rPr>
        <w:t>多樣性</w:t>
      </w:r>
      <w:r w:rsidRPr="009D11AD">
        <w:rPr>
          <w:rFonts w:hAnsi="標楷體" w:hint="eastAsia"/>
          <w:b/>
          <w:spacing w:val="-2"/>
          <w:sz w:val="24"/>
          <w:szCs w:val="24"/>
        </w:rPr>
        <w:t>，提高對年輕人的宣導效果：</w:t>
      </w:r>
      <w:r w:rsidRPr="009D11AD">
        <w:rPr>
          <w:rFonts w:hAnsi="標楷體" w:hint="eastAsia"/>
          <w:spacing w:val="-2"/>
          <w:sz w:val="24"/>
          <w:szCs w:val="24"/>
        </w:rPr>
        <w:t>根據</w:t>
      </w:r>
      <w:r w:rsidR="00A449B7" w:rsidRPr="00CE57F9">
        <w:rPr>
          <w:rFonts w:hAnsi="標楷體"/>
          <w:spacing w:val="-2"/>
          <w:sz w:val="24"/>
          <w:szCs w:val="24"/>
        </w:rPr>
        <w:t>112年3月30日出版第1371期</w:t>
      </w:r>
      <w:r w:rsidRPr="009D11AD">
        <w:rPr>
          <w:rFonts w:hAnsi="標楷體" w:hint="eastAsia"/>
          <w:sz w:val="24"/>
          <w:szCs w:val="24"/>
        </w:rPr>
        <w:t>《今周刊》「2023年台灣婚育意願大調查」結果</w:t>
      </w:r>
      <w:r w:rsidRPr="009D11AD">
        <w:rPr>
          <w:rFonts w:hAnsi="標楷體" w:cs="Segoe UI" w:hint="eastAsia"/>
          <w:sz w:val="24"/>
          <w:szCs w:val="24"/>
        </w:rPr>
        <w:t>，未婚女性無意願結婚或生育之比率為54.09％、</w:t>
      </w:r>
      <w:r w:rsidRPr="009D11AD">
        <w:rPr>
          <w:rFonts w:hAnsi="標楷體" w:cs="Segoe UI"/>
          <w:sz w:val="24"/>
          <w:szCs w:val="24"/>
        </w:rPr>
        <w:t>57.02</w:t>
      </w:r>
      <w:r w:rsidRPr="009D11AD">
        <w:rPr>
          <w:rFonts w:hAnsi="標楷體" w:cs="Segoe UI" w:hint="eastAsia"/>
          <w:sz w:val="24"/>
          <w:szCs w:val="24"/>
        </w:rPr>
        <w:t>％，均較未婚男性之30.42％、</w:t>
      </w:r>
      <w:r w:rsidRPr="009D11AD">
        <w:rPr>
          <w:rFonts w:hAnsi="標楷體" w:cs="Segoe UI"/>
          <w:sz w:val="24"/>
          <w:szCs w:val="24"/>
        </w:rPr>
        <w:t>38.78</w:t>
      </w:r>
      <w:r w:rsidRPr="009D11AD">
        <w:rPr>
          <w:rFonts w:hAnsi="標楷體" w:cs="Segoe UI" w:hint="eastAsia"/>
          <w:sz w:val="24"/>
          <w:szCs w:val="24"/>
        </w:rPr>
        <w:t>％，高約20個百分點；衛生福利部1</w:t>
      </w:r>
      <w:r w:rsidRPr="009D11AD">
        <w:rPr>
          <w:rFonts w:hAnsi="標楷體" w:cs="Segoe UI"/>
          <w:sz w:val="24"/>
          <w:szCs w:val="24"/>
        </w:rPr>
        <w:t>08</w:t>
      </w:r>
      <w:r w:rsidRPr="009D11AD">
        <w:rPr>
          <w:rFonts w:hAnsi="標楷體" w:cs="Segoe UI" w:hint="eastAsia"/>
          <w:sz w:val="24"/>
          <w:szCs w:val="24"/>
        </w:rPr>
        <w:t>年「1</w:t>
      </w:r>
      <w:r w:rsidRPr="009D11AD">
        <w:rPr>
          <w:rFonts w:hAnsi="標楷體" w:cs="Segoe UI"/>
          <w:sz w:val="24"/>
          <w:szCs w:val="24"/>
        </w:rPr>
        <w:t>5-64</w:t>
      </w:r>
      <w:r w:rsidRPr="009D11AD">
        <w:rPr>
          <w:rFonts w:hAnsi="標楷體" w:cs="Segoe UI" w:hint="eastAsia"/>
          <w:sz w:val="24"/>
          <w:szCs w:val="24"/>
        </w:rPr>
        <w:t>歲婦女生活狀況調查報告」載述，有配偶（同居伴侶）之婦女每日從事家內無酬照顧平均時數為4</w:t>
      </w:r>
      <w:r w:rsidRPr="009D11AD">
        <w:rPr>
          <w:rFonts w:hAnsi="標楷體" w:cs="Segoe UI"/>
          <w:sz w:val="24"/>
          <w:szCs w:val="24"/>
        </w:rPr>
        <w:t>.32</w:t>
      </w:r>
      <w:r w:rsidRPr="009D11AD">
        <w:rPr>
          <w:rFonts w:hAnsi="標楷體" w:cs="Segoe UI" w:hint="eastAsia"/>
          <w:sz w:val="24"/>
          <w:szCs w:val="24"/>
        </w:rPr>
        <w:t>小時，約為其配偶（同居伴侶）1</w:t>
      </w:r>
      <w:r w:rsidRPr="009D11AD">
        <w:rPr>
          <w:rFonts w:hAnsi="標楷體" w:cs="Segoe UI"/>
          <w:sz w:val="24"/>
          <w:szCs w:val="24"/>
        </w:rPr>
        <w:t>.46</w:t>
      </w:r>
      <w:r w:rsidRPr="009D11AD">
        <w:rPr>
          <w:rFonts w:hAnsi="標楷體" w:cs="Segoe UI" w:hint="eastAsia"/>
          <w:sz w:val="24"/>
          <w:szCs w:val="24"/>
        </w:rPr>
        <w:t>小時之3倍，顯示兩性在婚育意願上存在顯著差異，且家庭照顧負擔性別不平等，有賴家庭教育形塑國人婚育價值觀，</w:t>
      </w:r>
      <w:r w:rsidRPr="00CE57F9">
        <w:rPr>
          <w:rFonts w:hAnsi="標楷體" w:cs="Segoe UI" w:hint="eastAsia"/>
          <w:sz w:val="24"/>
          <w:szCs w:val="24"/>
        </w:rPr>
        <w:t>並破除家庭性別角色刻板觀念。</w:t>
      </w:r>
      <w:r w:rsidRPr="009D11AD">
        <w:rPr>
          <w:rFonts w:hAnsi="標楷體" w:cs="Segoe UI" w:hint="eastAsia"/>
          <w:sz w:val="24"/>
          <w:szCs w:val="24"/>
        </w:rPr>
        <w:t>經查十二年國民基本教育課程綱要將家庭教育融入生活課程、綜合活動、社會、健康與體育、語文、數學及藝術等領域課程，探討家庭的組成、發展與變化、</w:t>
      </w:r>
      <w:r w:rsidRPr="009D11AD">
        <w:rPr>
          <w:rFonts w:hAnsi="標楷體" w:cs="Segoe UI"/>
          <w:sz w:val="24"/>
          <w:szCs w:val="24"/>
        </w:rPr>
        <w:t>人際互動與親密關係發展</w:t>
      </w:r>
      <w:r w:rsidRPr="009D11AD">
        <w:rPr>
          <w:rFonts w:hAnsi="標楷體" w:cs="Segoe UI" w:hint="eastAsia"/>
          <w:sz w:val="24"/>
          <w:szCs w:val="24"/>
        </w:rPr>
        <w:t>等主題，教育部為協助教師落實家庭教育融入課程，業委請國立臺灣師範大學辦理「高級中等以下學校及幼兒園家庭教育教學示例研編及培訓計畫」，於111年1月31日完成家庭教育議題教學示例手冊（共5</w:t>
      </w:r>
      <w:r w:rsidR="00E9304D">
        <w:rPr>
          <w:rFonts w:hAnsi="標楷體" w:cs="Segoe UI" w:hint="eastAsia"/>
          <w:sz w:val="24"/>
          <w:szCs w:val="24"/>
        </w:rPr>
        <w:t>冊）提供教</w:t>
      </w:r>
      <w:r w:rsidR="00E9304D" w:rsidRPr="00CE57F9">
        <w:rPr>
          <w:rFonts w:hAnsi="標楷體" w:cs="Segoe UI" w:hint="eastAsia"/>
          <w:sz w:val="24"/>
          <w:szCs w:val="24"/>
        </w:rPr>
        <w:t>師教學參考</w:t>
      </w:r>
      <w:r w:rsidRPr="00CE57F9">
        <w:rPr>
          <w:rFonts w:hAnsi="標楷體" w:cs="Segoe UI" w:hint="eastAsia"/>
          <w:sz w:val="24"/>
          <w:szCs w:val="24"/>
        </w:rPr>
        <w:t>。</w:t>
      </w:r>
      <w:r w:rsidRPr="00DA2751">
        <w:rPr>
          <w:rFonts w:hAnsi="標楷體" w:cs="Segoe UI" w:hint="eastAsia"/>
          <w:sz w:val="24"/>
          <w:szCs w:val="24"/>
        </w:rPr>
        <w:t>又「</w:t>
      </w:r>
      <w:r w:rsidRPr="00DA2751">
        <w:rPr>
          <w:rFonts w:hAnsi="標楷體" w:cs="Segoe UI"/>
          <w:sz w:val="24"/>
          <w:szCs w:val="24"/>
        </w:rPr>
        <w:t>家庭教育</w:t>
      </w:r>
      <w:r w:rsidRPr="00DA2751">
        <w:rPr>
          <w:rFonts w:hAnsi="標楷體" w:cs="Segoe UI" w:hint="eastAsia"/>
          <w:sz w:val="24"/>
          <w:szCs w:val="24"/>
        </w:rPr>
        <w:t>」為少子女化對策計畫工作項目之一，教育部</w:t>
      </w:r>
      <w:r w:rsidRPr="00DA2751">
        <w:rPr>
          <w:rFonts w:hAnsi="標楷體" w:cs="Segoe UI"/>
          <w:sz w:val="24"/>
          <w:szCs w:val="24"/>
        </w:rPr>
        <w:t>111年度編列預算1.52億元，補助市縣政府辦理家庭教育，推動方式包括舉辦活動、研習會、講座</w:t>
      </w:r>
      <w:r w:rsidRPr="00DA2751">
        <w:rPr>
          <w:rFonts w:hAnsi="標楷體" w:cs="Segoe UI" w:hint="eastAsia"/>
          <w:sz w:val="24"/>
          <w:szCs w:val="24"/>
        </w:rPr>
        <w:t>及建置網站學習資源、發放「我和我的孩子︰一本給家長的手冊」、製播宣導節目等；另教育部</w:t>
      </w:r>
      <w:r w:rsidRPr="00DA2751">
        <w:rPr>
          <w:rFonts w:hAnsi="標楷體" w:cs="Segoe UI"/>
          <w:sz w:val="24"/>
          <w:szCs w:val="24"/>
        </w:rPr>
        <w:t>111年度政</w:t>
      </w:r>
      <w:r w:rsidRPr="00DA2751">
        <w:rPr>
          <w:rFonts w:hAnsi="標楷體" w:hint="eastAsia"/>
          <w:sz w:val="24"/>
          <w:szCs w:val="24"/>
        </w:rPr>
        <w:t>策及業務宣導經費用於家庭教育相關者，計</w:t>
      </w:r>
      <w:r w:rsidRPr="00DA2751">
        <w:rPr>
          <w:rFonts w:hAnsi="標楷體"/>
          <w:sz w:val="24"/>
          <w:szCs w:val="24"/>
        </w:rPr>
        <w:t>58萬餘元，辦理「我和我的孩子親職手冊宣傳」、「家庭教育網懶人包」等，</w:t>
      </w:r>
      <w:r w:rsidRPr="00DA2751">
        <w:rPr>
          <w:rFonts w:hAnsi="標楷體" w:cs="Segoe UI" w:hint="eastAsia"/>
          <w:sz w:val="24"/>
          <w:szCs w:val="24"/>
        </w:rPr>
        <w:t>宣導方式以刊登於該部「終身學習ｅ起來」</w:t>
      </w:r>
      <w:r w:rsidRPr="00DA2751">
        <w:rPr>
          <w:rFonts w:hAnsi="標楷體" w:cs="Segoe UI"/>
          <w:sz w:val="24"/>
          <w:szCs w:val="24"/>
        </w:rPr>
        <w:t>Facebook粉絲專頁為主</w:t>
      </w:r>
      <w:r w:rsidR="00A449B7" w:rsidRPr="00CE57F9">
        <w:rPr>
          <w:rFonts w:hAnsi="標楷體" w:cs="Segoe UI" w:hint="eastAsia"/>
          <w:sz w:val="24"/>
          <w:szCs w:val="24"/>
        </w:rPr>
        <w:t>。</w:t>
      </w:r>
      <w:r w:rsidRPr="00DA2751">
        <w:rPr>
          <w:rFonts w:hAnsi="標楷體" w:cs="Segoe UI"/>
          <w:sz w:val="24"/>
          <w:szCs w:val="24"/>
        </w:rPr>
        <w:t>惟上開推動方式能否吸引年輕族群主動參與活動、運用學習資源，或將宣導資訊有效傳達至目標族群，並無相關統計分析。隨著科技發展，社群媒體已成為資訊傳播重要管道，根據</w:t>
      </w:r>
      <w:r w:rsidRPr="00DA2751">
        <w:rPr>
          <w:rFonts w:hAnsi="標楷體" w:cs="Segoe UI" w:hint="eastAsia"/>
          <w:sz w:val="24"/>
          <w:szCs w:val="24"/>
        </w:rPr>
        <w:t>民間顧問公司</w:t>
      </w:r>
      <w:r w:rsidRPr="00DA2751">
        <w:rPr>
          <w:rFonts w:hAnsi="標楷體" w:cs="Segoe UI"/>
          <w:sz w:val="24"/>
          <w:szCs w:val="24"/>
        </w:rPr>
        <w:t>We are social於2023年調查臺灣</w:t>
      </w:r>
      <w:r w:rsidRPr="00DA2751">
        <w:rPr>
          <w:rFonts w:hAnsi="標楷體" w:cs="Segoe UI" w:hint="eastAsia"/>
          <w:sz w:val="24"/>
          <w:szCs w:val="24"/>
        </w:rPr>
        <w:t>數位使用情形</w:t>
      </w:r>
      <w:r w:rsidRPr="00DA2751">
        <w:rPr>
          <w:rFonts w:hAnsi="標楷體" w:cs="Segoe UI"/>
          <w:sz w:val="24"/>
          <w:szCs w:val="24"/>
        </w:rPr>
        <w:t>，臺灣社群平臺用戶已</w:t>
      </w:r>
      <w:r w:rsidRPr="00DA2751">
        <w:rPr>
          <w:rFonts w:hAnsi="標楷體" w:cs="Segoe UI" w:hint="eastAsia"/>
          <w:sz w:val="24"/>
          <w:szCs w:val="24"/>
        </w:rPr>
        <w:t>逾全國人口總數</w:t>
      </w:r>
      <w:r w:rsidRPr="00DA2751">
        <w:rPr>
          <w:rFonts w:hAnsi="標楷體" w:cs="Segoe UI"/>
          <w:sz w:val="24"/>
          <w:szCs w:val="24"/>
        </w:rPr>
        <w:t>8成，較常使用的社群平</w:t>
      </w:r>
      <w:r w:rsidRPr="00DA2751">
        <w:rPr>
          <w:rFonts w:hAnsi="標楷體" w:cs="Segoe UI" w:hint="eastAsia"/>
          <w:sz w:val="24"/>
          <w:szCs w:val="24"/>
        </w:rPr>
        <w:t>臺</w:t>
      </w:r>
      <w:r w:rsidRPr="00DA2751">
        <w:rPr>
          <w:rFonts w:hAnsi="標楷體" w:cs="Segoe UI"/>
          <w:sz w:val="24"/>
          <w:szCs w:val="24"/>
        </w:rPr>
        <w:t>為LINE（90.7</w:t>
      </w:r>
      <w:r w:rsidRPr="00DA2751">
        <w:rPr>
          <w:rFonts w:hAnsi="標楷體" w:cs="Segoe UI" w:hint="eastAsia"/>
          <w:sz w:val="24"/>
          <w:szCs w:val="24"/>
        </w:rPr>
        <w:t>％</w:t>
      </w:r>
      <w:r w:rsidRPr="00DA2751">
        <w:rPr>
          <w:rFonts w:hAnsi="標楷體" w:cs="Segoe UI"/>
          <w:sz w:val="24"/>
          <w:szCs w:val="24"/>
        </w:rPr>
        <w:t>）、Facebook（85.3</w:t>
      </w:r>
      <w:r w:rsidRPr="00DA2751">
        <w:rPr>
          <w:rFonts w:hAnsi="標楷體" w:cs="Segoe UI" w:hint="eastAsia"/>
          <w:sz w:val="24"/>
          <w:szCs w:val="24"/>
        </w:rPr>
        <w:t>％</w:t>
      </w:r>
      <w:r w:rsidRPr="00DA2751">
        <w:rPr>
          <w:rFonts w:hAnsi="標楷體" w:cs="Segoe UI"/>
          <w:sz w:val="24"/>
          <w:szCs w:val="24"/>
        </w:rPr>
        <w:t>）、Instagram（65.3</w:t>
      </w:r>
      <w:r w:rsidRPr="00DA2751">
        <w:rPr>
          <w:rFonts w:hAnsi="標楷體" w:cs="Segoe UI" w:hint="eastAsia"/>
          <w:sz w:val="24"/>
          <w:szCs w:val="24"/>
        </w:rPr>
        <w:t>％）</w:t>
      </w:r>
      <w:r w:rsidRPr="00DA2751">
        <w:rPr>
          <w:rFonts w:hAnsi="標楷體" w:cs="Segoe UI"/>
          <w:sz w:val="24"/>
          <w:szCs w:val="24"/>
        </w:rPr>
        <w:t>、Messenger（60.3</w:t>
      </w:r>
      <w:r w:rsidRPr="00DA2751">
        <w:rPr>
          <w:rFonts w:hAnsi="標楷體" w:cs="Segoe UI" w:hint="eastAsia"/>
          <w:sz w:val="24"/>
          <w:szCs w:val="24"/>
        </w:rPr>
        <w:t>％</w:t>
      </w:r>
      <w:r w:rsidRPr="00DA2751">
        <w:rPr>
          <w:rFonts w:hAnsi="標楷體" w:cs="Segoe UI"/>
          <w:sz w:val="24"/>
          <w:szCs w:val="24"/>
        </w:rPr>
        <w:t>）</w:t>
      </w:r>
      <w:r w:rsidRPr="00DA2751">
        <w:rPr>
          <w:rFonts w:hAnsi="標楷體" w:cs="Segoe UI" w:hint="eastAsia"/>
          <w:sz w:val="24"/>
          <w:szCs w:val="24"/>
        </w:rPr>
        <w:t>；另相關資料顯示，社群</w:t>
      </w:r>
      <w:r w:rsidRPr="00DA2751">
        <w:rPr>
          <w:rFonts w:hAnsi="標楷體" w:cs="Segoe UI"/>
          <w:sz w:val="24"/>
          <w:szCs w:val="24"/>
        </w:rPr>
        <w:t>平臺</w:t>
      </w:r>
      <w:r w:rsidRPr="00DA2751">
        <w:rPr>
          <w:rFonts w:hAnsi="標楷體" w:cs="Segoe UI" w:hint="eastAsia"/>
          <w:sz w:val="24"/>
          <w:szCs w:val="24"/>
        </w:rPr>
        <w:t>使用者之年齡結構隨著時間異動。</w:t>
      </w:r>
      <w:r w:rsidRPr="00DA2751">
        <w:rPr>
          <w:rFonts w:hAnsi="標楷體" w:hint="eastAsia"/>
          <w:sz w:val="24"/>
          <w:szCs w:val="24"/>
        </w:rPr>
        <w:t>鑑於</w:t>
      </w:r>
      <w:r w:rsidRPr="00DA2751">
        <w:rPr>
          <w:rFonts w:hAnsi="標楷體" w:cs="Segoe UI" w:hint="eastAsia"/>
          <w:sz w:val="24"/>
          <w:szCs w:val="24"/>
        </w:rPr>
        <w:t>形塑年輕人重視家庭功能的婚育價值觀，為翻轉少子女化之關鍵因素之一，家庭教育扮演重要角色，政府推動及宣導家庭教育，除上開家庭教育議題教學示例手冊、親職手冊外，允宜跨部會研議增加宣導方式及內容之多樣性，並依據數位發展趨勢善用</w:t>
      </w:r>
      <w:r w:rsidRPr="00DA2751">
        <w:rPr>
          <w:rFonts w:hAnsi="標楷體" w:cs="Segoe UI"/>
          <w:sz w:val="24"/>
          <w:szCs w:val="24"/>
        </w:rPr>
        <w:t>社群</w:t>
      </w:r>
      <w:r w:rsidRPr="00DA2751">
        <w:rPr>
          <w:rFonts w:hAnsi="標楷體" w:cs="Segoe UI" w:hint="eastAsia"/>
          <w:sz w:val="24"/>
          <w:szCs w:val="24"/>
        </w:rPr>
        <w:t>媒體，針對不同年齡階段、性別、婚姻狀態等不同目標群眾，選擇目標群眾常用平臺及設計宣導內容，以達到更好的宣導效果，導引年輕人重視婚育價值。</w:t>
      </w:r>
    </w:p>
    <w:p w14:paraId="14CB32A6" w14:textId="387FF495" w:rsidR="00495B90" w:rsidRDefault="00F3518A" w:rsidP="00DA2751">
      <w:pPr>
        <w:pStyle w:val="2"/>
        <w:overflowPunct w:val="0"/>
        <w:spacing w:line="460" w:lineRule="exact"/>
        <w:ind w:left="0" w:firstLineChars="200" w:firstLine="561"/>
        <w:rPr>
          <w:rFonts w:hAnsi="標楷體"/>
          <w:b/>
          <w:color w:val="000000" w:themeColor="text1"/>
          <w:spacing w:val="-2"/>
          <w:sz w:val="28"/>
          <w:szCs w:val="28"/>
        </w:rPr>
      </w:pPr>
      <w:r w:rsidRPr="009D11AD">
        <w:rPr>
          <w:rFonts w:hAnsi="標楷體" w:hint="eastAsia"/>
          <w:b/>
          <w:color w:val="000000" w:themeColor="text1"/>
          <w:sz w:val="28"/>
          <w:szCs w:val="28"/>
        </w:rPr>
        <w:t>（四</w:t>
      </w:r>
      <w:r w:rsidR="00B563C6" w:rsidRPr="009D11AD">
        <w:rPr>
          <w:rFonts w:hAnsi="標楷體" w:hint="eastAsia"/>
          <w:b/>
          <w:color w:val="000000" w:themeColor="text1"/>
          <w:sz w:val="28"/>
          <w:szCs w:val="28"/>
        </w:rPr>
        <w:t xml:space="preserve">）　</w:t>
      </w:r>
      <w:r w:rsidR="009C702A" w:rsidRPr="00CE57F9">
        <w:rPr>
          <w:rFonts w:hAnsi="標楷體" w:hint="eastAsia"/>
          <w:b/>
          <w:color w:val="000000" w:themeColor="text1"/>
          <w:sz w:val="28"/>
          <w:szCs w:val="28"/>
        </w:rPr>
        <w:t>政府為改善所得分配推動多項因應對策，惟受僱人員報酬占GDP比率創10年新低，復以部分上市櫃公司獲利成長與員工福利待遇提升存有落差，又受通貨膨脹影響，民生消費物資價格上漲，兼以房價連年攀升，加劇可支配所得差距，允宜持續推動各項政策，逐步減緩所得分配不均。</w:t>
      </w:r>
    </w:p>
    <w:p w14:paraId="12DFA40A" w14:textId="7FE19753" w:rsidR="009A222B" w:rsidRPr="009D11AD" w:rsidRDefault="000B1D61" w:rsidP="004F4A42">
      <w:pPr>
        <w:pStyle w:val="affb"/>
        <w:kinsoku/>
        <w:overflowPunct w:val="0"/>
        <w:adjustRightInd/>
        <w:snapToGrid w:val="0"/>
        <w:spacing w:line="460" w:lineRule="exact"/>
        <w:ind w:left="0" w:firstLineChars="200" w:firstLine="640"/>
        <w:jc w:val="both"/>
        <w:rPr>
          <w:rFonts w:hAnsi="標楷體"/>
          <w:color w:val="FF0000"/>
          <w:sz w:val="24"/>
          <w:szCs w:val="24"/>
        </w:rPr>
      </w:pPr>
      <w:r w:rsidRPr="00CB70AA">
        <w:rPr>
          <w:rFonts w:hAnsi="Arial"/>
          <w:noProof/>
          <w:szCs w:val="48"/>
        </w:rPr>
        <w:lastRenderedPageBreak/>
        <mc:AlternateContent>
          <mc:Choice Requires="wps">
            <w:drawing>
              <wp:anchor distT="0" distB="0" distL="114300" distR="114300" simplePos="0" relativeHeight="251659776" behindDoc="0" locked="0" layoutInCell="1" allowOverlap="1" wp14:anchorId="41350A8F" wp14:editId="2B18D59D">
                <wp:simplePos x="0" y="0"/>
                <wp:positionH relativeFrom="margin">
                  <wp:posOffset>1948069</wp:posOffset>
                </wp:positionH>
                <wp:positionV relativeFrom="paragraph">
                  <wp:posOffset>1836282</wp:posOffset>
                </wp:positionV>
                <wp:extent cx="4351655" cy="2286000"/>
                <wp:effectExtent l="0" t="0" r="0" b="0"/>
                <wp:wrapSquare wrapText="bothSides"/>
                <wp:docPr id="1" name="文字方塊 1"/>
                <wp:cNvGraphicFramePr/>
                <a:graphic xmlns:a="http://schemas.openxmlformats.org/drawingml/2006/main">
                  <a:graphicData uri="http://schemas.microsoft.com/office/word/2010/wordprocessingShape">
                    <wps:wsp>
                      <wps:cNvSpPr txBox="1"/>
                      <wps:spPr>
                        <a:xfrm>
                          <a:off x="0" y="0"/>
                          <a:ext cx="4351655" cy="2286000"/>
                        </a:xfrm>
                        <a:prstGeom prst="rect">
                          <a:avLst/>
                        </a:prstGeom>
                        <a:solidFill>
                          <a:srgbClr val="FFFFFF"/>
                        </a:solidFill>
                        <a:ln w="6350">
                          <a:noFill/>
                        </a:ln>
                      </wps:spPr>
                      <wps:txbx>
                        <w:txbxContent>
                          <w:p w14:paraId="7E04E83D" w14:textId="77777777" w:rsidR="00CE57F9" w:rsidRPr="007C34A1" w:rsidRDefault="00CE57F9" w:rsidP="000B1D61">
                            <w:pPr>
                              <w:spacing w:line="300" w:lineRule="exact"/>
                              <w:jc w:val="center"/>
                              <w:rPr>
                                <w:rFonts w:ascii="標楷體" w:eastAsia="標楷體" w:hAnsi="標楷體"/>
                                <w:b/>
                                <w:szCs w:val="24"/>
                              </w:rPr>
                            </w:pPr>
                            <w:r w:rsidRPr="00574248">
                              <w:rPr>
                                <w:rFonts w:ascii="標楷體" w:eastAsia="標楷體" w:hAnsi="標楷體"/>
                                <w:b/>
                                <w:color w:val="000000" w:themeColor="text1"/>
                                <w:szCs w:val="24"/>
                              </w:rPr>
                              <w:t>圖3</w:t>
                            </w:r>
                            <w:r>
                              <w:rPr>
                                <w:rFonts w:ascii="標楷體" w:eastAsia="標楷體" w:hAnsi="標楷體"/>
                                <w:b/>
                                <w:szCs w:val="24"/>
                              </w:rPr>
                              <w:t xml:space="preserve">　</w:t>
                            </w:r>
                            <w:r w:rsidRPr="00CE57F9">
                              <w:rPr>
                                <w:rFonts w:ascii="標楷體" w:eastAsia="標楷體" w:hAnsi="標楷體"/>
                                <w:b/>
                                <w:szCs w:val="24"/>
                              </w:rPr>
                              <w:t>所得分配變動趨勢</w:t>
                            </w:r>
                          </w:p>
                          <w:p w14:paraId="1D4E6C97" w14:textId="77777777" w:rsidR="00CE57F9" w:rsidRPr="0013632D" w:rsidRDefault="00CE57F9" w:rsidP="000B1D61">
                            <w:pPr>
                              <w:jc w:val="both"/>
                              <w:rPr>
                                <w:rFonts w:ascii="標楷體" w:eastAsia="標楷體" w:hAnsi="標楷體"/>
                                <w:sz w:val="20"/>
                              </w:rPr>
                            </w:pPr>
                            <w:r>
                              <w:rPr>
                                <w:noProof/>
                              </w:rPr>
                              <w:drawing>
                                <wp:inline distT="0" distB="0" distL="0" distR="0" wp14:anchorId="33A4484F" wp14:editId="4076C5CE">
                                  <wp:extent cx="4162425" cy="1790700"/>
                                  <wp:effectExtent l="0" t="0" r="0" b="0"/>
                                  <wp:docPr id="3" name="圖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4A89D38" w14:textId="77777777" w:rsidR="00CE57F9" w:rsidRPr="00C108AE" w:rsidRDefault="00CE57F9" w:rsidP="000B1D61">
                            <w:pPr>
                              <w:spacing w:line="240" w:lineRule="exact"/>
                              <w:ind w:leftChars="100" w:left="240"/>
                              <w:jc w:val="both"/>
                              <w:rPr>
                                <w:rFonts w:ascii="標楷體" w:eastAsia="標楷體" w:hAnsi="標楷體"/>
                                <w:sz w:val="18"/>
                                <w:szCs w:val="18"/>
                              </w:rPr>
                            </w:pPr>
                            <w:r w:rsidRPr="00C108AE">
                              <w:rPr>
                                <w:rFonts w:ascii="標楷體" w:eastAsia="標楷體" w:hAnsi="標楷體"/>
                                <w:sz w:val="18"/>
                                <w:szCs w:val="18"/>
                              </w:rPr>
                              <w:t>資料來源：整理自中華民國統計資訊網資料。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350A8F" id="文字方塊 1" o:spid="_x0000_s1029" type="#_x0000_t202" style="position:absolute;left:0;text-align:left;margin-left:153.4pt;margin-top:144.6pt;width:342.65pt;height:180pt;z-index:251659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" stroked="f" strokeweight=".5pt">
                <v:textbox>
                  <w:txbxContent>
                    <w:p w14:paraId="7E04E83D" w14:textId="77777777" w:rsidR="00CE57F9" w:rsidRPr="007C34A1" w:rsidRDefault="00CE57F9" w:rsidP="000B1D61">
                      <w:pPr>
                        <w:spacing w:line="300" w:lineRule="exact"/>
                        <w:jc w:val="center"/>
                        <w:rPr>
                          <w:rFonts w:ascii="標楷體" w:eastAsia="標楷體" w:hAnsi="標楷體"/>
                          <w:b/>
                          <w:szCs w:val="24"/>
                        </w:rPr>
                      </w:pPr>
                      <w:r w:rsidRPr="00574248">
                        <w:rPr>
                          <w:rFonts w:ascii="標楷體" w:eastAsia="標楷體" w:hAnsi="標楷體"/>
                          <w:b/>
                          <w:color w:val="000000" w:themeColor="text1"/>
                          <w:szCs w:val="24"/>
                        </w:rPr>
                        <w:t>圖3</w:t>
                      </w:r>
                      <w:r>
                        <w:rPr>
                          <w:rFonts w:ascii="標楷體" w:eastAsia="標楷體" w:hAnsi="標楷體"/>
                          <w:b/>
                          <w:szCs w:val="24"/>
                        </w:rPr>
                        <w:t xml:space="preserve">　</w:t>
                      </w:r>
                      <w:r w:rsidRPr="00CE57F9">
                        <w:rPr>
                          <w:rFonts w:ascii="標楷體" w:eastAsia="標楷體" w:hAnsi="標楷體"/>
                          <w:b/>
                          <w:szCs w:val="24"/>
                        </w:rPr>
                        <w:t>所得分配變動趨勢</w:t>
                      </w:r>
                    </w:p>
                    <w:p w14:paraId="1D4E6C97" w14:textId="77777777" w:rsidR="00CE57F9" w:rsidRPr="0013632D" w:rsidRDefault="00CE57F9" w:rsidP="000B1D61">
                      <w:pPr>
                        <w:jc w:val="both"/>
                        <w:rPr>
                          <w:rFonts w:ascii="標楷體" w:eastAsia="標楷體" w:hAnsi="標楷體"/>
                          <w:sz w:val="20"/>
                        </w:rPr>
                      </w:pPr>
                      <w:r>
                        <w:rPr>
                          <w:noProof/>
                        </w:rPr>
                        <w:drawing>
                          <wp:inline distT="0" distB="0" distL="0" distR="0" wp14:anchorId="33A4484F" wp14:editId="4076C5CE">
                            <wp:extent cx="4162425" cy="1790700"/>
                            <wp:effectExtent l="0" t="0" r="0" b="0"/>
                            <wp:docPr id="3" name="圖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4A89D38" w14:textId="77777777" w:rsidR="00CE57F9" w:rsidRPr="00C108AE" w:rsidRDefault="00CE57F9" w:rsidP="000B1D61">
                      <w:pPr>
                        <w:spacing w:line="240" w:lineRule="exact"/>
                        <w:ind w:leftChars="100" w:left="240"/>
                        <w:jc w:val="both"/>
                        <w:rPr>
                          <w:rFonts w:ascii="標楷體" w:eastAsia="標楷體" w:hAnsi="標楷體"/>
                          <w:sz w:val="18"/>
                          <w:szCs w:val="18"/>
                        </w:rPr>
                      </w:pPr>
                      <w:r w:rsidRPr="00C108AE">
                        <w:rPr>
                          <w:rFonts w:ascii="標楷體" w:eastAsia="標楷體" w:hAnsi="標楷體"/>
                          <w:sz w:val="18"/>
                          <w:szCs w:val="18"/>
                        </w:rPr>
                        <w:t>資料來源：整理自中華民國統計資訊網資料。</w:t>
                      </w:r>
                    </w:p>
                  </w:txbxContent>
                </v:textbox>
                <w10:wrap type="square" anchorx="margin"/>
              </v:shape>
            </w:pict>
          </mc:Fallback>
        </mc:AlternateContent>
      </w:r>
      <w:r w:rsidR="009A222B" w:rsidRPr="00CB70AA">
        <w:rPr>
          <w:rFonts w:hAnsi="標楷體"/>
          <w:sz w:val="24"/>
          <w:szCs w:val="24"/>
        </w:rPr>
        <w:t>行政院鑑於97年金融海嘯重創國內外景氣，98年家庭所得差距數擴大為6.34倍，於99</w:t>
      </w:r>
      <w:r w:rsidR="009A222B" w:rsidRPr="009D11AD">
        <w:rPr>
          <w:rFonts w:hAnsi="標楷體"/>
          <w:sz w:val="24"/>
          <w:szCs w:val="24"/>
        </w:rPr>
        <w:t>年8月成立「行政院改善所得分配專案小組」，100年2月專案小組會議討論通過「改善所得分配具體方案」之</w:t>
      </w:r>
      <w:r w:rsidR="009A222B" w:rsidRPr="009D11AD">
        <w:rPr>
          <w:rFonts w:hAnsi="標楷體" w:hint="eastAsia"/>
          <w:sz w:val="24"/>
          <w:szCs w:val="24"/>
        </w:rPr>
        <w:t>短、中、長期</w:t>
      </w:r>
      <w:r w:rsidR="009A222B" w:rsidRPr="009D11AD">
        <w:rPr>
          <w:rFonts w:hAnsi="標楷體"/>
          <w:sz w:val="24"/>
          <w:szCs w:val="24"/>
        </w:rPr>
        <w:t>七大策略，透過專案小組定期追蹤及評估</w:t>
      </w:r>
      <w:r w:rsidR="009A222B" w:rsidRPr="009D11AD">
        <w:rPr>
          <w:rFonts w:hAnsi="標楷體" w:hint="eastAsia"/>
          <w:sz w:val="24"/>
          <w:szCs w:val="24"/>
        </w:rPr>
        <w:t>方案</w:t>
      </w:r>
      <w:r w:rsidR="009A222B" w:rsidRPr="009D11AD">
        <w:rPr>
          <w:rFonts w:hAnsi="標楷體"/>
          <w:sz w:val="24"/>
          <w:szCs w:val="24"/>
        </w:rPr>
        <w:t>執行成果，滾動檢討修正，</w:t>
      </w:r>
      <w:r w:rsidR="009A222B" w:rsidRPr="009D11AD">
        <w:rPr>
          <w:rFonts w:hAnsi="標楷體" w:hint="eastAsia"/>
          <w:sz w:val="24"/>
          <w:szCs w:val="24"/>
        </w:rPr>
        <w:t>國家發展委員會並</w:t>
      </w:r>
      <w:r w:rsidR="009A222B" w:rsidRPr="009D11AD">
        <w:rPr>
          <w:rFonts w:hAnsi="標楷體"/>
          <w:sz w:val="24"/>
          <w:szCs w:val="24"/>
        </w:rPr>
        <w:t>於106年9月公布3年期</w:t>
      </w:r>
      <w:r w:rsidR="00D441FD" w:rsidRPr="009D11AD">
        <w:rPr>
          <w:rFonts w:hAnsi="標楷體"/>
          <w:sz w:val="24"/>
          <w:szCs w:val="24"/>
        </w:rPr>
        <w:t>（</w:t>
      </w:r>
      <w:r w:rsidR="009A222B" w:rsidRPr="009D11AD">
        <w:rPr>
          <w:rFonts w:hAnsi="標楷體"/>
          <w:sz w:val="24"/>
          <w:szCs w:val="24"/>
        </w:rPr>
        <w:t>107至109年</w:t>
      </w:r>
      <w:r w:rsidR="009A222B" w:rsidRPr="009D11AD">
        <w:rPr>
          <w:rFonts w:hAnsi="標楷體" w:hint="eastAsia"/>
          <w:sz w:val="24"/>
          <w:szCs w:val="24"/>
        </w:rPr>
        <w:t>）</w:t>
      </w:r>
      <w:r w:rsidR="009A222B" w:rsidRPr="009D11AD">
        <w:rPr>
          <w:rFonts w:hAnsi="標楷體"/>
          <w:sz w:val="24"/>
          <w:szCs w:val="24"/>
        </w:rPr>
        <w:t>改善所得</w:t>
      </w:r>
      <w:r w:rsidR="009A222B" w:rsidRPr="009D11AD">
        <w:rPr>
          <w:rFonts w:hAnsi="標楷體" w:hint="eastAsia"/>
          <w:sz w:val="24"/>
          <w:szCs w:val="24"/>
        </w:rPr>
        <w:t>分配</w:t>
      </w:r>
      <w:r w:rsidR="009A222B" w:rsidRPr="009D11AD">
        <w:rPr>
          <w:rFonts w:hAnsi="標楷體"/>
          <w:sz w:val="24"/>
          <w:szCs w:val="24"/>
        </w:rPr>
        <w:t>具體方案，包含社福策略、就學及就業策略、薪資策略、租稅策略4大關鍵面向，強化弱勢照顧及自立脫貧等13項政策措施</w:t>
      </w:r>
      <w:r w:rsidR="009A222B" w:rsidRPr="009D11AD">
        <w:rPr>
          <w:rFonts w:hAnsi="標楷體" w:hint="eastAsia"/>
          <w:sz w:val="24"/>
          <w:szCs w:val="24"/>
        </w:rPr>
        <w:t>及</w:t>
      </w:r>
      <w:r w:rsidR="009A222B" w:rsidRPr="009D11AD">
        <w:rPr>
          <w:rFonts w:hAnsi="標楷體"/>
          <w:sz w:val="24"/>
          <w:szCs w:val="24"/>
        </w:rPr>
        <w:t>36項重點工作項目</w:t>
      </w:r>
      <w:r w:rsidR="009A222B" w:rsidRPr="009D11AD">
        <w:rPr>
          <w:rFonts w:hAnsi="標楷體" w:hint="eastAsia"/>
          <w:sz w:val="24"/>
          <w:szCs w:val="24"/>
        </w:rPr>
        <w:t>；嗣為</w:t>
      </w:r>
      <w:r w:rsidR="009A222B" w:rsidRPr="009D11AD">
        <w:rPr>
          <w:rFonts w:hAnsi="標楷體"/>
          <w:sz w:val="24"/>
          <w:szCs w:val="24"/>
        </w:rPr>
        <w:t>簡化行政程序</w:t>
      </w:r>
      <w:r w:rsidR="009A222B" w:rsidRPr="009D11AD">
        <w:rPr>
          <w:rFonts w:hAnsi="標楷體" w:hint="eastAsia"/>
          <w:sz w:val="24"/>
          <w:szCs w:val="24"/>
        </w:rPr>
        <w:t>，</w:t>
      </w:r>
      <w:r w:rsidR="009A222B" w:rsidRPr="009D11AD">
        <w:rPr>
          <w:rFonts w:hAnsi="標楷體"/>
          <w:sz w:val="24"/>
          <w:szCs w:val="24"/>
        </w:rPr>
        <w:t>於107年8月核定停止適用</w:t>
      </w:r>
      <w:r w:rsidR="009A222B" w:rsidRPr="009D11AD">
        <w:rPr>
          <w:rFonts w:hAnsi="標楷體" w:hint="eastAsia"/>
          <w:sz w:val="24"/>
          <w:szCs w:val="24"/>
        </w:rPr>
        <w:t>該方案，</w:t>
      </w:r>
      <w:r w:rsidR="009A222B" w:rsidRPr="009D11AD">
        <w:rPr>
          <w:rFonts w:hAnsi="標楷體"/>
          <w:sz w:val="24"/>
          <w:szCs w:val="24"/>
        </w:rPr>
        <w:t>各項措施回歸各部會持續推動。</w:t>
      </w:r>
      <w:r w:rsidR="00D57831" w:rsidRPr="00CE57F9">
        <w:rPr>
          <w:rFonts w:hAnsi="標楷體" w:hint="eastAsia"/>
          <w:sz w:val="24"/>
          <w:szCs w:val="24"/>
        </w:rPr>
        <w:t>按上開具體方案自</w:t>
      </w:r>
      <w:r w:rsidR="00D57831" w:rsidRPr="00CE57F9">
        <w:rPr>
          <w:rFonts w:hAnsi="標楷體"/>
          <w:sz w:val="24"/>
          <w:szCs w:val="24"/>
        </w:rPr>
        <w:t>100年實施後，我國吉尼係數於101至105年度呈略為起伏及下降趨勢，惟自106年度起反轉且逐年遞增至110年度之0.341（</w:t>
      </w:r>
      <w:r w:rsidR="00D57831" w:rsidRPr="00CE57F9">
        <w:rPr>
          <w:rFonts w:hAnsi="標楷體" w:hint="eastAsia"/>
          <w:sz w:val="24"/>
          <w:szCs w:val="24"/>
        </w:rPr>
        <w:t>圖</w:t>
      </w:r>
      <w:r w:rsidR="00D57831" w:rsidRPr="00CE57F9">
        <w:rPr>
          <w:rFonts w:hAnsi="標楷體"/>
          <w:sz w:val="24"/>
          <w:szCs w:val="24"/>
        </w:rPr>
        <w:t>3</w:t>
      </w:r>
      <w:r w:rsidR="00D57831" w:rsidRPr="00CE57F9">
        <w:rPr>
          <w:rFonts w:hAnsi="標楷體" w:hint="eastAsia"/>
          <w:sz w:val="24"/>
          <w:szCs w:val="24"/>
        </w:rPr>
        <w:t>），所得差距持續擴大。經查政府改善所得分配之相關措施執行情形</w:t>
      </w:r>
      <w:r w:rsidR="009A222B" w:rsidRPr="009D11AD">
        <w:rPr>
          <w:rFonts w:hAnsi="標楷體"/>
          <w:sz w:val="24"/>
          <w:szCs w:val="24"/>
        </w:rPr>
        <w:t>，核有下列事項：</w:t>
      </w:r>
      <w:r w:rsidR="009A222B" w:rsidRPr="009D11AD">
        <w:rPr>
          <w:rFonts w:hAnsi="標楷體"/>
          <w:color w:val="FF0000"/>
          <w:sz w:val="24"/>
          <w:szCs w:val="24"/>
        </w:rPr>
        <w:t xml:space="preserve"> </w:t>
      </w:r>
    </w:p>
    <w:p w14:paraId="57378F28" w14:textId="357ABBCA" w:rsidR="009A222B" w:rsidRPr="00DA2751" w:rsidRDefault="00D57831" w:rsidP="004F4A42">
      <w:pPr>
        <w:overflowPunct w:val="0"/>
        <w:snapToGrid w:val="0"/>
        <w:spacing w:line="460" w:lineRule="exact"/>
        <w:ind w:firstLineChars="450" w:firstLine="1081"/>
        <w:jc w:val="both"/>
        <w:rPr>
          <w:rFonts w:ascii="標楷體" w:eastAsia="標楷體" w:hAnsi="標楷體"/>
          <w:szCs w:val="24"/>
        </w:rPr>
      </w:pPr>
      <w:r w:rsidRPr="00CE57F9">
        <w:rPr>
          <w:rFonts w:ascii="標楷體" w:eastAsia="標楷體" w:hAnsi="標楷體"/>
          <w:b/>
          <w:szCs w:val="24"/>
        </w:rPr>
        <w:t>1</w:t>
      </w:r>
      <w:r w:rsidR="009A222B" w:rsidRPr="00CE57F9">
        <w:rPr>
          <w:rFonts w:ascii="標楷體" w:eastAsia="標楷體" w:hAnsi="標楷體"/>
          <w:b/>
          <w:szCs w:val="24"/>
        </w:rPr>
        <w:t>.</w:t>
      </w:r>
      <w:r w:rsidR="009A222B" w:rsidRPr="00CE57F9">
        <w:rPr>
          <w:rFonts w:ascii="標楷體" w:eastAsia="標楷體" w:hAnsi="標楷體" w:hint="eastAsia"/>
          <w:b/>
          <w:bCs/>
          <w:kern w:val="0"/>
          <w:szCs w:val="24"/>
        </w:rPr>
        <w:t xml:space="preserve">　</w:t>
      </w:r>
      <w:r w:rsidR="004F4A42" w:rsidRPr="00CE57F9">
        <w:rPr>
          <w:rFonts w:ascii="標楷體" w:eastAsia="標楷體" w:hAnsi="標楷體" w:hint="eastAsia"/>
          <w:b/>
          <w:szCs w:val="24"/>
        </w:rPr>
        <w:t>政府移轉收支已縮減所得差距，惟我國五等分位差距倍數持續擴大，且物價及房價雙漲，家戶生活及居住成本連年攀升，加劇可支配所得不均，允宜研議推動穩定民生消費物資及住宅價格政策，研提改善所得分配之有效策略</w:t>
      </w:r>
      <w:r w:rsidR="009A222B" w:rsidRPr="00CE57F9">
        <w:rPr>
          <w:rFonts w:ascii="標楷體" w:eastAsia="標楷體" w:hAnsi="標楷體" w:hint="eastAsia"/>
          <w:b/>
          <w:szCs w:val="24"/>
        </w:rPr>
        <w:t>：</w:t>
      </w:r>
      <w:r w:rsidR="009A222B" w:rsidRPr="00DA2751">
        <w:rPr>
          <w:rFonts w:ascii="標楷體" w:eastAsia="標楷體" w:hAnsi="標楷體"/>
          <w:szCs w:val="24"/>
        </w:rPr>
        <w:t>依行政院主計總處公布之110年家庭收支調查報告，政府移轉收支前</w:t>
      </w:r>
      <w:r w:rsidR="009A222B" w:rsidRPr="00DA2751">
        <w:rPr>
          <w:rFonts w:ascii="標楷體" w:eastAsia="標楷體" w:hAnsi="標楷體" w:hint="eastAsia"/>
          <w:szCs w:val="24"/>
        </w:rPr>
        <w:t>之五</w:t>
      </w:r>
      <w:r w:rsidR="009A222B" w:rsidRPr="00DA2751">
        <w:rPr>
          <w:rFonts w:ascii="標楷體" w:eastAsia="標楷體" w:hAnsi="標楷體"/>
          <w:szCs w:val="24"/>
        </w:rPr>
        <w:t>等分位</w:t>
      </w:r>
      <w:r w:rsidR="009A222B" w:rsidRPr="00DA2751">
        <w:rPr>
          <w:rFonts w:ascii="標楷體" w:eastAsia="標楷體" w:hAnsi="標楷體" w:hint="eastAsia"/>
          <w:szCs w:val="24"/>
        </w:rPr>
        <w:t>所得</w:t>
      </w:r>
      <w:r w:rsidR="009A222B" w:rsidRPr="00DA2751">
        <w:rPr>
          <w:rFonts w:ascii="標楷體" w:eastAsia="標楷體" w:hAnsi="標楷體"/>
          <w:szCs w:val="24"/>
        </w:rPr>
        <w:t>差距倍數7.63倍</w:t>
      </w:r>
      <w:r w:rsidR="009A222B" w:rsidRPr="00DA2751">
        <w:rPr>
          <w:rFonts w:ascii="標楷體" w:eastAsia="標楷體" w:hAnsi="標楷體" w:hint="eastAsia"/>
          <w:szCs w:val="24"/>
        </w:rPr>
        <w:t>，</w:t>
      </w:r>
      <w:r w:rsidR="009A222B" w:rsidRPr="00DA2751">
        <w:rPr>
          <w:rFonts w:ascii="標楷體" w:eastAsia="標楷體" w:hAnsi="標楷體"/>
          <w:szCs w:val="24"/>
        </w:rPr>
        <w:t>經加計來自政府移轉收支重分配效果1.48倍後，下降至6.15</w:t>
      </w:r>
      <w:r w:rsidR="009A222B" w:rsidRPr="00DA2751">
        <w:rPr>
          <w:rFonts w:ascii="標楷體" w:eastAsia="標楷體" w:hAnsi="標楷體" w:hint="eastAsia"/>
          <w:szCs w:val="24"/>
        </w:rPr>
        <w:t>倍</w:t>
      </w:r>
      <w:r w:rsidR="009A222B" w:rsidRPr="00DA2751">
        <w:rPr>
          <w:rFonts w:ascii="標楷體" w:eastAsia="標楷體" w:hAnsi="標楷體"/>
          <w:szCs w:val="24"/>
        </w:rPr>
        <w:t>，</w:t>
      </w:r>
      <w:r w:rsidR="009A222B" w:rsidRPr="00DA2751">
        <w:rPr>
          <w:rFonts w:ascii="標楷體" w:eastAsia="標楷體" w:hAnsi="標楷體" w:hint="eastAsia"/>
          <w:szCs w:val="24"/>
        </w:rPr>
        <w:t>仍</w:t>
      </w:r>
      <w:r w:rsidR="009A222B" w:rsidRPr="00DA2751">
        <w:rPr>
          <w:rFonts w:ascii="標楷體" w:eastAsia="標楷體" w:hAnsi="標楷體"/>
          <w:szCs w:val="24"/>
        </w:rPr>
        <w:t>創101至110年度間之新高。</w:t>
      </w:r>
      <w:r w:rsidR="009A222B" w:rsidRPr="00DA2751">
        <w:rPr>
          <w:rFonts w:ascii="標楷體" w:eastAsia="標楷體" w:hAnsi="標楷體" w:hint="eastAsia"/>
          <w:szCs w:val="24"/>
        </w:rPr>
        <w:t>經運用</w:t>
      </w:r>
      <w:r w:rsidR="009A222B" w:rsidRPr="00DA2751">
        <w:rPr>
          <w:rFonts w:ascii="標楷體" w:eastAsia="標楷體" w:hAnsi="標楷體"/>
          <w:szCs w:val="24"/>
        </w:rPr>
        <w:t>財政部綜合所得稅申報核定統計專冊</w:t>
      </w:r>
      <w:r w:rsidR="009A222B" w:rsidRPr="00DA2751">
        <w:rPr>
          <w:rFonts w:ascii="標楷體" w:eastAsia="標楷體" w:hAnsi="標楷體" w:hint="eastAsia"/>
          <w:szCs w:val="24"/>
        </w:rPr>
        <w:t>，</w:t>
      </w:r>
      <w:r w:rsidR="009A222B" w:rsidRPr="00DA2751">
        <w:rPr>
          <w:rFonts w:ascii="標楷體" w:eastAsia="標楷體" w:hAnsi="標楷體"/>
          <w:szCs w:val="24"/>
        </w:rPr>
        <w:t>分析綜合所得稅申報核定</w:t>
      </w:r>
      <w:r w:rsidR="009A222B" w:rsidRPr="00DA2751">
        <w:rPr>
          <w:rFonts w:ascii="標楷體" w:eastAsia="標楷體" w:hAnsi="標楷體" w:hint="eastAsia"/>
          <w:szCs w:val="24"/>
        </w:rPr>
        <w:t>之所得分配情形</w:t>
      </w:r>
      <w:r w:rsidR="009A222B" w:rsidRPr="00DA2751">
        <w:rPr>
          <w:rFonts w:ascii="標楷體" w:eastAsia="標楷體" w:hAnsi="標楷體"/>
          <w:szCs w:val="24"/>
        </w:rPr>
        <w:t>，109年度所得最高第20分位（</w:t>
      </w:r>
      <w:r w:rsidR="009A222B" w:rsidRPr="00DA2751">
        <w:rPr>
          <w:rFonts w:ascii="標楷體" w:eastAsia="標楷體" w:hAnsi="標楷體" w:hint="eastAsia"/>
          <w:szCs w:val="24"/>
        </w:rPr>
        <w:t>所得</w:t>
      </w:r>
      <w:r w:rsidR="009A222B" w:rsidRPr="00DA2751">
        <w:rPr>
          <w:rFonts w:ascii="標楷體" w:eastAsia="標楷體" w:hAnsi="標楷體"/>
          <w:szCs w:val="24"/>
        </w:rPr>
        <w:t>最高</w:t>
      </w:r>
      <w:r w:rsidR="009A222B" w:rsidRPr="00DA2751">
        <w:rPr>
          <w:rFonts w:ascii="標楷體" w:eastAsia="標楷體" w:hAnsi="標楷體" w:hint="eastAsia"/>
          <w:szCs w:val="24"/>
        </w:rPr>
        <w:t>前</w:t>
      </w:r>
      <w:r w:rsidR="009A222B" w:rsidRPr="00DA2751">
        <w:rPr>
          <w:rFonts w:ascii="標楷體" w:eastAsia="標楷體" w:hAnsi="標楷體"/>
          <w:szCs w:val="24"/>
        </w:rPr>
        <w:t>5％）報稅戶所擁有所得占全部所得</w:t>
      </w:r>
      <w:r w:rsidR="009A222B" w:rsidRPr="00DA2751">
        <w:rPr>
          <w:rFonts w:ascii="標楷體" w:eastAsia="標楷體" w:hAnsi="標楷體" w:hint="eastAsia"/>
          <w:szCs w:val="24"/>
        </w:rPr>
        <w:t>之</w:t>
      </w:r>
      <w:r w:rsidR="009A222B" w:rsidRPr="00DA2751">
        <w:rPr>
          <w:rFonts w:ascii="標楷體" w:eastAsia="標楷體" w:hAnsi="標楷體"/>
          <w:szCs w:val="24"/>
        </w:rPr>
        <w:t>30.46％，較101年度增加5.33個百分點，</w:t>
      </w:r>
      <w:r w:rsidR="009A222B" w:rsidRPr="00DA2751">
        <w:rPr>
          <w:rFonts w:ascii="標楷體" w:eastAsia="標楷體" w:hAnsi="標楷體" w:hint="eastAsia"/>
          <w:szCs w:val="24"/>
        </w:rPr>
        <w:t>顯示</w:t>
      </w:r>
      <w:r w:rsidR="009A222B" w:rsidRPr="00DA2751">
        <w:rPr>
          <w:rFonts w:ascii="標楷體" w:eastAsia="標楷體" w:hAnsi="標楷體"/>
          <w:szCs w:val="24"/>
        </w:rPr>
        <w:t>所得</w:t>
      </w:r>
      <w:r w:rsidR="009A222B" w:rsidRPr="00DA2751">
        <w:rPr>
          <w:rFonts w:ascii="標楷體" w:eastAsia="標楷體" w:hAnsi="標楷體" w:hint="eastAsia"/>
          <w:szCs w:val="24"/>
        </w:rPr>
        <w:t>愈趨集中第</w:t>
      </w:r>
      <w:r w:rsidR="009A222B" w:rsidRPr="00DA2751">
        <w:rPr>
          <w:rFonts w:ascii="標楷體" w:eastAsia="標楷體" w:hAnsi="標楷體"/>
          <w:szCs w:val="24"/>
        </w:rPr>
        <w:t>20分位家庭。按所得總額減去無法自由支配使用之非消費支出後，即為家庭可支配所得，據</w:t>
      </w:r>
      <w:r w:rsidR="00D274C2" w:rsidRPr="00DA2751">
        <w:rPr>
          <w:rFonts w:ascii="標楷體" w:eastAsia="標楷體" w:hAnsi="標楷體" w:hint="eastAsia"/>
          <w:szCs w:val="24"/>
        </w:rPr>
        <w:t>行政院</w:t>
      </w:r>
      <w:r w:rsidR="009A222B" w:rsidRPr="00DA2751">
        <w:rPr>
          <w:rFonts w:ascii="標楷體" w:eastAsia="標楷體" w:hAnsi="標楷體"/>
          <w:szCs w:val="24"/>
        </w:rPr>
        <w:t>主計總處統計，111年度消費者物價指數102.95，漲幅創</w:t>
      </w:r>
      <w:r w:rsidR="009A222B" w:rsidRPr="00DA2751">
        <w:rPr>
          <w:rFonts w:ascii="標楷體" w:eastAsia="標楷體" w:hAnsi="標楷體" w:hint="eastAsia"/>
          <w:szCs w:val="24"/>
        </w:rPr>
        <w:t>近</w:t>
      </w:r>
      <w:r w:rsidR="009A222B" w:rsidRPr="00DA2751">
        <w:rPr>
          <w:rFonts w:ascii="標楷體" w:eastAsia="標楷體" w:hAnsi="標楷體"/>
          <w:szCs w:val="24"/>
        </w:rPr>
        <w:t>14年</w:t>
      </w:r>
      <w:r w:rsidR="008B1D8C" w:rsidRPr="00DA2751">
        <w:rPr>
          <w:rFonts w:ascii="標楷體" w:eastAsia="標楷體" w:hAnsi="標楷體" w:hint="eastAsia"/>
          <w:szCs w:val="24"/>
        </w:rPr>
        <w:t>度</w:t>
      </w:r>
      <w:r w:rsidR="009A222B" w:rsidRPr="00DA2751">
        <w:rPr>
          <w:rFonts w:ascii="標楷體" w:eastAsia="標楷體" w:hAnsi="標楷體"/>
          <w:szCs w:val="24"/>
        </w:rPr>
        <w:t>（98至111年</w:t>
      </w:r>
      <w:r w:rsidR="008B1D8C" w:rsidRPr="00DA2751">
        <w:rPr>
          <w:rFonts w:ascii="標楷體" w:eastAsia="標楷體" w:hAnsi="標楷體" w:hint="eastAsia"/>
          <w:szCs w:val="24"/>
        </w:rPr>
        <w:t>度</w:t>
      </w:r>
      <w:r w:rsidR="009A222B" w:rsidRPr="00DA2751">
        <w:rPr>
          <w:rFonts w:ascii="標楷體" w:eastAsia="標楷體" w:hAnsi="標楷體" w:hint="eastAsia"/>
          <w:szCs w:val="24"/>
        </w:rPr>
        <w:t>）</w:t>
      </w:r>
      <w:r w:rsidR="009A222B" w:rsidRPr="00DA2751">
        <w:rPr>
          <w:rFonts w:ascii="標楷體" w:eastAsia="標楷體" w:hAnsi="標楷體"/>
          <w:szCs w:val="24"/>
        </w:rPr>
        <w:t>新高，</w:t>
      </w:r>
      <w:r w:rsidR="009A222B" w:rsidRPr="00DA2751">
        <w:rPr>
          <w:rFonts w:ascii="標楷體" w:eastAsia="標楷體" w:hAnsi="標楷體" w:hint="eastAsia"/>
          <w:szCs w:val="24"/>
        </w:rPr>
        <w:t>其中食物類指數漲幅最大，經以五等分位觀之，第</w:t>
      </w:r>
      <w:r w:rsidR="009A222B" w:rsidRPr="00DA2751">
        <w:rPr>
          <w:rFonts w:ascii="標楷體" w:eastAsia="標楷體" w:hAnsi="標楷體"/>
          <w:szCs w:val="24"/>
        </w:rPr>
        <w:t>1分位（</w:t>
      </w:r>
      <w:r w:rsidR="009A222B" w:rsidRPr="00DA2751">
        <w:rPr>
          <w:rFonts w:ascii="標楷體" w:eastAsia="標楷體" w:hAnsi="標楷體" w:hint="eastAsia"/>
          <w:szCs w:val="24"/>
        </w:rPr>
        <w:t>所得</w:t>
      </w:r>
      <w:r w:rsidR="009A222B" w:rsidRPr="00DA2751">
        <w:rPr>
          <w:rFonts w:ascii="標楷體" w:eastAsia="標楷體" w:hAnsi="標楷體"/>
          <w:szCs w:val="24"/>
        </w:rPr>
        <w:t>最</w:t>
      </w:r>
      <w:r w:rsidR="009A222B" w:rsidRPr="00DA2751">
        <w:rPr>
          <w:rFonts w:ascii="標楷體" w:eastAsia="標楷體" w:hAnsi="標楷體" w:hint="eastAsia"/>
          <w:szCs w:val="24"/>
        </w:rPr>
        <w:t>低之</w:t>
      </w:r>
      <w:r w:rsidR="009A222B" w:rsidRPr="00DA2751">
        <w:rPr>
          <w:rFonts w:ascii="標楷體" w:eastAsia="標楷體" w:hAnsi="標楷體"/>
          <w:szCs w:val="24"/>
        </w:rPr>
        <w:t>20％）</w:t>
      </w:r>
      <w:r w:rsidR="009A222B" w:rsidRPr="00DA2751">
        <w:rPr>
          <w:rFonts w:ascii="標楷體" w:eastAsia="標楷體" w:hAnsi="標楷體" w:hint="eastAsia"/>
          <w:szCs w:val="24"/>
        </w:rPr>
        <w:t>家庭之食物類支出占可支配所得之權重較高，其</w:t>
      </w:r>
      <w:r w:rsidR="009A222B" w:rsidRPr="00DA2751">
        <w:rPr>
          <w:rFonts w:ascii="標楷體" w:eastAsia="標楷體" w:hAnsi="標楷體"/>
          <w:szCs w:val="24"/>
        </w:rPr>
        <w:t>消費者物價指數年增率3.10％，高於</w:t>
      </w:r>
      <w:r w:rsidR="009A222B" w:rsidRPr="00DA2751">
        <w:rPr>
          <w:rFonts w:ascii="標楷體" w:eastAsia="標楷體" w:hAnsi="標楷體" w:hint="eastAsia"/>
          <w:szCs w:val="24"/>
        </w:rPr>
        <w:t>第</w:t>
      </w:r>
      <w:r w:rsidR="009A222B" w:rsidRPr="00DA2751">
        <w:rPr>
          <w:rFonts w:ascii="標楷體" w:eastAsia="標楷體" w:hAnsi="標楷體"/>
          <w:szCs w:val="24"/>
        </w:rPr>
        <w:t>5分位（</w:t>
      </w:r>
      <w:r w:rsidR="009A222B" w:rsidRPr="00DA2751">
        <w:rPr>
          <w:rFonts w:ascii="標楷體" w:eastAsia="標楷體" w:hAnsi="標楷體" w:hint="eastAsia"/>
          <w:szCs w:val="24"/>
        </w:rPr>
        <w:t>所得</w:t>
      </w:r>
      <w:r w:rsidR="009A222B" w:rsidRPr="00DA2751">
        <w:rPr>
          <w:rFonts w:ascii="標楷體" w:eastAsia="標楷體" w:hAnsi="標楷體"/>
          <w:szCs w:val="24"/>
        </w:rPr>
        <w:t>最高</w:t>
      </w:r>
      <w:r w:rsidR="009A222B" w:rsidRPr="00DA2751">
        <w:rPr>
          <w:rFonts w:ascii="標楷體" w:eastAsia="標楷體" w:hAnsi="標楷體" w:hint="eastAsia"/>
          <w:szCs w:val="24"/>
        </w:rPr>
        <w:t>之</w:t>
      </w:r>
      <w:r w:rsidR="009A222B" w:rsidRPr="00DA2751">
        <w:rPr>
          <w:rFonts w:ascii="標楷體" w:eastAsia="標楷體" w:hAnsi="標楷體"/>
          <w:szCs w:val="24"/>
        </w:rPr>
        <w:t>20％）家庭之2.82％</w:t>
      </w:r>
      <w:r w:rsidR="009A222B" w:rsidRPr="00DA2751">
        <w:rPr>
          <w:rFonts w:ascii="標楷體" w:eastAsia="標楷體" w:hAnsi="標楷體" w:hint="eastAsia"/>
          <w:szCs w:val="24"/>
        </w:rPr>
        <w:t>，在面臨更高的通膨壓力下，</w:t>
      </w:r>
      <w:r w:rsidR="009A222B" w:rsidRPr="00DA2751">
        <w:rPr>
          <w:rFonts w:ascii="標楷體" w:eastAsia="標楷體" w:hAnsi="標楷體"/>
          <w:szCs w:val="24"/>
        </w:rPr>
        <w:t>低所得家庭對物價上漲感受明顯大於高所得家庭</w:t>
      </w:r>
      <w:r w:rsidR="009A222B" w:rsidRPr="00DA2751">
        <w:rPr>
          <w:rFonts w:ascii="標楷體" w:eastAsia="標楷體" w:hAnsi="標楷體" w:hint="eastAsia"/>
          <w:szCs w:val="24"/>
        </w:rPr>
        <w:t>。另</w:t>
      </w:r>
      <w:r w:rsidR="009A222B" w:rsidRPr="00DA2751">
        <w:rPr>
          <w:rFonts w:ascii="標楷體" w:eastAsia="標楷體" w:hAnsi="標楷體"/>
          <w:szCs w:val="24"/>
        </w:rPr>
        <w:t>據內政部不動產資訊平臺「住宅統計」資料，111年第4季全國房價所得比</w:t>
      </w:r>
      <w:r w:rsidR="009A222B" w:rsidRPr="00DA2751">
        <w:rPr>
          <w:rFonts w:ascii="標楷體" w:eastAsia="標楷體" w:hAnsi="標楷體" w:hint="eastAsia"/>
          <w:szCs w:val="24"/>
        </w:rPr>
        <w:t>及</w:t>
      </w:r>
      <w:r w:rsidR="009A222B" w:rsidRPr="00DA2751">
        <w:rPr>
          <w:rFonts w:ascii="標楷體" w:eastAsia="標楷體" w:hAnsi="標楷體"/>
          <w:szCs w:val="24"/>
        </w:rPr>
        <w:t>全國房貸負擔率</w:t>
      </w:r>
      <w:r w:rsidR="009A222B" w:rsidRPr="00DA2751">
        <w:rPr>
          <w:rFonts w:ascii="標楷體" w:eastAsia="標楷體" w:hAnsi="標楷體" w:hint="eastAsia"/>
          <w:szCs w:val="24"/>
        </w:rPr>
        <w:t>雖分別自同年第</w:t>
      </w:r>
      <w:r w:rsidR="009A222B" w:rsidRPr="00DA2751">
        <w:rPr>
          <w:rFonts w:ascii="標楷體" w:eastAsia="標楷體" w:hAnsi="標楷體"/>
          <w:szCs w:val="24"/>
        </w:rPr>
        <w:t>3季之9.8倍及40.55％，微幅下降至9.61倍及40.25</w:t>
      </w:r>
      <w:r w:rsidR="009A222B" w:rsidRPr="00DA2751">
        <w:rPr>
          <w:rFonts w:ascii="標楷體" w:eastAsia="標楷體" w:hAnsi="標楷體"/>
          <w:szCs w:val="24"/>
        </w:rPr>
        <w:lastRenderedPageBreak/>
        <w:t>％，惟全國住宅價格指數</w:t>
      </w:r>
      <w:r w:rsidR="009A222B" w:rsidRPr="00DA2751">
        <w:rPr>
          <w:rFonts w:ascii="標楷體" w:eastAsia="標楷體" w:hAnsi="標楷體" w:hint="eastAsia"/>
          <w:szCs w:val="24"/>
        </w:rPr>
        <w:t>自</w:t>
      </w:r>
      <w:r w:rsidR="009A222B" w:rsidRPr="00DA2751">
        <w:rPr>
          <w:rFonts w:ascii="標楷體" w:eastAsia="標楷體" w:hAnsi="標楷體"/>
          <w:szCs w:val="24"/>
        </w:rPr>
        <w:t>101年之79.75增加至111年之127.51，漲幅59.89％，</w:t>
      </w:r>
      <w:r w:rsidR="009A222B" w:rsidRPr="00DA2751">
        <w:rPr>
          <w:rFonts w:ascii="標楷體" w:eastAsia="標楷體" w:hAnsi="標楷體" w:hint="eastAsia"/>
          <w:szCs w:val="24"/>
        </w:rPr>
        <w:t>相較於</w:t>
      </w:r>
      <w:r w:rsidR="009A222B" w:rsidRPr="00DA2751">
        <w:rPr>
          <w:rFonts w:ascii="標楷體" w:eastAsia="標楷體" w:hAnsi="標楷體"/>
          <w:szCs w:val="24"/>
        </w:rPr>
        <w:t>同期間平均薪資成長15.56％，薪資成長幅度遠不及房價之漲幅</w:t>
      </w:r>
      <w:r w:rsidR="009A222B" w:rsidRPr="00DA2751">
        <w:rPr>
          <w:rFonts w:ascii="標楷體" w:eastAsia="標楷體" w:hAnsi="標楷體" w:hint="eastAsia"/>
          <w:szCs w:val="24"/>
        </w:rPr>
        <w:t>；又</w:t>
      </w:r>
      <w:r w:rsidR="009A222B" w:rsidRPr="00DA2751">
        <w:rPr>
          <w:rFonts w:ascii="標楷體" w:eastAsia="標楷體" w:hAnsi="標楷體"/>
          <w:szCs w:val="24"/>
        </w:rPr>
        <w:t>據</w:t>
      </w:r>
      <w:r w:rsidR="00D274C2" w:rsidRPr="00DA2751">
        <w:rPr>
          <w:rFonts w:ascii="標楷體" w:eastAsia="標楷體" w:hAnsi="標楷體" w:hint="eastAsia"/>
          <w:szCs w:val="24"/>
        </w:rPr>
        <w:t>行政院</w:t>
      </w:r>
      <w:r w:rsidR="009A222B" w:rsidRPr="00DA2751">
        <w:rPr>
          <w:rFonts w:ascii="標楷體" w:eastAsia="標楷體" w:hAnsi="標楷體"/>
          <w:szCs w:val="24"/>
        </w:rPr>
        <w:t>主計總處</w:t>
      </w:r>
      <w:r w:rsidR="009A222B" w:rsidRPr="00DA2751">
        <w:rPr>
          <w:rFonts w:ascii="標楷體" w:eastAsia="標楷體" w:hAnsi="標楷體" w:hint="eastAsia"/>
          <w:szCs w:val="32"/>
        </w:rPr>
        <w:t>消費者物價房租類指數</w:t>
      </w:r>
      <w:r w:rsidR="009A222B" w:rsidRPr="00DA2751">
        <w:rPr>
          <w:rFonts w:ascii="標楷體" w:eastAsia="標楷體" w:hAnsi="標楷體"/>
          <w:szCs w:val="24"/>
        </w:rPr>
        <w:t>資料</w:t>
      </w:r>
      <w:r w:rsidR="009A222B" w:rsidRPr="00DA2751">
        <w:rPr>
          <w:rFonts w:ascii="標楷體" w:eastAsia="標楷體" w:hAnsi="標楷體" w:hint="eastAsia"/>
          <w:szCs w:val="24"/>
        </w:rPr>
        <w:t>，</w:t>
      </w:r>
      <w:r w:rsidR="009A222B" w:rsidRPr="00DA2751">
        <w:rPr>
          <w:rFonts w:ascii="標楷體" w:eastAsia="標楷體" w:hAnsi="標楷體"/>
          <w:szCs w:val="24"/>
        </w:rPr>
        <w:t>全國租金指數</w:t>
      </w:r>
      <w:r w:rsidR="009A222B" w:rsidRPr="00DA2751">
        <w:rPr>
          <w:rFonts w:ascii="標楷體" w:eastAsia="標楷體" w:hAnsi="標楷體" w:hint="eastAsia"/>
          <w:szCs w:val="24"/>
        </w:rPr>
        <w:t>自</w:t>
      </w:r>
      <w:r w:rsidR="009A222B" w:rsidRPr="00DA2751">
        <w:rPr>
          <w:rFonts w:ascii="標楷體" w:eastAsia="標楷體" w:hAnsi="標楷體"/>
          <w:szCs w:val="24"/>
        </w:rPr>
        <w:t>101年（12月）之93.11上漲至111</w:t>
      </w:r>
      <w:r w:rsidR="009A222B" w:rsidRPr="00DA2751">
        <w:rPr>
          <w:rFonts w:ascii="標楷體" w:eastAsia="標楷體" w:hAnsi="標楷體" w:hint="eastAsia"/>
          <w:szCs w:val="24"/>
        </w:rPr>
        <w:t>年（</w:t>
      </w:r>
      <w:r w:rsidR="009A222B" w:rsidRPr="00DA2751">
        <w:rPr>
          <w:rFonts w:ascii="標楷體" w:eastAsia="標楷體" w:hAnsi="標楷體"/>
          <w:szCs w:val="24"/>
        </w:rPr>
        <w:t>12月）之102.73，亦呈現逐年增加趨勢</w:t>
      </w:r>
      <w:r w:rsidR="009A222B" w:rsidRPr="00DA2751">
        <w:rPr>
          <w:rFonts w:ascii="標楷體" w:eastAsia="標楷體" w:hAnsi="標楷體" w:hint="eastAsia"/>
          <w:szCs w:val="24"/>
        </w:rPr>
        <w:t>，</w:t>
      </w:r>
      <w:r w:rsidR="009A222B" w:rsidRPr="00DA2751">
        <w:rPr>
          <w:rFonts w:ascii="標楷體" w:eastAsia="標楷體" w:hAnsi="標楷體"/>
          <w:szCs w:val="24"/>
        </w:rPr>
        <w:t>加</w:t>
      </w:r>
      <w:r w:rsidR="009A222B" w:rsidRPr="00DA2751">
        <w:rPr>
          <w:rFonts w:ascii="標楷體" w:eastAsia="標楷體" w:hAnsi="標楷體" w:hint="eastAsia"/>
          <w:szCs w:val="24"/>
        </w:rPr>
        <w:t>劇可支配所得</w:t>
      </w:r>
      <w:r w:rsidR="009A222B" w:rsidRPr="00DA2751">
        <w:rPr>
          <w:rFonts w:ascii="標楷體" w:eastAsia="標楷體" w:hAnsi="標楷體"/>
          <w:szCs w:val="24"/>
        </w:rPr>
        <w:t>不均。</w:t>
      </w:r>
      <w:r w:rsidR="009A222B" w:rsidRPr="00CE57F9">
        <w:rPr>
          <w:rFonts w:ascii="標楷體" w:eastAsia="標楷體" w:hAnsi="標楷體" w:hint="eastAsia"/>
          <w:color w:val="000000" w:themeColor="text1"/>
          <w:szCs w:val="24"/>
        </w:rPr>
        <w:t>經函請行政院研議推動穩定民生消費物資及住宅價格之政策</w:t>
      </w:r>
      <w:r w:rsidR="009A222B" w:rsidRPr="00CE57F9">
        <w:rPr>
          <w:rFonts w:ascii="標楷體" w:eastAsia="標楷體" w:hAnsi="標楷體" w:hint="eastAsia"/>
          <w:szCs w:val="24"/>
        </w:rPr>
        <w:t>，督促</w:t>
      </w:r>
      <w:r w:rsidR="009A222B" w:rsidRPr="00CE57F9">
        <w:rPr>
          <w:rFonts w:ascii="標楷體" w:eastAsia="標楷體" w:hAnsi="標楷體"/>
          <w:szCs w:val="24"/>
        </w:rPr>
        <w:t>權責機關研提有效策略，逐步減緩</w:t>
      </w:r>
      <w:r w:rsidR="009A222B" w:rsidRPr="00CE57F9">
        <w:rPr>
          <w:rFonts w:ascii="標楷體" w:eastAsia="標楷體" w:hAnsi="標楷體" w:hint="eastAsia"/>
          <w:szCs w:val="24"/>
        </w:rPr>
        <w:t>所得分配不均</w:t>
      </w:r>
      <w:r w:rsidR="009A222B" w:rsidRPr="00CE57F9">
        <w:rPr>
          <w:rFonts w:ascii="標楷體" w:eastAsia="標楷體" w:hAnsi="標楷體"/>
          <w:szCs w:val="24"/>
        </w:rPr>
        <w:t>。</w:t>
      </w:r>
      <w:r w:rsidR="009A222B" w:rsidRPr="00CE57F9">
        <w:rPr>
          <w:rFonts w:ascii="標楷體" w:eastAsia="標楷體" w:hAnsi="標楷體" w:hint="eastAsia"/>
          <w:szCs w:val="24"/>
        </w:rPr>
        <w:t>據復：</w:t>
      </w:r>
      <w:r w:rsidR="007B7DDF" w:rsidRPr="00CE57F9">
        <w:rPr>
          <w:rFonts w:ascii="標楷體" w:eastAsia="標楷體" w:hAnsi="標楷體" w:hint="eastAsia"/>
          <w:szCs w:val="24"/>
        </w:rPr>
        <w:t>已持續檢討綜合所得稅扣除額等稅制，保障家戶基本生活所需之費用不予課稅，另密切監控農漁畜及指標餐飲產品價格，並賡續落實各項健全房市措施，以穩定民生消費物價及住宅價格，減緩所得分配不均問題。</w:t>
      </w:r>
    </w:p>
    <w:p w14:paraId="789E65AF" w14:textId="0118178B" w:rsidR="004F4A42" w:rsidRPr="00DA1A44" w:rsidRDefault="00D57831" w:rsidP="004F4A42">
      <w:pPr>
        <w:overflowPunct w:val="0"/>
        <w:snapToGrid w:val="0"/>
        <w:spacing w:line="460" w:lineRule="exact"/>
        <w:ind w:firstLineChars="450" w:firstLine="1081"/>
        <w:jc w:val="both"/>
        <w:rPr>
          <w:rFonts w:ascii="標楷體" w:eastAsia="標楷體" w:hAnsi="標楷體"/>
          <w:szCs w:val="24"/>
        </w:rPr>
      </w:pPr>
      <w:r w:rsidRPr="00CE57F9">
        <w:rPr>
          <w:rFonts w:ascii="標楷體" w:eastAsia="標楷體" w:hAnsi="標楷體"/>
          <w:b/>
          <w:noProof/>
          <w:spacing w:val="-4"/>
          <w:szCs w:val="24"/>
        </w:rPr>
        <mc:AlternateContent>
          <mc:Choice Requires="wps">
            <w:drawing>
              <wp:anchor distT="0" distB="0" distL="114300" distR="114300" simplePos="0" relativeHeight="251656704" behindDoc="1" locked="0" layoutInCell="1" allowOverlap="1" wp14:anchorId="3B06E201" wp14:editId="72C7B788">
                <wp:simplePos x="0" y="0"/>
                <wp:positionH relativeFrom="margin">
                  <wp:posOffset>1940560</wp:posOffset>
                </wp:positionH>
                <wp:positionV relativeFrom="paragraph">
                  <wp:posOffset>2104153</wp:posOffset>
                </wp:positionV>
                <wp:extent cx="4359910" cy="2624455"/>
                <wp:effectExtent l="0" t="0" r="0" b="4445"/>
                <wp:wrapTight wrapText="bothSides">
                  <wp:wrapPolygon edited="0">
                    <wp:start x="283" y="0"/>
                    <wp:lineTo x="283" y="21480"/>
                    <wp:lineTo x="21235" y="21480"/>
                    <wp:lineTo x="21235" y="0"/>
                    <wp:lineTo x="283" y="0"/>
                  </wp:wrapPolygon>
                </wp:wrapTight>
                <wp:docPr id="43" name="文字方塊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9910" cy="2624455"/>
                        </a:xfrm>
                        <a:prstGeom prst="rect">
                          <a:avLst/>
                        </a:prstGeom>
                        <a:noFill/>
                        <a:ln w="9525">
                          <a:noFill/>
                          <a:miter lim="800000"/>
                          <a:headEnd/>
                          <a:tailEnd/>
                        </a:ln>
                      </wps:spPr>
                      <wps:txbx>
                        <w:txbxContent>
                          <w:p w14:paraId="5AFF79DB" w14:textId="4A9000C7" w:rsidR="00CE57F9" w:rsidRPr="005F0BF2" w:rsidRDefault="00CE57F9" w:rsidP="009A222B">
                            <w:pPr>
                              <w:snapToGrid w:val="0"/>
                              <w:spacing w:line="360" w:lineRule="exact"/>
                              <w:ind w:rightChars="-27" w:right="-65"/>
                              <w:jc w:val="center"/>
                              <w:rPr>
                                <w:rFonts w:ascii="標楷體" w:eastAsia="標楷體" w:hAnsi="標楷體"/>
                                <w:bCs/>
                                <w:szCs w:val="24"/>
                              </w:rPr>
                            </w:pPr>
                            <w:r w:rsidRPr="002924C4">
                              <w:rPr>
                                <w:rFonts w:ascii="標楷體" w:eastAsia="標楷體" w:hAnsi="標楷體" w:hint="eastAsia"/>
                                <w:b/>
                                <w:color w:val="000000" w:themeColor="text1"/>
                                <w:szCs w:val="24"/>
                              </w:rPr>
                              <w:t>圖</w:t>
                            </w:r>
                            <w:r w:rsidRPr="002924C4">
                              <w:rPr>
                                <w:rFonts w:ascii="標楷體" w:eastAsia="標楷體" w:hAnsi="標楷體"/>
                                <w:b/>
                                <w:color w:val="000000" w:themeColor="text1"/>
                                <w:szCs w:val="24"/>
                              </w:rPr>
                              <w:t>4</w:t>
                            </w:r>
                            <w:r w:rsidRPr="00E556D4">
                              <w:rPr>
                                <w:rFonts w:ascii="標楷體" w:eastAsia="標楷體" w:hAnsi="標楷體" w:hint="eastAsia"/>
                                <w:b/>
                                <w:szCs w:val="24"/>
                              </w:rPr>
                              <w:t xml:space="preserve">　</w:t>
                            </w:r>
                            <w:r w:rsidRPr="009A6FE2">
                              <w:rPr>
                                <w:rFonts w:ascii="標楷體" w:eastAsia="標楷體" w:hAnsi="標楷體" w:hint="eastAsia"/>
                                <w:b/>
                                <w:bCs/>
                                <w:szCs w:val="24"/>
                              </w:rPr>
                              <w:t>受僱人員報酬與營業盈餘占國內生產毛額比率</w:t>
                            </w:r>
                          </w:p>
                          <w:p w14:paraId="15F2A3EC" w14:textId="77777777" w:rsidR="00CE57F9" w:rsidRDefault="00CE57F9" w:rsidP="009A222B">
                            <w:pPr>
                              <w:snapToGrid w:val="0"/>
                              <w:rPr>
                                <w:noProof/>
                              </w:rPr>
                            </w:pPr>
                            <w:r w:rsidRPr="00AC6F1B">
                              <w:rPr>
                                <w:noProof/>
                                <w:sz w:val="20"/>
                              </w:rPr>
                              <w:drawing>
                                <wp:inline distT="0" distB="0" distL="0" distR="0" wp14:anchorId="684EC71F" wp14:editId="523BEF41">
                                  <wp:extent cx="4250267" cy="2159000"/>
                                  <wp:effectExtent l="0" t="0" r="0" b="0"/>
                                  <wp:docPr id="84" name="圖表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88754A7" w14:textId="77777777" w:rsidR="00CE57F9" w:rsidRPr="00E934CF" w:rsidRDefault="00CE57F9" w:rsidP="009A222B">
                            <w:pPr>
                              <w:snapToGrid w:val="0"/>
                              <w:ind w:firstLineChars="150" w:firstLine="270"/>
                              <w:rPr>
                                <w:rFonts w:eastAsia="標楷體"/>
                                <w:sz w:val="18"/>
                                <w:szCs w:val="18"/>
                              </w:rPr>
                            </w:pPr>
                            <w:r w:rsidRPr="00E934CF">
                              <w:rPr>
                                <w:rFonts w:eastAsia="標楷體" w:hint="eastAsia"/>
                                <w:sz w:val="18"/>
                                <w:szCs w:val="18"/>
                              </w:rPr>
                              <w:t>資料來源：</w:t>
                            </w:r>
                            <w:r w:rsidRPr="00E934CF">
                              <w:rPr>
                                <w:rFonts w:ascii="標楷體" w:eastAsia="標楷體" w:hAnsi="標楷體" w:hint="eastAsia"/>
                                <w:sz w:val="18"/>
                                <w:szCs w:val="18"/>
                              </w:rPr>
                              <w:t>整理自中華民國統計資訊網</w:t>
                            </w:r>
                            <w:r>
                              <w:rPr>
                                <w:rFonts w:ascii="標楷體" w:eastAsia="標楷體" w:hAnsi="標楷體" w:hint="eastAsia"/>
                                <w:sz w:val="18"/>
                                <w:szCs w:val="18"/>
                              </w:rPr>
                              <w:t>之國內生產及要素所得</w:t>
                            </w:r>
                            <w:r w:rsidRPr="00E934CF">
                              <w:rPr>
                                <w:rFonts w:ascii="標楷體" w:eastAsia="標楷體" w:hAnsi="標楷體" w:hint="eastAsia"/>
                                <w:sz w:val="18"/>
                                <w:szCs w:val="18"/>
                              </w:rPr>
                              <w:t>資料</w:t>
                            </w:r>
                            <w:r w:rsidRPr="00E934CF">
                              <w:rPr>
                                <w:rFonts w:eastAsia="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06E201" id="文字方塊 43" o:spid="_x0000_s1030" type="#_x0000_t202" style="position:absolute;left:0;text-align:left;margin-left:152.8pt;margin-top:165.7pt;width:343.3pt;height:206.65pt;z-index:-251659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" filled="f" stroked="f">
                <v:textbox>
                  <w:txbxContent>
                    <w:p w14:paraId="5AFF79DB" w14:textId="4A9000C7" w:rsidR="00CE57F9" w:rsidRPr="005F0BF2" w:rsidRDefault="00CE57F9" w:rsidP="009A222B">
                      <w:pPr>
                        <w:snapToGrid w:val="0"/>
                        <w:spacing w:line="360" w:lineRule="exact"/>
                        <w:ind w:rightChars="-27" w:right="-65"/>
                        <w:jc w:val="center"/>
                        <w:rPr>
                          <w:rFonts w:ascii="標楷體" w:eastAsia="標楷體" w:hAnsi="標楷體"/>
                          <w:bCs/>
                          <w:szCs w:val="24"/>
                        </w:rPr>
                      </w:pPr>
                      <w:r w:rsidRPr="002924C4">
                        <w:rPr>
                          <w:rFonts w:ascii="標楷體" w:eastAsia="標楷體" w:hAnsi="標楷體" w:hint="eastAsia"/>
                          <w:b/>
                          <w:color w:val="000000" w:themeColor="text1"/>
                          <w:szCs w:val="24"/>
                        </w:rPr>
                        <w:t>圖</w:t>
                      </w:r>
                      <w:r w:rsidRPr="002924C4">
                        <w:rPr>
                          <w:rFonts w:ascii="標楷體" w:eastAsia="標楷體" w:hAnsi="標楷體"/>
                          <w:b/>
                          <w:color w:val="000000" w:themeColor="text1"/>
                          <w:szCs w:val="24"/>
                        </w:rPr>
                        <w:t>4</w:t>
                      </w:r>
                      <w:r w:rsidRPr="00E556D4">
                        <w:rPr>
                          <w:rFonts w:ascii="標楷體" w:eastAsia="標楷體" w:hAnsi="標楷體" w:hint="eastAsia"/>
                          <w:b/>
                          <w:szCs w:val="24"/>
                        </w:rPr>
                        <w:t xml:space="preserve">　</w:t>
                      </w:r>
                      <w:r w:rsidRPr="009A6FE2">
                        <w:rPr>
                          <w:rFonts w:ascii="標楷體" w:eastAsia="標楷體" w:hAnsi="標楷體" w:hint="eastAsia"/>
                          <w:b/>
                          <w:bCs/>
                          <w:szCs w:val="24"/>
                        </w:rPr>
                        <w:t>受僱人員報酬與營業盈餘占國內生產毛額比率</w:t>
                      </w:r>
                    </w:p>
                    <w:p w14:paraId="15F2A3EC" w14:textId="77777777" w:rsidR="00CE57F9" w:rsidRDefault="00CE57F9" w:rsidP="009A222B">
                      <w:pPr>
                        <w:snapToGrid w:val="0"/>
                        <w:rPr>
                          <w:noProof/>
                        </w:rPr>
                      </w:pPr>
                      <w:r w:rsidRPr="00AC6F1B">
                        <w:rPr>
                          <w:noProof/>
                          <w:sz w:val="20"/>
                        </w:rPr>
                        <w:drawing>
                          <wp:inline distT="0" distB="0" distL="0" distR="0" wp14:anchorId="684EC71F" wp14:editId="523BEF41">
                            <wp:extent cx="4250267" cy="2159000"/>
                            <wp:effectExtent l="0" t="0" r="0" b="0"/>
                            <wp:docPr id="84" name="圖表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88754A7" w14:textId="77777777" w:rsidR="00CE57F9" w:rsidRPr="00E934CF" w:rsidRDefault="00CE57F9" w:rsidP="009A222B">
                      <w:pPr>
                        <w:snapToGrid w:val="0"/>
                        <w:ind w:firstLineChars="150" w:firstLine="270"/>
                        <w:rPr>
                          <w:rFonts w:eastAsia="標楷體"/>
                          <w:sz w:val="18"/>
                          <w:szCs w:val="18"/>
                        </w:rPr>
                      </w:pPr>
                      <w:r w:rsidRPr="00E934CF">
                        <w:rPr>
                          <w:rFonts w:eastAsia="標楷體" w:hint="eastAsia"/>
                          <w:sz w:val="18"/>
                          <w:szCs w:val="18"/>
                        </w:rPr>
                        <w:t>資料來源：</w:t>
                      </w:r>
                      <w:r w:rsidRPr="00E934CF">
                        <w:rPr>
                          <w:rFonts w:ascii="標楷體" w:eastAsia="標楷體" w:hAnsi="標楷體" w:hint="eastAsia"/>
                          <w:sz w:val="18"/>
                          <w:szCs w:val="18"/>
                        </w:rPr>
                        <w:t>整理自中華民國統計資訊網</w:t>
                      </w:r>
                      <w:r>
                        <w:rPr>
                          <w:rFonts w:ascii="標楷體" w:eastAsia="標楷體" w:hAnsi="標楷體" w:hint="eastAsia"/>
                          <w:sz w:val="18"/>
                          <w:szCs w:val="18"/>
                        </w:rPr>
                        <w:t>之國內生產及要素所得</w:t>
                      </w:r>
                      <w:r w:rsidRPr="00E934CF">
                        <w:rPr>
                          <w:rFonts w:ascii="標楷體" w:eastAsia="標楷體" w:hAnsi="標楷體" w:hint="eastAsia"/>
                          <w:sz w:val="18"/>
                          <w:szCs w:val="18"/>
                        </w:rPr>
                        <w:t>資料</w:t>
                      </w:r>
                      <w:r w:rsidRPr="00E934CF">
                        <w:rPr>
                          <w:rFonts w:eastAsia="標楷體" w:hint="eastAsia"/>
                          <w:sz w:val="18"/>
                          <w:szCs w:val="18"/>
                        </w:rPr>
                        <w:t>。</w:t>
                      </w:r>
                    </w:p>
                  </w:txbxContent>
                </v:textbox>
                <w10:wrap type="tight" anchorx="margin"/>
              </v:shape>
            </w:pict>
          </mc:Fallback>
        </mc:AlternateContent>
      </w:r>
      <w:r w:rsidRPr="00CE57F9">
        <w:rPr>
          <w:rFonts w:ascii="標楷體" w:eastAsia="標楷體" w:hAnsi="標楷體"/>
          <w:b/>
          <w:szCs w:val="24"/>
        </w:rPr>
        <w:t>2</w:t>
      </w:r>
      <w:r w:rsidR="009A222B" w:rsidRPr="00CE57F9">
        <w:rPr>
          <w:rFonts w:ascii="標楷體" w:eastAsia="標楷體" w:hAnsi="標楷體"/>
          <w:b/>
          <w:szCs w:val="24"/>
        </w:rPr>
        <w:t xml:space="preserve">.　</w:t>
      </w:r>
      <w:r w:rsidR="004F4A42" w:rsidRPr="00CE57F9">
        <w:rPr>
          <w:rFonts w:ascii="標楷體" w:eastAsia="標楷體" w:hAnsi="標楷體" w:hint="eastAsia"/>
          <w:b/>
          <w:szCs w:val="24"/>
        </w:rPr>
        <w:t>受惠上市櫃公司營收表現亮眼，我國GDP逐年攀升，惟受僱人員報酬占GDP比率創10年新低，且部分上市櫃公司獲利成長與員工福利待遇提升存有落差，允宜研謀善策，以鼓勵企業提升勞工薪資水準，落實與員工共同分享盈餘成長之企業社會責任</w:t>
      </w:r>
      <w:r w:rsidR="009A222B" w:rsidRPr="00CE57F9">
        <w:rPr>
          <w:rFonts w:ascii="標楷體" w:eastAsia="標楷體" w:hAnsi="標楷體" w:hint="eastAsia"/>
          <w:b/>
          <w:szCs w:val="24"/>
        </w:rPr>
        <w:t>：</w:t>
      </w:r>
      <w:r w:rsidR="009A222B" w:rsidRPr="00DA2751">
        <w:rPr>
          <w:rFonts w:ascii="標楷體" w:eastAsia="標楷體" w:hAnsi="標楷體" w:hint="eastAsia"/>
          <w:szCs w:val="24"/>
        </w:rPr>
        <w:t>據</w:t>
      </w:r>
      <w:r w:rsidR="009A222B" w:rsidRPr="00DA2751">
        <w:rPr>
          <w:rFonts w:ascii="標楷體" w:eastAsia="標楷體" w:hAnsi="標楷體"/>
          <w:szCs w:val="24"/>
        </w:rPr>
        <w:t>經濟部111年5月發布之產業經濟統計簡訊，110年</w:t>
      </w:r>
      <w:r w:rsidR="009A222B" w:rsidRPr="00DA2751">
        <w:rPr>
          <w:rFonts w:ascii="標楷體" w:eastAsia="標楷體" w:hAnsi="標楷體" w:hint="eastAsia"/>
          <w:szCs w:val="24"/>
        </w:rPr>
        <w:t>度</w:t>
      </w:r>
      <w:r w:rsidR="009A222B" w:rsidRPr="00DA2751">
        <w:rPr>
          <w:rFonts w:ascii="標楷體" w:eastAsia="標楷體" w:hAnsi="標楷體"/>
          <w:szCs w:val="24"/>
        </w:rPr>
        <w:t>受惠全球景氣穩定成長、終端需求增溫，上市櫃公司主要營運指標皆為106至110年度之新高，營運表現亮眼。復依</w:t>
      </w:r>
      <w:r w:rsidR="00D274C2" w:rsidRPr="00DA2751">
        <w:rPr>
          <w:rFonts w:ascii="標楷體" w:eastAsia="標楷體" w:hAnsi="標楷體" w:hint="eastAsia"/>
          <w:szCs w:val="24"/>
        </w:rPr>
        <w:t>行政院</w:t>
      </w:r>
      <w:r w:rsidR="009A222B" w:rsidRPr="00DA2751">
        <w:rPr>
          <w:rFonts w:ascii="標楷體" w:eastAsia="標楷體" w:hAnsi="標楷體"/>
          <w:szCs w:val="24"/>
        </w:rPr>
        <w:t>主計總處112年2月編製之國民所得統計摘要，110年度實質國內生產毛額（GDP）金額21兆1,605億餘元，經濟成長率</w:t>
      </w:r>
      <w:r w:rsidR="009A222B" w:rsidRPr="00A55AE4">
        <w:rPr>
          <w:rFonts w:ascii="標楷體" w:eastAsia="標楷體" w:hAnsi="標楷體"/>
          <w:spacing w:val="-4"/>
          <w:szCs w:val="24"/>
        </w:rPr>
        <w:t>6.53％，為100年</w:t>
      </w:r>
      <w:r w:rsidR="009A222B" w:rsidRPr="00A55AE4">
        <w:rPr>
          <w:rFonts w:ascii="標楷體" w:eastAsia="標楷體" w:hAnsi="標楷體" w:hint="eastAsia"/>
          <w:szCs w:val="24"/>
        </w:rPr>
        <w:t>度以來</w:t>
      </w:r>
      <w:r w:rsidR="009A222B" w:rsidRPr="00A55AE4">
        <w:rPr>
          <w:rFonts w:ascii="標楷體" w:eastAsia="標楷體" w:hAnsi="標楷體"/>
          <w:szCs w:val="24"/>
        </w:rPr>
        <w:t>新高</w:t>
      </w:r>
      <w:r w:rsidR="009A222B" w:rsidRPr="00A55AE4">
        <w:rPr>
          <w:rFonts w:ascii="標楷體" w:eastAsia="標楷體" w:hAnsi="標楷體"/>
          <w:spacing w:val="-4"/>
          <w:szCs w:val="24"/>
        </w:rPr>
        <w:t>。</w:t>
      </w:r>
      <w:r w:rsidR="009A222B" w:rsidRPr="00DA2751">
        <w:rPr>
          <w:rFonts w:ascii="標楷體" w:eastAsia="標楷體" w:hAnsi="標楷體"/>
          <w:szCs w:val="24"/>
        </w:rPr>
        <w:t>惟110年度受僱人員報酬9兆3,702億餘元，占國內生產毛額43.03％，</w:t>
      </w:r>
      <w:r w:rsidR="009A222B" w:rsidRPr="00DA2751">
        <w:rPr>
          <w:rFonts w:ascii="標楷體" w:eastAsia="標楷體" w:hAnsi="標楷體" w:hint="eastAsia"/>
          <w:szCs w:val="24"/>
        </w:rPr>
        <w:t>已連續</w:t>
      </w:r>
      <w:r w:rsidR="009A222B" w:rsidRPr="00DA2751">
        <w:rPr>
          <w:rFonts w:ascii="標楷體" w:eastAsia="標楷體" w:hAnsi="標楷體"/>
          <w:szCs w:val="24"/>
        </w:rPr>
        <w:t>3年</w:t>
      </w:r>
      <w:r w:rsidR="00453EDB" w:rsidRPr="009D11AD">
        <w:rPr>
          <w:rFonts w:ascii="標楷體" w:eastAsia="標楷體" w:hAnsi="標楷體" w:hint="eastAsia"/>
          <w:szCs w:val="24"/>
        </w:rPr>
        <w:t>度</w:t>
      </w:r>
      <w:r w:rsidR="009A222B" w:rsidRPr="00DA2751">
        <w:rPr>
          <w:rFonts w:ascii="標楷體" w:eastAsia="標楷體" w:hAnsi="標楷體" w:hint="eastAsia"/>
          <w:szCs w:val="24"/>
        </w:rPr>
        <w:t>下降至</w:t>
      </w:r>
      <w:r w:rsidR="009A222B" w:rsidRPr="00DA2751">
        <w:rPr>
          <w:rFonts w:ascii="標楷體" w:eastAsia="標楷體" w:hAnsi="標楷體"/>
          <w:szCs w:val="24"/>
        </w:rPr>
        <w:t>101年度以來新低</w:t>
      </w:r>
      <w:r w:rsidR="009A222B" w:rsidRPr="00DA2751">
        <w:rPr>
          <w:rFonts w:ascii="標楷體" w:eastAsia="標楷體" w:hAnsi="標楷體" w:hint="eastAsia"/>
          <w:szCs w:val="24"/>
        </w:rPr>
        <w:t>，</w:t>
      </w:r>
      <w:r w:rsidR="009A222B" w:rsidRPr="00DA2751">
        <w:rPr>
          <w:rFonts w:ascii="標楷體" w:eastAsia="標楷體" w:hAnsi="標楷體"/>
          <w:szCs w:val="24"/>
        </w:rPr>
        <w:t>營業盈餘占國內生產毛額比率</w:t>
      </w:r>
      <w:r w:rsidR="009A222B" w:rsidRPr="00DA2751">
        <w:rPr>
          <w:rFonts w:ascii="標楷體" w:eastAsia="標楷體" w:hAnsi="標楷體" w:hint="eastAsia"/>
          <w:szCs w:val="24"/>
        </w:rPr>
        <w:t>反</w:t>
      </w:r>
      <w:r w:rsidR="009A222B" w:rsidRPr="00DA2751">
        <w:rPr>
          <w:rFonts w:ascii="標楷體" w:eastAsia="標楷體" w:hAnsi="標楷體"/>
          <w:szCs w:val="24"/>
        </w:rPr>
        <w:t>自101年</w:t>
      </w:r>
      <w:r w:rsidR="009A222B" w:rsidRPr="00DA2751">
        <w:rPr>
          <w:rFonts w:ascii="標楷體" w:eastAsia="標楷體" w:hAnsi="標楷體" w:hint="eastAsia"/>
          <w:szCs w:val="24"/>
        </w:rPr>
        <w:t>度</w:t>
      </w:r>
      <w:r w:rsidR="009A222B" w:rsidRPr="00DA2751">
        <w:rPr>
          <w:rFonts w:ascii="標楷體" w:eastAsia="標楷體" w:hAnsi="標楷體"/>
          <w:szCs w:val="24"/>
        </w:rPr>
        <w:t>之31.82％上升至</w:t>
      </w:r>
      <w:r w:rsidR="009A222B" w:rsidRPr="00A55AE4">
        <w:rPr>
          <w:rFonts w:ascii="標楷體" w:eastAsia="標楷體" w:hAnsi="標楷體"/>
          <w:spacing w:val="-4"/>
          <w:szCs w:val="24"/>
        </w:rPr>
        <w:t>110年</w:t>
      </w:r>
      <w:r w:rsidR="009A222B" w:rsidRPr="00A55AE4">
        <w:rPr>
          <w:rFonts w:ascii="標楷體" w:eastAsia="標楷體" w:hAnsi="標楷體" w:hint="eastAsia"/>
          <w:spacing w:val="-4"/>
          <w:szCs w:val="24"/>
        </w:rPr>
        <w:t>度</w:t>
      </w:r>
      <w:r w:rsidR="009A222B" w:rsidRPr="00A55AE4">
        <w:rPr>
          <w:rFonts w:ascii="標楷體" w:eastAsia="標楷體" w:hAnsi="標楷體"/>
          <w:spacing w:val="-4"/>
          <w:szCs w:val="24"/>
        </w:rPr>
        <w:t>之36.53％，</w:t>
      </w:r>
      <w:r w:rsidR="009A222B" w:rsidRPr="00A55AE4">
        <w:rPr>
          <w:rFonts w:ascii="標楷體" w:eastAsia="標楷體" w:hAnsi="標楷體" w:hint="eastAsia"/>
          <w:spacing w:val="-4"/>
          <w:szCs w:val="24"/>
        </w:rPr>
        <w:t>增加</w:t>
      </w:r>
      <w:r w:rsidR="009A222B" w:rsidRPr="00A55AE4">
        <w:rPr>
          <w:rFonts w:ascii="標楷體" w:eastAsia="標楷體" w:hAnsi="標楷體"/>
          <w:spacing w:val="-4"/>
          <w:szCs w:val="24"/>
        </w:rPr>
        <w:t>4.71個百分點</w:t>
      </w:r>
      <w:r w:rsidR="009A222B" w:rsidRPr="00DA2751">
        <w:rPr>
          <w:rFonts w:ascii="標楷體" w:eastAsia="標楷體" w:hAnsi="標楷體"/>
          <w:szCs w:val="24"/>
        </w:rPr>
        <w:t>（</w:t>
      </w:r>
      <w:r w:rsidR="009A222B" w:rsidRPr="00CE57F9">
        <w:rPr>
          <w:rFonts w:ascii="標楷體" w:eastAsia="標楷體" w:hAnsi="標楷體"/>
          <w:color w:val="000000" w:themeColor="text1"/>
          <w:szCs w:val="24"/>
        </w:rPr>
        <w:t>圖</w:t>
      </w:r>
      <w:r w:rsidR="00F3518A" w:rsidRPr="00CE57F9">
        <w:rPr>
          <w:rFonts w:ascii="標楷體" w:eastAsia="標楷體" w:hAnsi="標楷體"/>
          <w:color w:val="000000" w:themeColor="text1"/>
          <w:szCs w:val="24"/>
        </w:rPr>
        <w:t>4</w:t>
      </w:r>
      <w:r w:rsidR="009A222B" w:rsidRPr="00DA2751">
        <w:rPr>
          <w:rFonts w:ascii="標楷體" w:eastAsia="標楷體" w:hAnsi="標楷體" w:hint="eastAsia"/>
          <w:color w:val="000000" w:themeColor="text1"/>
          <w:szCs w:val="24"/>
        </w:rPr>
        <w:t>）</w:t>
      </w:r>
      <w:r w:rsidR="009A222B" w:rsidRPr="009D11AD">
        <w:rPr>
          <w:rFonts w:ascii="標楷體" w:eastAsia="標楷體" w:hAnsi="標楷體" w:hint="eastAsia"/>
          <w:szCs w:val="24"/>
        </w:rPr>
        <w:t>，</w:t>
      </w:r>
      <w:r w:rsidR="009A222B" w:rsidRPr="009D11AD">
        <w:rPr>
          <w:rFonts w:ascii="標楷體" w:eastAsia="標楷體" w:hAnsi="標楷體"/>
          <w:szCs w:val="24"/>
        </w:rPr>
        <w:t>顯示</w:t>
      </w:r>
      <w:r w:rsidR="009A222B" w:rsidRPr="009D11AD">
        <w:rPr>
          <w:rFonts w:ascii="標楷體" w:eastAsia="標楷體" w:hAnsi="標楷體" w:hint="eastAsia"/>
          <w:szCs w:val="24"/>
        </w:rPr>
        <w:t>長期以來，</w:t>
      </w:r>
      <w:r w:rsidR="009A222B" w:rsidRPr="009D11AD">
        <w:rPr>
          <w:rFonts w:ascii="標楷體" w:eastAsia="標楷體" w:hAnsi="標楷體"/>
          <w:szCs w:val="24"/>
        </w:rPr>
        <w:t>總</w:t>
      </w:r>
      <w:r w:rsidR="004F4A42">
        <w:rPr>
          <w:rFonts w:ascii="標楷體" w:eastAsia="標楷體" w:hAnsi="標楷體"/>
          <w:szCs w:val="24"/>
        </w:rPr>
        <w:t>體經濟營運成果分配股東份額逐漸提升，而分享員工份額反呈遞</w:t>
      </w:r>
      <w:r w:rsidR="004F4A42" w:rsidRPr="00CE57F9">
        <w:rPr>
          <w:rFonts w:ascii="標楷體" w:eastAsia="標楷體" w:hAnsi="標楷體"/>
          <w:szCs w:val="24"/>
        </w:rPr>
        <w:t>降趨勢</w:t>
      </w:r>
      <w:r w:rsidR="009A222B" w:rsidRPr="00CE57F9">
        <w:rPr>
          <w:rFonts w:ascii="標楷體" w:eastAsia="標楷體" w:hAnsi="標楷體" w:hint="eastAsia"/>
          <w:szCs w:val="24"/>
        </w:rPr>
        <w:t>。</w:t>
      </w:r>
      <w:r w:rsidR="009A222B" w:rsidRPr="009D11AD">
        <w:rPr>
          <w:rFonts w:ascii="標楷體" w:eastAsia="標楷體" w:hAnsi="標楷體" w:hint="eastAsia"/>
          <w:szCs w:val="24"/>
        </w:rPr>
        <w:t>經進一步觀察上市櫃公司用人費用，依主計月刊運用</w:t>
      </w:r>
      <w:r w:rsidR="009A222B" w:rsidRPr="009D11AD">
        <w:rPr>
          <w:rFonts w:ascii="標楷體" w:eastAsia="標楷體" w:hAnsi="標楷體"/>
          <w:szCs w:val="24"/>
        </w:rPr>
        <w:t>台灣經濟新報資料庫</w:t>
      </w:r>
      <w:r w:rsidR="009A222B" w:rsidRPr="009D11AD">
        <w:rPr>
          <w:rFonts w:ascii="標楷體" w:eastAsia="標楷體" w:hAnsi="標楷體" w:hint="eastAsia"/>
          <w:szCs w:val="24"/>
        </w:rPr>
        <w:t>分析，</w:t>
      </w:r>
      <w:r w:rsidR="009A222B" w:rsidRPr="009D11AD">
        <w:rPr>
          <w:rFonts w:ascii="標楷體" w:eastAsia="標楷體" w:hAnsi="標楷體"/>
          <w:szCs w:val="24"/>
        </w:rPr>
        <w:t>110年</w:t>
      </w:r>
      <w:r w:rsidR="009A222B" w:rsidRPr="009D11AD">
        <w:rPr>
          <w:rFonts w:ascii="標楷體" w:eastAsia="標楷體" w:hAnsi="標楷體" w:hint="eastAsia"/>
          <w:szCs w:val="24"/>
        </w:rPr>
        <w:t>度</w:t>
      </w:r>
      <w:r w:rsidR="009A222B" w:rsidRPr="009D11AD">
        <w:rPr>
          <w:rFonts w:ascii="標楷體" w:eastAsia="標楷體" w:hAnsi="標楷體"/>
          <w:szCs w:val="24"/>
        </w:rPr>
        <w:t>上市櫃公司用人費</w:t>
      </w:r>
      <w:r w:rsidR="009A222B" w:rsidRPr="009D11AD">
        <w:rPr>
          <w:rFonts w:ascii="標楷體" w:eastAsia="標楷體" w:hAnsi="標楷體" w:hint="eastAsia"/>
          <w:szCs w:val="24"/>
        </w:rPr>
        <w:t>用</w:t>
      </w:r>
      <w:r w:rsidR="009A222B" w:rsidRPr="009D11AD">
        <w:rPr>
          <w:rFonts w:ascii="標楷體" w:eastAsia="標楷體" w:hAnsi="標楷體"/>
          <w:szCs w:val="24"/>
        </w:rPr>
        <w:t>1兆5,963億餘元，約占營收24兆2,318億餘元之</w:t>
      </w:r>
      <w:r w:rsidR="009A222B" w:rsidRPr="00A55AE4">
        <w:rPr>
          <w:rFonts w:ascii="標楷體" w:eastAsia="標楷體" w:hAnsi="標楷體"/>
          <w:spacing w:val="-4"/>
          <w:szCs w:val="24"/>
        </w:rPr>
        <w:t>6.59％，較109年度下降</w:t>
      </w:r>
      <w:r w:rsidR="009A222B" w:rsidRPr="00A55AE4">
        <w:rPr>
          <w:rFonts w:ascii="標楷體" w:eastAsia="標楷體" w:hAnsi="標楷體" w:hint="eastAsia"/>
          <w:spacing w:val="-4"/>
          <w:szCs w:val="24"/>
        </w:rPr>
        <w:t>0.0</w:t>
      </w:r>
      <w:r w:rsidR="009A222B" w:rsidRPr="00A55AE4">
        <w:rPr>
          <w:rFonts w:ascii="標楷體" w:eastAsia="標楷體" w:hAnsi="標楷體"/>
          <w:spacing w:val="-4"/>
          <w:szCs w:val="24"/>
        </w:rPr>
        <w:t>6個</w:t>
      </w:r>
      <w:r w:rsidR="009A222B" w:rsidRPr="009D11AD">
        <w:rPr>
          <w:rFonts w:ascii="標楷體" w:eastAsia="標楷體" w:hAnsi="標楷體"/>
          <w:szCs w:val="24"/>
        </w:rPr>
        <w:t>百分點，其中營收年增率最高前3名分別為運輸及倉儲業50.07％、化學材料製造業44.73％及金融業36.60％，</w:t>
      </w:r>
      <w:r w:rsidR="009A222B" w:rsidRPr="009D11AD">
        <w:rPr>
          <w:rFonts w:ascii="標楷體" w:eastAsia="標楷體" w:hAnsi="標楷體" w:hint="eastAsia"/>
          <w:szCs w:val="24"/>
        </w:rPr>
        <w:t>惟其</w:t>
      </w:r>
      <w:r w:rsidR="009A222B" w:rsidRPr="009D11AD">
        <w:rPr>
          <w:rFonts w:ascii="標楷體" w:eastAsia="標楷體" w:hAnsi="標楷體"/>
          <w:szCs w:val="24"/>
        </w:rPr>
        <w:t>人均用人費</w:t>
      </w:r>
      <w:r w:rsidR="009A222B" w:rsidRPr="009D11AD">
        <w:rPr>
          <w:rFonts w:ascii="標楷體" w:eastAsia="標楷體" w:hAnsi="標楷體" w:hint="eastAsia"/>
          <w:szCs w:val="24"/>
        </w:rPr>
        <w:t>用</w:t>
      </w:r>
      <w:r w:rsidR="009A222B" w:rsidRPr="009D11AD">
        <w:rPr>
          <w:rFonts w:ascii="標楷體" w:eastAsia="標楷體" w:hAnsi="標楷體"/>
          <w:szCs w:val="24"/>
        </w:rPr>
        <w:t>年增率</w:t>
      </w:r>
      <w:r w:rsidR="009A222B" w:rsidRPr="009D11AD">
        <w:rPr>
          <w:rFonts w:ascii="標楷體" w:eastAsia="標楷體" w:hAnsi="標楷體" w:hint="eastAsia"/>
          <w:szCs w:val="24"/>
        </w:rPr>
        <w:t>依序為</w:t>
      </w:r>
      <w:r w:rsidR="009A222B" w:rsidRPr="00A55AE4">
        <w:rPr>
          <w:rFonts w:ascii="標楷體" w:eastAsia="標楷體" w:hAnsi="標楷體" w:hint="eastAsia"/>
          <w:spacing w:val="-4"/>
          <w:szCs w:val="24"/>
        </w:rPr>
        <w:t>28.03</w:t>
      </w:r>
      <w:r w:rsidR="009A222B" w:rsidRPr="00A55AE4">
        <w:rPr>
          <w:rFonts w:ascii="標楷體" w:eastAsia="標楷體" w:hAnsi="標楷體"/>
          <w:spacing w:val="-4"/>
          <w:szCs w:val="24"/>
        </w:rPr>
        <w:t>％</w:t>
      </w:r>
      <w:r w:rsidR="009A222B" w:rsidRPr="00A55AE4">
        <w:rPr>
          <w:rFonts w:ascii="標楷體" w:eastAsia="標楷體" w:hAnsi="標楷體" w:hint="eastAsia"/>
          <w:spacing w:val="-4"/>
          <w:szCs w:val="24"/>
        </w:rPr>
        <w:t>、16.24</w:t>
      </w:r>
      <w:r w:rsidR="009A222B" w:rsidRPr="00A55AE4">
        <w:rPr>
          <w:rFonts w:ascii="標楷體" w:eastAsia="標楷體" w:hAnsi="標楷體"/>
          <w:spacing w:val="-4"/>
          <w:szCs w:val="24"/>
        </w:rPr>
        <w:t>％</w:t>
      </w:r>
      <w:r w:rsidR="009A222B" w:rsidRPr="00A55AE4">
        <w:rPr>
          <w:rFonts w:ascii="標楷體" w:eastAsia="標楷體" w:hAnsi="標楷體" w:hint="eastAsia"/>
          <w:spacing w:val="-4"/>
          <w:szCs w:val="24"/>
        </w:rPr>
        <w:t>及11.35</w:t>
      </w:r>
      <w:r w:rsidR="009A222B" w:rsidRPr="00A55AE4">
        <w:rPr>
          <w:rFonts w:ascii="標楷體" w:eastAsia="標楷體" w:hAnsi="標楷體"/>
          <w:spacing w:val="-4"/>
          <w:szCs w:val="24"/>
        </w:rPr>
        <w:t>％</w:t>
      </w:r>
      <w:r w:rsidR="009A222B" w:rsidRPr="009D11AD">
        <w:rPr>
          <w:rFonts w:ascii="標楷體" w:eastAsia="標楷體" w:hAnsi="標楷體" w:hint="eastAsia"/>
          <w:bCs/>
          <w:szCs w:val="24"/>
        </w:rPr>
        <w:t>，顯示</w:t>
      </w:r>
      <w:r w:rsidR="009A222B" w:rsidRPr="009D11AD">
        <w:rPr>
          <w:rFonts w:ascii="標楷體" w:eastAsia="標楷體" w:hAnsi="標楷體"/>
          <w:szCs w:val="24"/>
        </w:rPr>
        <w:t>上市櫃公司獲利</w:t>
      </w:r>
      <w:r w:rsidR="009A222B" w:rsidRPr="009D11AD">
        <w:rPr>
          <w:rFonts w:ascii="標楷體" w:eastAsia="標楷體" w:hAnsi="標楷體" w:hint="eastAsia"/>
          <w:szCs w:val="24"/>
        </w:rPr>
        <w:t>成長與</w:t>
      </w:r>
      <w:r w:rsidR="009A222B" w:rsidRPr="009D11AD">
        <w:rPr>
          <w:rFonts w:ascii="標楷體" w:eastAsia="標楷體" w:hAnsi="標楷體"/>
          <w:szCs w:val="24"/>
        </w:rPr>
        <w:t>員</w:t>
      </w:r>
      <w:r w:rsidR="009A222B" w:rsidRPr="004F4A42">
        <w:rPr>
          <w:rFonts w:ascii="標楷體" w:eastAsia="標楷體" w:hAnsi="標楷體"/>
          <w:szCs w:val="24"/>
        </w:rPr>
        <w:t>工福利</w:t>
      </w:r>
      <w:r w:rsidR="009A222B" w:rsidRPr="004F4A42">
        <w:rPr>
          <w:rFonts w:ascii="標楷體" w:eastAsia="標楷體" w:hAnsi="標楷體" w:hint="eastAsia"/>
          <w:szCs w:val="24"/>
        </w:rPr>
        <w:t>待遇提升存有落差。</w:t>
      </w:r>
      <w:r w:rsidR="009A222B" w:rsidRPr="00CE57F9">
        <w:rPr>
          <w:rFonts w:ascii="標楷體" w:eastAsia="標楷體" w:hAnsi="標楷體" w:hint="eastAsia"/>
          <w:szCs w:val="24"/>
        </w:rPr>
        <w:t>經函請行政院督促相關權責機關研謀善策</w:t>
      </w:r>
      <w:r w:rsidR="00A55AE4" w:rsidRPr="00CE57F9">
        <w:rPr>
          <w:rFonts w:ascii="標楷體" w:eastAsia="標楷體" w:hAnsi="標楷體" w:hint="eastAsia"/>
          <w:szCs w:val="24"/>
        </w:rPr>
        <w:t>，持續</w:t>
      </w:r>
      <w:r w:rsidR="009A222B" w:rsidRPr="00CE57F9">
        <w:rPr>
          <w:rFonts w:ascii="標楷體" w:eastAsia="標楷體" w:hAnsi="標楷體" w:hint="eastAsia"/>
          <w:szCs w:val="24"/>
        </w:rPr>
        <w:t>鼓勵企業提升員工待遇與福利，</w:t>
      </w:r>
      <w:r w:rsidR="009A222B" w:rsidRPr="004F4A42">
        <w:rPr>
          <w:rFonts w:ascii="標楷體" w:eastAsia="標楷體" w:hAnsi="標楷體" w:hint="eastAsia"/>
          <w:szCs w:val="24"/>
        </w:rPr>
        <w:t>落實與員工共同分享盈餘成長之企業社會責任</w:t>
      </w:r>
      <w:r w:rsidR="009A222B" w:rsidRPr="004F4A42">
        <w:rPr>
          <w:rFonts w:ascii="標楷體" w:eastAsia="標楷體" w:hAnsi="標楷體"/>
          <w:szCs w:val="24"/>
        </w:rPr>
        <w:t>，</w:t>
      </w:r>
      <w:r w:rsidR="009A222B" w:rsidRPr="004F4A42">
        <w:rPr>
          <w:rFonts w:ascii="標楷體" w:eastAsia="標楷體" w:hAnsi="標楷體" w:hint="eastAsia"/>
          <w:szCs w:val="24"/>
        </w:rPr>
        <w:t>期能</w:t>
      </w:r>
      <w:r w:rsidR="009A222B" w:rsidRPr="004F4A42">
        <w:rPr>
          <w:rFonts w:ascii="標楷體" w:eastAsia="標楷體" w:hAnsi="標楷體"/>
          <w:szCs w:val="24"/>
        </w:rPr>
        <w:t>提升勞工</w:t>
      </w:r>
      <w:r w:rsidR="009A222B" w:rsidRPr="004F4A42">
        <w:rPr>
          <w:rFonts w:ascii="標楷體" w:eastAsia="標楷體" w:hAnsi="標楷體" w:hint="eastAsia"/>
          <w:szCs w:val="24"/>
        </w:rPr>
        <w:t>實</w:t>
      </w:r>
      <w:r w:rsidR="009A222B" w:rsidRPr="00A55AE4">
        <w:rPr>
          <w:rFonts w:ascii="標楷體" w:eastAsia="標楷體" w:hAnsi="標楷體" w:hint="eastAsia"/>
          <w:szCs w:val="24"/>
        </w:rPr>
        <w:t>質</w:t>
      </w:r>
      <w:r w:rsidR="009A222B" w:rsidRPr="00A55AE4">
        <w:rPr>
          <w:rFonts w:ascii="標楷體" w:eastAsia="標楷體" w:hAnsi="標楷體"/>
          <w:szCs w:val="24"/>
        </w:rPr>
        <w:t>薪</w:t>
      </w:r>
      <w:r w:rsidR="009A222B" w:rsidRPr="009D11AD">
        <w:rPr>
          <w:rFonts w:ascii="標楷體" w:eastAsia="標楷體" w:hAnsi="標楷體"/>
          <w:szCs w:val="24"/>
        </w:rPr>
        <w:lastRenderedPageBreak/>
        <w:t>資水準</w:t>
      </w:r>
      <w:r w:rsidR="009A222B" w:rsidRPr="009D11AD">
        <w:rPr>
          <w:rFonts w:ascii="標楷體" w:eastAsia="標楷體" w:hAnsi="標楷體" w:hint="eastAsia"/>
          <w:szCs w:val="24"/>
        </w:rPr>
        <w:t>。</w:t>
      </w:r>
      <w:r w:rsidR="009A222B" w:rsidRPr="00DA2751">
        <w:rPr>
          <w:rFonts w:ascii="標楷體" w:eastAsia="標楷體" w:hAnsi="標楷體" w:hint="eastAsia"/>
          <w:szCs w:val="24"/>
        </w:rPr>
        <w:t>據復：</w:t>
      </w:r>
      <w:r w:rsidR="007B7DDF" w:rsidRPr="00CE57F9">
        <w:rPr>
          <w:rFonts w:ascii="標楷體" w:eastAsia="標楷體" w:hAnsi="標楷體" w:hint="eastAsia"/>
          <w:szCs w:val="24"/>
        </w:rPr>
        <w:t>持續檢討基本工資及鼓勵企業調薪，透過公開資訊觀測站公司治理及薪酬資訊等揭露及評鑑，引導資金投資員工福利費用成長之上市櫃公司，持續優化投資及創新環境，促進產業競爭力，以提升勞工薪資水準。</w:t>
      </w:r>
    </w:p>
    <w:p w14:paraId="0C4563F7" w14:textId="62C7B5FB" w:rsidR="00B563C6" w:rsidRPr="009D11AD" w:rsidRDefault="00E9787B" w:rsidP="00860D54">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（五</w:t>
      </w:r>
      <w:r w:rsidR="00B563C6" w:rsidRPr="009D11AD">
        <w:rPr>
          <w:rFonts w:hAnsi="標楷體" w:hint="eastAsia"/>
          <w:b/>
          <w:color w:val="000000" w:themeColor="text1"/>
          <w:sz w:val="28"/>
          <w:szCs w:val="28"/>
        </w:rPr>
        <w:t xml:space="preserve">）　</w:t>
      </w:r>
      <w:r w:rsidRPr="009D11AD">
        <w:rPr>
          <w:rFonts w:hAnsi="標楷體" w:hint="eastAsia"/>
          <w:b/>
          <w:color w:val="000000" w:themeColor="text1"/>
          <w:sz w:val="28"/>
          <w:szCs w:val="28"/>
        </w:rPr>
        <w:t>政府推動毒品防制政策，已逐步降低毒品新生人口，惟毒品再犯比率仍高，部分防制工作受限於反毒教育宣導資源、社區處遇量能不足，與新興毒品快速變化，國內鑑檢量能未及配合提升，影響執行成效，允宜研謀強化跨域合作，擴大反毒宣導成效，並持續推動各項防制工作，以提升反毒整體成效</w:t>
      </w:r>
      <w:r w:rsidR="00B563C6" w:rsidRPr="00DA2751">
        <w:rPr>
          <w:rFonts w:hAnsi="標楷體" w:hint="eastAsia"/>
          <w:b/>
          <w:color w:val="000000" w:themeColor="text1"/>
          <w:sz w:val="28"/>
          <w:szCs w:val="28"/>
        </w:rPr>
        <w:t>。</w:t>
      </w:r>
    </w:p>
    <w:p w14:paraId="47BFCB2C" w14:textId="695206F8" w:rsidR="00E9787B" w:rsidRPr="009D11AD" w:rsidRDefault="00E9787B" w:rsidP="00DA2751">
      <w:pPr>
        <w:pStyle w:val="affb"/>
        <w:kinsoku/>
        <w:overflowPunct w:val="0"/>
        <w:adjustRightInd/>
        <w:spacing w:line="440" w:lineRule="exact"/>
        <w:ind w:left="0" w:firstLineChars="200" w:firstLine="480"/>
        <w:jc w:val="both"/>
        <w:rPr>
          <w:rFonts w:hAnsi="標楷體"/>
          <w:color w:val="000000" w:themeColor="text1"/>
          <w:sz w:val="24"/>
          <w:szCs w:val="24"/>
        </w:rPr>
      </w:pPr>
      <w:r w:rsidRPr="009D11AD">
        <w:rPr>
          <w:rFonts w:hAnsi="標楷體" w:hint="eastAsia"/>
          <w:color w:val="000000" w:themeColor="text1"/>
          <w:sz w:val="24"/>
          <w:szCs w:val="24"/>
        </w:rPr>
        <w:t>毒品危害國人健康，衍生社會治安問題，行政院自110年展開新世代反毒策略行動綱領（第二期110</w:t>
      </w:r>
      <w:r w:rsidR="009C0B90" w:rsidRPr="009D11AD">
        <w:rPr>
          <w:rFonts w:hAnsi="標楷體" w:hint="eastAsia"/>
          <w:color w:val="000000" w:themeColor="text1"/>
          <w:sz w:val="24"/>
          <w:szCs w:val="24"/>
        </w:rPr>
        <w:t>－</w:t>
      </w:r>
      <w:r w:rsidRPr="009D11AD">
        <w:rPr>
          <w:rFonts w:hAnsi="標楷體" w:hint="eastAsia"/>
          <w:color w:val="000000" w:themeColor="text1"/>
          <w:sz w:val="24"/>
          <w:szCs w:val="24"/>
        </w:rPr>
        <w:t>113年）工作，預計4年內投入約150億元，逐步達到「抑制毒品再犯」、「降低毒品新生」之雙重目標；嗣為聚焦處理毒品施用者高再犯問題及社會復歸需求，於111年8月核定「施用毒品者再犯防止推進計畫」（111年至113年），預期降低成人、兒少施用毒品再犯率1.5個百分點。</w:t>
      </w:r>
      <w:r w:rsidRPr="009D11AD">
        <w:rPr>
          <w:rFonts w:hAnsi="標楷體" w:hint="eastAsia"/>
          <w:sz w:val="24"/>
          <w:szCs w:val="24"/>
        </w:rPr>
        <w:t>11</w:t>
      </w:r>
      <w:r w:rsidRPr="009D11AD">
        <w:rPr>
          <w:rFonts w:hAnsi="標楷體"/>
          <w:sz w:val="24"/>
          <w:szCs w:val="24"/>
        </w:rPr>
        <w:t>1</w:t>
      </w:r>
      <w:r w:rsidRPr="009D11AD">
        <w:rPr>
          <w:rFonts w:hAnsi="標楷體" w:hint="eastAsia"/>
          <w:sz w:val="24"/>
          <w:szCs w:val="24"/>
        </w:rPr>
        <w:t>年度中央機關編列毒品防制可用預算數計3</w:t>
      </w:r>
      <w:r w:rsidRPr="009D11AD">
        <w:rPr>
          <w:rFonts w:hAnsi="標楷體"/>
          <w:sz w:val="24"/>
          <w:szCs w:val="24"/>
        </w:rPr>
        <w:t>4</w:t>
      </w:r>
      <w:r w:rsidRPr="009D11AD">
        <w:rPr>
          <w:rFonts w:hAnsi="標楷體" w:hint="eastAsia"/>
          <w:sz w:val="24"/>
          <w:szCs w:val="24"/>
        </w:rPr>
        <w:t>億餘元，決算數32億餘元，執行率93.11％。</w:t>
      </w:r>
      <w:r w:rsidRPr="009D11AD">
        <w:rPr>
          <w:rFonts w:hAnsi="標楷體" w:hint="eastAsia"/>
          <w:color w:val="000000" w:themeColor="text1"/>
          <w:sz w:val="24"/>
          <w:szCs w:val="24"/>
        </w:rPr>
        <w:t>經查執行情形，核有下列事項：</w:t>
      </w:r>
    </w:p>
    <w:p w14:paraId="23E2438F" w14:textId="0A5A7B05" w:rsidR="00E9787B" w:rsidRPr="009D11AD" w:rsidRDefault="00E9787B" w:rsidP="004F4A42">
      <w:pPr>
        <w:overflowPunct w:val="0"/>
        <w:snapToGrid w:val="0"/>
        <w:spacing w:line="460" w:lineRule="exact"/>
        <w:ind w:firstLineChars="450" w:firstLine="1081"/>
        <w:jc w:val="both"/>
        <w:rPr>
          <w:rFonts w:ascii="標楷體" w:eastAsia="標楷體" w:hAnsi="標楷體"/>
          <w:color w:val="000000" w:themeColor="text1"/>
          <w:szCs w:val="24"/>
        </w:rPr>
      </w:pPr>
      <w:r w:rsidRPr="009D11AD">
        <w:rPr>
          <w:rFonts w:ascii="標楷體" w:eastAsia="標楷體" w:hAnsi="標楷體" w:hint="eastAsia"/>
          <w:b/>
          <w:color w:val="000000" w:themeColor="text1"/>
          <w:szCs w:val="24"/>
        </w:rPr>
        <w:t>1.　行政院針對國內高毒品再犯問題，推動再犯防止計畫，惟部分防制工作受限資源或社區處遇量能不足，影響整體成效，允宜積極研謀協助改善，並結合民間反毒團體資源，強化各項防制策略與社區處遇功能，提升政府反毒綜效：</w:t>
      </w:r>
      <w:r w:rsidR="001B7C10" w:rsidRPr="00DA2751">
        <w:rPr>
          <w:rFonts w:ascii="標楷體" w:eastAsia="標楷體" w:hAnsi="標楷體" w:hint="eastAsia"/>
          <w:color w:val="000000" w:themeColor="text1"/>
          <w:szCs w:val="24"/>
        </w:rPr>
        <w:t>行政院經滾動修正反毒策略，於新世代反毒策略行動綱領（第二期</w:t>
      </w:r>
      <w:r w:rsidR="001B7C10" w:rsidRPr="00DA2751">
        <w:rPr>
          <w:rFonts w:ascii="標楷體" w:eastAsia="標楷體" w:hAnsi="標楷體"/>
          <w:color w:val="000000" w:themeColor="text1"/>
          <w:szCs w:val="24"/>
        </w:rPr>
        <w:t>110－113年）提出</w:t>
      </w:r>
      <w:r w:rsidR="001B7C10" w:rsidRPr="00DA2751">
        <w:rPr>
          <w:rFonts w:ascii="標楷體" w:eastAsia="標楷體" w:hAnsi="標楷體" w:hint="eastAsia"/>
          <w:color w:val="000000" w:themeColor="text1"/>
          <w:szCs w:val="24"/>
        </w:rPr>
        <w:t>強化地方毒品危害防制中心（下稱</w:t>
      </w:r>
      <w:r w:rsidR="001B7C10" w:rsidRPr="00BD4ACF">
        <w:rPr>
          <w:rFonts w:ascii="標楷體" w:eastAsia="標楷體" w:hAnsi="標楷體" w:hint="eastAsia"/>
          <w:color w:val="000000" w:themeColor="text1"/>
          <w:szCs w:val="24"/>
        </w:rPr>
        <w:t>毒防中心）追蹤輔導效能、建立家庭支持服務，促進藥癮者重返家庭等措施，另為聚焦處理毒品施用者高再犯問題及社會復歸需求，亦提出策進作為，如推行貫穿式保護等，並核定執行「施用毒品者再犯防止推進計畫」（</w:t>
      </w:r>
      <w:r w:rsidR="001B7C10" w:rsidRPr="00BD4ACF">
        <w:rPr>
          <w:rFonts w:ascii="標楷體" w:eastAsia="標楷體" w:hAnsi="標楷體"/>
          <w:color w:val="000000" w:themeColor="text1"/>
          <w:szCs w:val="24"/>
        </w:rPr>
        <w:t>111年至113年）</w:t>
      </w:r>
      <w:r w:rsidR="001B7C10" w:rsidRPr="00BD4ACF">
        <w:rPr>
          <w:rFonts w:ascii="標楷體" w:eastAsia="標楷體" w:hAnsi="標楷體" w:hint="eastAsia"/>
          <w:color w:val="000000" w:themeColor="text1"/>
          <w:szCs w:val="24"/>
        </w:rPr>
        <w:t>，期有效降低再犯問題。</w:t>
      </w:r>
      <w:r w:rsidRPr="00BD4ACF">
        <w:rPr>
          <w:rFonts w:ascii="標楷體" w:eastAsia="標楷體" w:hAnsi="標楷體" w:hint="eastAsia"/>
          <w:color w:val="000000" w:themeColor="text1"/>
          <w:szCs w:val="24"/>
        </w:rPr>
        <w:t>經查該計畫執行情形，核有：（1）行政院為強化毒防中心追踨輔導效能，深化個案管理品質，規劃充實毒防中心個案管理人力，</w:t>
      </w:r>
      <w:r w:rsidR="00071A95" w:rsidRPr="00BD4ACF">
        <w:rPr>
          <w:rFonts w:ascii="標楷體" w:eastAsia="標楷體" w:hAnsi="標楷體" w:hint="eastAsia"/>
          <w:color w:val="000000" w:themeColor="text1"/>
          <w:szCs w:val="24"/>
        </w:rPr>
        <w:t>以期</w:t>
      </w:r>
      <w:r w:rsidRPr="00BD4ACF">
        <w:rPr>
          <w:rFonts w:ascii="標楷體" w:eastAsia="標楷體" w:hAnsi="標楷體" w:hint="eastAsia"/>
          <w:color w:val="000000" w:themeColor="text1"/>
          <w:szCs w:val="24"/>
        </w:rPr>
        <w:t>案量比由</w:t>
      </w:r>
      <w:r w:rsidRPr="00BD4ACF">
        <w:rPr>
          <w:rFonts w:ascii="標楷體" w:eastAsia="標楷體" w:hAnsi="標楷體"/>
          <w:color w:val="000000" w:themeColor="text1"/>
          <w:szCs w:val="24"/>
        </w:rPr>
        <w:t>110</w:t>
      </w:r>
      <w:r w:rsidRPr="00BD4ACF">
        <w:rPr>
          <w:rFonts w:ascii="標楷體" w:eastAsia="標楷體" w:hAnsi="標楷體" w:hint="eastAsia"/>
          <w:color w:val="000000" w:themeColor="text1"/>
          <w:szCs w:val="24"/>
        </w:rPr>
        <w:t>年度之</w:t>
      </w:r>
      <w:r w:rsidRPr="00BD4ACF">
        <w:rPr>
          <w:rFonts w:ascii="標楷體" w:eastAsia="標楷體" w:hAnsi="標楷體"/>
          <w:color w:val="000000" w:themeColor="text1"/>
          <w:szCs w:val="24"/>
        </w:rPr>
        <w:t>1</w:t>
      </w:r>
      <w:r w:rsidRPr="00BD4ACF">
        <w:rPr>
          <w:rFonts w:ascii="標楷體" w:eastAsia="標楷體" w:hAnsi="標楷體" w:hint="eastAsia"/>
          <w:color w:val="000000" w:themeColor="text1"/>
          <w:szCs w:val="24"/>
        </w:rPr>
        <w:t>：</w:t>
      </w:r>
      <w:r w:rsidRPr="00BD4ACF">
        <w:rPr>
          <w:rFonts w:ascii="標楷體" w:eastAsia="標楷體" w:hAnsi="標楷體"/>
          <w:color w:val="000000" w:themeColor="text1"/>
          <w:szCs w:val="24"/>
        </w:rPr>
        <w:t>60</w:t>
      </w:r>
      <w:r w:rsidRPr="00BD4ACF">
        <w:rPr>
          <w:rFonts w:ascii="標楷體" w:eastAsia="標楷體" w:hAnsi="標楷體" w:hint="eastAsia"/>
          <w:color w:val="000000" w:themeColor="text1"/>
          <w:szCs w:val="24"/>
        </w:rPr>
        <w:t>，逐年降至</w:t>
      </w:r>
      <w:r w:rsidRPr="00BD4ACF">
        <w:rPr>
          <w:rFonts w:ascii="標楷體" w:eastAsia="標楷體" w:hAnsi="標楷體"/>
          <w:color w:val="000000" w:themeColor="text1"/>
          <w:szCs w:val="24"/>
        </w:rPr>
        <w:t>111</w:t>
      </w:r>
      <w:r w:rsidRPr="00BD4ACF">
        <w:rPr>
          <w:rFonts w:ascii="標楷體" w:eastAsia="標楷體" w:hAnsi="標楷體" w:hint="eastAsia"/>
          <w:color w:val="000000" w:themeColor="text1"/>
          <w:szCs w:val="24"/>
        </w:rPr>
        <w:t>、</w:t>
      </w:r>
      <w:r w:rsidRPr="00BD4ACF">
        <w:rPr>
          <w:rFonts w:ascii="標楷體" w:eastAsia="標楷體" w:hAnsi="標楷體"/>
          <w:color w:val="000000" w:themeColor="text1"/>
          <w:szCs w:val="24"/>
        </w:rPr>
        <w:t>112</w:t>
      </w:r>
      <w:r w:rsidRPr="00BD4ACF">
        <w:rPr>
          <w:rFonts w:ascii="標楷體" w:eastAsia="標楷體" w:hAnsi="標楷體" w:hint="eastAsia"/>
          <w:color w:val="000000" w:themeColor="text1"/>
          <w:szCs w:val="24"/>
        </w:rPr>
        <w:t>、</w:t>
      </w:r>
      <w:r w:rsidRPr="00BD4ACF">
        <w:rPr>
          <w:rFonts w:ascii="標楷體" w:eastAsia="標楷體" w:hAnsi="標楷體"/>
          <w:color w:val="000000" w:themeColor="text1"/>
          <w:szCs w:val="24"/>
        </w:rPr>
        <w:t>113</w:t>
      </w:r>
      <w:r w:rsidRPr="00BD4ACF">
        <w:rPr>
          <w:rFonts w:ascii="標楷體" w:eastAsia="標楷體" w:hAnsi="標楷體" w:hint="eastAsia"/>
          <w:color w:val="000000" w:themeColor="text1"/>
          <w:szCs w:val="24"/>
        </w:rPr>
        <w:t>年度之</w:t>
      </w:r>
      <w:r w:rsidRPr="00BD4ACF">
        <w:rPr>
          <w:rFonts w:ascii="標楷體" w:eastAsia="標楷體" w:hAnsi="標楷體"/>
          <w:color w:val="000000" w:themeColor="text1"/>
          <w:szCs w:val="24"/>
        </w:rPr>
        <w:t>1</w:t>
      </w:r>
      <w:r w:rsidRPr="00BD4ACF">
        <w:rPr>
          <w:rFonts w:ascii="標楷體" w:eastAsia="標楷體" w:hAnsi="標楷體" w:hint="eastAsia"/>
          <w:color w:val="000000" w:themeColor="text1"/>
          <w:szCs w:val="24"/>
        </w:rPr>
        <w:t>：</w:t>
      </w:r>
      <w:r w:rsidRPr="00BD4ACF">
        <w:rPr>
          <w:rFonts w:ascii="標楷體" w:eastAsia="標楷體" w:hAnsi="標楷體"/>
          <w:color w:val="000000" w:themeColor="text1"/>
          <w:szCs w:val="24"/>
        </w:rPr>
        <w:t>50</w:t>
      </w:r>
      <w:r w:rsidRPr="00BD4ACF">
        <w:rPr>
          <w:rFonts w:ascii="標楷體" w:eastAsia="標楷體" w:hAnsi="標楷體" w:hint="eastAsia"/>
          <w:color w:val="000000" w:themeColor="text1"/>
          <w:szCs w:val="24"/>
        </w:rPr>
        <w:t>、</w:t>
      </w:r>
      <w:r w:rsidRPr="00BD4ACF">
        <w:rPr>
          <w:rFonts w:ascii="標楷體" w:eastAsia="標楷體" w:hAnsi="標楷體"/>
          <w:color w:val="000000" w:themeColor="text1"/>
          <w:szCs w:val="24"/>
        </w:rPr>
        <w:t>1</w:t>
      </w:r>
      <w:r w:rsidRPr="00BD4ACF">
        <w:rPr>
          <w:rFonts w:ascii="標楷體" w:eastAsia="標楷體" w:hAnsi="標楷體" w:hint="eastAsia"/>
          <w:color w:val="000000" w:themeColor="text1"/>
          <w:szCs w:val="24"/>
        </w:rPr>
        <w:t>：</w:t>
      </w:r>
      <w:r w:rsidRPr="00BD4ACF">
        <w:rPr>
          <w:rFonts w:ascii="標楷體" w:eastAsia="標楷體" w:hAnsi="標楷體"/>
          <w:color w:val="000000" w:themeColor="text1"/>
          <w:szCs w:val="24"/>
        </w:rPr>
        <w:t>40</w:t>
      </w:r>
      <w:r w:rsidRPr="00BD4ACF">
        <w:rPr>
          <w:rFonts w:ascii="標楷體" w:eastAsia="標楷體" w:hAnsi="標楷體" w:hint="eastAsia"/>
          <w:color w:val="000000" w:themeColor="text1"/>
          <w:szCs w:val="24"/>
        </w:rPr>
        <w:t>、</w:t>
      </w:r>
      <w:r w:rsidRPr="00BD4ACF">
        <w:rPr>
          <w:rFonts w:ascii="標楷體" w:eastAsia="標楷體" w:hAnsi="標楷體"/>
          <w:color w:val="000000" w:themeColor="text1"/>
          <w:szCs w:val="24"/>
        </w:rPr>
        <w:t>1</w:t>
      </w:r>
      <w:r w:rsidRPr="00BD4ACF">
        <w:rPr>
          <w:rFonts w:ascii="標楷體" w:eastAsia="標楷體" w:hAnsi="標楷體" w:hint="eastAsia"/>
          <w:color w:val="000000" w:themeColor="text1"/>
          <w:szCs w:val="24"/>
        </w:rPr>
        <w:t>：</w:t>
      </w:r>
      <w:r w:rsidRPr="00BD4ACF">
        <w:rPr>
          <w:rFonts w:ascii="標楷體" w:eastAsia="標楷體" w:hAnsi="標楷體"/>
          <w:color w:val="000000" w:themeColor="text1"/>
          <w:szCs w:val="24"/>
        </w:rPr>
        <w:t>30</w:t>
      </w:r>
      <w:r w:rsidRPr="00BD4ACF">
        <w:rPr>
          <w:rFonts w:ascii="標楷體" w:eastAsia="標楷體" w:hAnsi="標楷體" w:hint="eastAsia"/>
          <w:color w:val="000000" w:themeColor="text1"/>
          <w:szCs w:val="24"/>
        </w:rPr>
        <w:t>，惟截至</w:t>
      </w:r>
      <w:r w:rsidRPr="00BD4ACF">
        <w:rPr>
          <w:rFonts w:ascii="標楷體" w:eastAsia="標楷體" w:hAnsi="標楷體"/>
          <w:color w:val="000000" w:themeColor="text1"/>
          <w:szCs w:val="24"/>
        </w:rPr>
        <w:t>111</w:t>
      </w:r>
      <w:r w:rsidRPr="00BD4ACF">
        <w:rPr>
          <w:rFonts w:ascii="標楷體" w:eastAsia="標楷體" w:hAnsi="標楷體" w:hint="eastAsia"/>
          <w:color w:val="000000" w:themeColor="text1"/>
          <w:szCs w:val="24"/>
        </w:rPr>
        <w:t>年</w:t>
      </w:r>
      <w:r w:rsidRPr="00BD4ACF">
        <w:rPr>
          <w:rFonts w:ascii="標楷體" w:eastAsia="標楷體" w:hAnsi="標楷體"/>
          <w:color w:val="000000" w:themeColor="text1"/>
          <w:szCs w:val="24"/>
        </w:rPr>
        <w:t>8</w:t>
      </w:r>
      <w:r w:rsidRPr="00BD4ACF">
        <w:rPr>
          <w:rFonts w:ascii="標楷體" w:eastAsia="標楷體" w:hAnsi="標楷體" w:hint="eastAsia"/>
          <w:color w:val="000000" w:themeColor="text1"/>
          <w:szCs w:val="24"/>
        </w:rPr>
        <w:t>月底止，尚有</w:t>
      </w:r>
      <w:r w:rsidRPr="00BD4ACF">
        <w:rPr>
          <w:rFonts w:ascii="標楷體" w:eastAsia="標楷體" w:hAnsi="標楷體" w:hint="eastAsia"/>
          <w:szCs w:val="24"/>
        </w:rPr>
        <w:t>部分市縣政府個案管理人力尚有不足，案量比逾1：50；部分市縣政府個案管理</w:t>
      </w:r>
      <w:r w:rsidRPr="00BD4ACF">
        <w:rPr>
          <w:rFonts w:ascii="標楷體" w:eastAsia="標楷體" w:hAnsi="標楷體" w:hint="eastAsia"/>
          <w:color w:val="000000" w:themeColor="text1"/>
          <w:szCs w:val="24"/>
        </w:rPr>
        <w:t>人員平均年資均未及2年，且</w:t>
      </w:r>
      <w:r w:rsidR="001B7C10" w:rsidRPr="00BD4ACF">
        <w:rPr>
          <w:rFonts w:ascii="標楷體" w:eastAsia="標楷體" w:hAnsi="標楷體"/>
          <w:color w:val="000000" w:themeColor="text1"/>
          <w:szCs w:val="24"/>
        </w:rPr>
        <w:t>111年度彰化縣毒防中心個案管理人力之12個月、18個月留任率均為45％；金門縣毒防中心個案管理人力之12個月、18個月留任率均為50％</w:t>
      </w:r>
      <w:r w:rsidR="001B7C10" w:rsidRPr="00BD4ACF">
        <w:rPr>
          <w:rFonts w:ascii="標楷體" w:eastAsia="標楷體" w:hAnsi="標楷體" w:hint="eastAsia"/>
          <w:color w:val="000000" w:themeColor="text1"/>
          <w:szCs w:val="24"/>
        </w:rPr>
        <w:t>，均低於目標值個案管理人力年資滿</w:t>
      </w:r>
      <w:r w:rsidR="001B7C10" w:rsidRPr="00BD4ACF">
        <w:rPr>
          <w:rFonts w:ascii="標楷體" w:eastAsia="標楷體" w:hAnsi="標楷體"/>
          <w:color w:val="000000" w:themeColor="text1"/>
          <w:szCs w:val="24"/>
        </w:rPr>
        <w:t>12個月及18個月之留任率</w:t>
      </w:r>
      <w:r w:rsidR="001B7C10" w:rsidRPr="00BD4ACF">
        <w:rPr>
          <w:rFonts w:ascii="標楷體" w:eastAsia="標楷體" w:hAnsi="標楷體" w:hint="eastAsia"/>
          <w:color w:val="000000" w:themeColor="text1"/>
          <w:szCs w:val="24"/>
        </w:rPr>
        <w:t>分別為</w:t>
      </w:r>
      <w:r w:rsidR="001B7C10" w:rsidRPr="00BD4ACF">
        <w:rPr>
          <w:rFonts w:ascii="標楷體" w:eastAsia="標楷體" w:hAnsi="標楷體"/>
          <w:color w:val="000000" w:themeColor="text1"/>
          <w:szCs w:val="24"/>
        </w:rPr>
        <w:t>80％及70％</w:t>
      </w:r>
      <w:r w:rsidR="001B7C10" w:rsidRPr="00BD4ACF">
        <w:rPr>
          <w:rFonts w:ascii="標楷體" w:eastAsia="標楷體" w:hAnsi="標楷體" w:hint="eastAsia"/>
          <w:color w:val="000000" w:themeColor="text1"/>
          <w:szCs w:val="24"/>
        </w:rPr>
        <w:t>之目標值</w:t>
      </w:r>
      <w:r w:rsidRPr="00BD4ACF">
        <w:rPr>
          <w:rFonts w:ascii="標楷體" w:eastAsia="標楷體" w:hAnsi="標楷體" w:hint="eastAsia"/>
          <w:color w:val="000000" w:themeColor="text1"/>
          <w:szCs w:val="24"/>
        </w:rPr>
        <w:t>，凸顯個案管理人力更換頻繁，未能久任，難與個案建立信任關係，不利於個案追蹤輔導及專業經驗累積。又「施用毒品者再犯防止推進計畫」（111年至113年）之貫穿式保護策略，</w:t>
      </w:r>
      <w:r w:rsidR="009C0B90" w:rsidRPr="00BD4ACF">
        <w:rPr>
          <w:rFonts w:ascii="標楷體" w:eastAsia="標楷體" w:hAnsi="標楷體" w:hint="eastAsia"/>
          <w:color w:val="000000" w:themeColor="text1"/>
          <w:szCs w:val="24"/>
        </w:rPr>
        <w:t>係</w:t>
      </w:r>
      <w:r w:rsidRPr="00BD4ACF">
        <w:rPr>
          <w:rFonts w:ascii="標楷體" w:eastAsia="標楷體" w:hAnsi="標楷體" w:hint="eastAsia"/>
          <w:color w:val="000000" w:themeColor="text1"/>
          <w:szCs w:val="24"/>
        </w:rPr>
        <w:t>規劃於警察機關調查或檢察官偵查階段，對有意願接受毒防中心協助之毒品個案，即提前介入，轉介至</w:t>
      </w:r>
      <w:r w:rsidRPr="004F4A42">
        <w:rPr>
          <w:rFonts w:ascii="標楷體" w:eastAsia="標楷體" w:hAnsi="標楷體" w:hint="eastAsia"/>
          <w:color w:val="000000" w:themeColor="text1"/>
          <w:szCs w:val="24"/>
        </w:rPr>
        <w:t>毒防中心提供相關服務及追蹤輔導。</w:t>
      </w:r>
      <w:r w:rsidRPr="004F4A42">
        <w:rPr>
          <w:rFonts w:ascii="標楷體" w:eastAsia="標楷體" w:hAnsi="標楷體" w:hint="eastAsia"/>
          <w:szCs w:val="24"/>
        </w:rPr>
        <w:t>經查111年8至12月警察機關查獲涉嫌施用毒品者，計1</w:t>
      </w:r>
      <w:r w:rsidRPr="00BD4ACF">
        <w:rPr>
          <w:rFonts w:ascii="標楷體" w:eastAsia="標楷體" w:hAnsi="標楷體" w:hint="eastAsia"/>
          <w:szCs w:val="24"/>
        </w:rPr>
        <w:lastRenderedPageBreak/>
        <w:t>萬367人次，其中有意願接受毒防中心協助，經警察機關轉介至毒防中心之個案，計1,296人次，惟因毒防中心人力有限，未能主動聯繫，並促請個案至毒防中心接受服務，致實際至毒防中心求助之個案僅52人次，占4.01％，</w:t>
      </w:r>
      <w:r w:rsidRPr="00BD4ACF">
        <w:rPr>
          <w:rFonts w:ascii="標楷體" w:eastAsia="標楷體" w:hAnsi="標楷體" w:hint="eastAsia"/>
          <w:color w:val="000000" w:themeColor="text1"/>
          <w:szCs w:val="24"/>
        </w:rPr>
        <w:t>顯示現有毒防中心人力資源尚難以有效執行貫穿式保護策略，亟待檢討充實各地方毒防中心個案管理人力，並研謀降低人員流動率，俾能落實推動各項防制策略，提升藥癮者處遇服務效能；（2）衛生福利部辦理藥癮者家庭支持服務及資源培力計畫，申請毒品防制基金預算，補助21個市縣政府3,853萬餘元，各地方政府連同自籌款261萬餘元，合計4,115萬餘元，實際執行3,399萬餘元，執行率82.61％，惟有</w:t>
      </w:r>
      <w:r w:rsidRPr="00BD4ACF">
        <w:rPr>
          <w:rFonts w:ascii="標楷體" w:eastAsia="標楷體" w:hAnsi="標楷體" w:hint="eastAsia"/>
          <w:szCs w:val="24"/>
        </w:rPr>
        <w:t>部分市縣</w:t>
      </w:r>
      <w:r w:rsidRPr="00BD4ACF">
        <w:rPr>
          <w:rFonts w:ascii="標楷體" w:eastAsia="標楷體" w:hAnsi="標楷體" w:hint="eastAsia"/>
          <w:color w:val="000000" w:themeColor="text1"/>
          <w:szCs w:val="24"/>
        </w:rPr>
        <w:t>執行率未達80％，主要係計畫執行人力短缺所致。另查臺北市</w:t>
      </w:r>
      <w:r w:rsidR="0068284E" w:rsidRPr="00BD4ACF">
        <w:rPr>
          <w:rFonts w:ascii="標楷體" w:eastAsia="標楷體" w:hAnsi="標楷體" w:hint="eastAsia"/>
          <w:color w:val="000000" w:themeColor="text1"/>
          <w:szCs w:val="24"/>
        </w:rPr>
        <w:t>及</w:t>
      </w:r>
      <w:r w:rsidRPr="00BD4ACF">
        <w:rPr>
          <w:rFonts w:ascii="標楷體" w:eastAsia="標楷體" w:hAnsi="標楷體" w:hint="eastAsia"/>
          <w:color w:val="000000" w:themeColor="text1"/>
          <w:szCs w:val="24"/>
        </w:rPr>
        <w:t>新北市</w:t>
      </w:r>
      <w:r w:rsidR="0068284E" w:rsidRPr="00BD4ACF">
        <w:rPr>
          <w:rFonts w:ascii="標楷體" w:eastAsia="標楷體" w:hAnsi="標楷體" w:hint="eastAsia"/>
          <w:color w:val="000000" w:themeColor="text1"/>
          <w:szCs w:val="24"/>
        </w:rPr>
        <w:t>政府分別</w:t>
      </w:r>
      <w:r w:rsidRPr="00BD4ACF">
        <w:rPr>
          <w:rFonts w:ascii="標楷體" w:eastAsia="標楷體" w:hAnsi="標楷體" w:hint="eastAsia"/>
          <w:color w:val="000000" w:themeColor="text1"/>
          <w:szCs w:val="24"/>
        </w:rPr>
        <w:t>結合3家在地民間團體辦理家庭支持服務計畫，</w:t>
      </w:r>
      <w:r w:rsidR="0068284E" w:rsidRPr="00BD4ACF">
        <w:rPr>
          <w:rFonts w:ascii="標楷體" w:eastAsia="標楷體" w:hAnsi="標楷體" w:hint="eastAsia"/>
          <w:color w:val="000000" w:themeColor="text1"/>
          <w:szCs w:val="24"/>
        </w:rPr>
        <w:t>各</w:t>
      </w:r>
      <w:r w:rsidRPr="00BD4ACF">
        <w:rPr>
          <w:rFonts w:ascii="標楷體" w:eastAsia="標楷體" w:hAnsi="標楷體" w:hint="eastAsia"/>
          <w:color w:val="000000" w:themeColor="text1"/>
          <w:szCs w:val="24"/>
        </w:rPr>
        <w:t>推動家屬支持團體計25次（296人次）、44次（332人次）；高雄市</w:t>
      </w:r>
      <w:r w:rsidR="0068284E" w:rsidRPr="00BD4ACF">
        <w:rPr>
          <w:rFonts w:ascii="標楷體" w:eastAsia="標楷體" w:hAnsi="標楷體" w:hint="eastAsia"/>
          <w:color w:val="000000" w:themeColor="text1"/>
          <w:szCs w:val="24"/>
        </w:rPr>
        <w:t>政府</w:t>
      </w:r>
      <w:r w:rsidRPr="00BD4ACF">
        <w:rPr>
          <w:rFonts w:ascii="標楷體" w:eastAsia="標楷體" w:hAnsi="標楷體" w:hint="eastAsia"/>
          <w:color w:val="000000" w:themeColor="text1"/>
          <w:szCs w:val="24"/>
        </w:rPr>
        <w:t>結合2家民間團體，辦理家庭維繫及支持活動130次（1,405人次），辦理成效明顯優於採自辦方式之市縣（大多僅1名社工或由毒防中心兼辦業務）。又各地方政府社會局（處）辦理藥癮者家庭支持服務，其個案來源已結合毒防中心評估藥癮者個案家屬支持服務需求進行轉介，惟受限社政單位承接量能有限，毒防中心僅依個案意願進行轉介，而非考量個案家庭功能不足情形，導致轉介服務數偏低，均顯示部分市縣因在地資源不足，已影響計畫執行成效，允宜協助改善，並結合民間反毒團體資源，強化社區處遇，提升政府反毒綜效；（3）本部歷年查核發現政府毒品再犯防制措施，各市縣政府針對持有或施用第三、四級毒品者辦理之毒品危害講習，未完成講習比率偏高；部分市縣藥癮醫療機構配置尚欠均衡適足，影響戒治服務之可近性及便利性等</w:t>
      </w:r>
      <w:r w:rsidR="00BF1FE1" w:rsidRPr="00BD4ACF">
        <w:rPr>
          <w:rFonts w:ascii="標楷體" w:eastAsia="標楷體" w:hAnsi="標楷體" w:hint="eastAsia"/>
          <w:color w:val="000000" w:themeColor="text1"/>
          <w:szCs w:val="24"/>
        </w:rPr>
        <w:t>，</w:t>
      </w:r>
      <w:r w:rsidRPr="00BD4ACF">
        <w:rPr>
          <w:rFonts w:ascii="標楷體" w:eastAsia="標楷體" w:hAnsi="標楷體" w:hint="eastAsia"/>
          <w:color w:val="000000" w:themeColor="text1"/>
          <w:szCs w:val="24"/>
        </w:rPr>
        <w:t>經行政院納入「施用毒品</w:t>
      </w:r>
      <w:r w:rsidRPr="009D11AD">
        <w:rPr>
          <w:rFonts w:ascii="標楷體" w:eastAsia="標楷體" w:hAnsi="標楷體" w:hint="eastAsia"/>
          <w:color w:val="000000" w:themeColor="text1"/>
          <w:szCs w:val="24"/>
        </w:rPr>
        <w:t>者再犯防止推進計畫」（111年至113年）提升毒品危害講習成效、強化替代治療便利性與提升治療品質等策略中強化執行。依據本部及各地方審計處、室追蹤查核結果，</w:t>
      </w:r>
      <w:r w:rsidRPr="009D11AD">
        <w:rPr>
          <w:rFonts w:ascii="標楷體" w:eastAsia="標楷體" w:hAnsi="標楷體" w:hint="eastAsia"/>
          <w:szCs w:val="24"/>
        </w:rPr>
        <w:t>仍有部分市縣政府辦理第三、四級毒品危害講習出席率及完成講習比率未盡理想、部分市縣藥癮醫療機構配置尚欠均衡適足、部分市縣政府所轄替代治療機構之美沙冬替代治療個案滿6個月留置率仍待提升或未達65％之目標</w:t>
      </w:r>
      <w:r w:rsidRPr="009D11AD">
        <w:rPr>
          <w:rFonts w:ascii="標楷體" w:eastAsia="標楷體" w:hAnsi="標楷體" w:hint="eastAsia"/>
          <w:color w:val="000000" w:themeColor="text1"/>
          <w:szCs w:val="24"/>
        </w:rPr>
        <w:t>，允宜積極研謀改善，協助各市縣政府解決毒品危害講習低出席率，及戒癮資源配置尚欠均衡適足之問題</w:t>
      </w:r>
      <w:r w:rsidR="00C126E8" w:rsidRPr="009D11AD">
        <w:rPr>
          <w:rFonts w:ascii="標楷體" w:eastAsia="標楷體" w:hAnsi="標楷體" w:hint="eastAsia"/>
          <w:color w:val="000000" w:themeColor="text1"/>
          <w:szCs w:val="24"/>
        </w:rPr>
        <w:t>等情事</w:t>
      </w:r>
      <w:r w:rsidRPr="009D11AD">
        <w:rPr>
          <w:rFonts w:ascii="標楷體" w:eastAsia="標楷體" w:hAnsi="標楷體" w:hint="eastAsia"/>
          <w:color w:val="000000" w:themeColor="text1"/>
          <w:szCs w:val="24"/>
        </w:rPr>
        <w:t>。經函請行政院督促權責機關檢討改善。</w:t>
      </w:r>
      <w:r w:rsidRPr="00DA2751">
        <w:rPr>
          <w:rFonts w:ascii="標楷體" w:eastAsia="標楷體" w:hAnsi="標楷體" w:hint="eastAsia"/>
          <w:color w:val="000000" w:themeColor="text1"/>
          <w:szCs w:val="24"/>
        </w:rPr>
        <w:t>據復</w:t>
      </w:r>
      <w:r w:rsidRPr="00E1745B">
        <w:rPr>
          <w:rFonts w:ascii="標楷體" w:eastAsia="標楷體" w:hAnsi="標楷體" w:hint="eastAsia"/>
          <w:color w:val="000000" w:themeColor="text1"/>
          <w:szCs w:val="24"/>
        </w:rPr>
        <w:t>：</w:t>
      </w:r>
      <w:r w:rsidR="00E1745B" w:rsidRPr="00CE57F9">
        <w:rPr>
          <w:rFonts w:ascii="標楷體" w:eastAsia="標楷體" w:hAnsi="標楷體" w:hint="eastAsia"/>
          <w:color w:val="000000" w:themeColor="text1"/>
          <w:szCs w:val="24"/>
        </w:rPr>
        <w:t>（</w:t>
      </w:r>
      <w:r w:rsidR="00E1745B" w:rsidRPr="00CE57F9">
        <w:rPr>
          <w:rFonts w:ascii="標楷體" w:eastAsia="標楷體" w:hAnsi="標楷體"/>
          <w:color w:val="000000" w:themeColor="text1"/>
          <w:szCs w:val="24"/>
        </w:rPr>
        <w:t>1）為提升毒防中心個案管理人力留任率，將進用方式由臨時人員改為聘用人員，並提高渠等薪資結構，與增列資深個案管理人員職位，建立專業久任機制；（2）將持續培力專業人力，增進其專業能力，及協助</w:t>
      </w:r>
      <w:r w:rsidR="00E1745B" w:rsidRPr="00CE57F9">
        <w:rPr>
          <w:rFonts w:ascii="標楷體" w:eastAsia="標楷體" w:hAnsi="標楷體" w:hint="eastAsia"/>
          <w:color w:val="000000" w:themeColor="text1"/>
          <w:szCs w:val="24"/>
        </w:rPr>
        <w:t>市縣政府盤整地方民間團體，強化公私協力資源運用能力；（</w:t>
      </w:r>
      <w:r w:rsidR="00E1745B" w:rsidRPr="00CE57F9">
        <w:rPr>
          <w:rFonts w:ascii="標楷體" w:eastAsia="標楷體" w:hAnsi="標楷體"/>
          <w:color w:val="000000" w:themeColor="text1"/>
          <w:szCs w:val="24"/>
        </w:rPr>
        <w:t>3）將採多元方式辦理第三、四級毒品講習，並透過多重管道（含公文、簡訊、LINE、電話等）提醒個案出席，另為提升藥癮治療可近性、便利性及替代治療留置率，已增加藥癮治療費用補助方案之補助項目及額度，並推動美沙冬跨區給藥、美沙冬可近性補助計畫等</w:t>
      </w:r>
      <w:r w:rsidRPr="00CE57F9">
        <w:rPr>
          <w:rFonts w:ascii="標楷體" w:eastAsia="標楷體" w:hAnsi="標楷體" w:hint="eastAsia"/>
          <w:color w:val="000000" w:themeColor="text1"/>
          <w:szCs w:val="24"/>
        </w:rPr>
        <w:t>。</w:t>
      </w:r>
    </w:p>
    <w:p w14:paraId="4BFEC8D1" w14:textId="13C7271A" w:rsidR="0037532D" w:rsidRDefault="00E9787B" w:rsidP="00DA2751">
      <w:pPr>
        <w:overflowPunct w:val="0"/>
        <w:snapToGrid w:val="0"/>
        <w:spacing w:line="430" w:lineRule="exact"/>
        <w:ind w:firstLineChars="450" w:firstLine="1081"/>
        <w:jc w:val="both"/>
        <w:rPr>
          <w:rFonts w:ascii="標楷體" w:eastAsia="標楷體" w:hAnsi="標楷體"/>
          <w:color w:val="000000" w:themeColor="text1"/>
          <w:szCs w:val="24"/>
        </w:rPr>
      </w:pPr>
      <w:r w:rsidRPr="009D11AD">
        <w:rPr>
          <w:rFonts w:ascii="標楷體" w:eastAsia="標楷體" w:hAnsi="標楷體" w:hint="eastAsia"/>
          <w:b/>
          <w:color w:val="000000" w:themeColor="text1"/>
          <w:szCs w:val="24"/>
        </w:rPr>
        <w:t>2.</w:t>
      </w:r>
      <w:r w:rsidR="0056587F" w:rsidRPr="009D11AD">
        <w:rPr>
          <w:rFonts w:ascii="標楷體" w:eastAsia="標楷體" w:hAnsi="標楷體" w:hint="eastAsia"/>
          <w:b/>
          <w:szCs w:val="24"/>
        </w:rPr>
        <w:t xml:space="preserve">　</w:t>
      </w:r>
      <w:r w:rsidRPr="009D11AD">
        <w:rPr>
          <w:rFonts w:ascii="標楷體" w:eastAsia="標楷體" w:hAnsi="標楷體" w:hint="eastAsia"/>
          <w:b/>
          <w:color w:val="000000" w:themeColor="text1"/>
          <w:szCs w:val="24"/>
        </w:rPr>
        <w:t>政府為強化社會大眾識毒能力，由各部署共同辦理反毒行銷宣導，惟各部署可運</w:t>
      </w:r>
      <w:r w:rsidRPr="004F4A42">
        <w:rPr>
          <w:rFonts w:ascii="標楷體" w:eastAsia="標楷體" w:hAnsi="標楷體" w:hint="eastAsia"/>
          <w:b/>
          <w:color w:val="000000" w:themeColor="text1"/>
          <w:szCs w:val="24"/>
        </w:rPr>
        <w:lastRenderedPageBreak/>
        <w:t>用資源及社群經營有別，允宜作整體評估，強化跨部合作並挹注所需資源，加強觸及高風險族群，以擴大反毒宣導成效：</w:t>
      </w:r>
      <w:r w:rsidR="00046F01" w:rsidRPr="004F4A42">
        <w:rPr>
          <w:rFonts w:ascii="標楷體" w:eastAsia="標楷體" w:hAnsi="標楷體" w:hint="eastAsia"/>
          <w:color w:val="000000" w:themeColor="text1"/>
          <w:szCs w:val="24"/>
        </w:rPr>
        <w:t>施用毒品成癮性強，難以戒斷，如能採取有效反毒宣導措</w:t>
      </w:r>
      <w:r w:rsidRPr="004F4A42">
        <w:rPr>
          <w:rFonts w:ascii="標楷體" w:eastAsia="標楷體" w:hAnsi="標楷體" w:hint="eastAsia"/>
          <w:color w:val="000000" w:themeColor="text1"/>
          <w:szCs w:val="24"/>
        </w:rPr>
        <w:t>施，提早</w:t>
      </w:r>
      <w:r w:rsidRPr="009D11AD">
        <w:rPr>
          <w:rFonts w:ascii="標楷體" w:eastAsia="標楷體" w:hAnsi="標楷體" w:hint="eastAsia"/>
          <w:color w:val="000000" w:themeColor="text1"/>
          <w:szCs w:val="24"/>
        </w:rPr>
        <w:t>預防及介入，將有助降低施用毒品新生人口，及避免後續司法及醫療成本負擔。行政院於新世代反毒策略行動綱領（第二期</w:t>
      </w:r>
      <w:r w:rsidR="0068284E" w:rsidRPr="009D11AD">
        <w:rPr>
          <w:rFonts w:ascii="標楷體" w:eastAsia="標楷體" w:hAnsi="標楷體" w:hint="eastAsia"/>
          <w:color w:val="000000" w:themeColor="text1"/>
          <w:szCs w:val="24"/>
        </w:rPr>
        <w:t>110－</w:t>
      </w:r>
      <w:r w:rsidRPr="009D11AD">
        <w:rPr>
          <w:rFonts w:ascii="標楷體" w:eastAsia="標楷體" w:hAnsi="標楷體" w:hint="eastAsia"/>
          <w:color w:val="000000" w:themeColor="text1"/>
          <w:szCs w:val="24"/>
        </w:rPr>
        <w:t>113年）訂定「反毒宣導」、「強化分眾、分級反毒宣導」等策略，由教育部、法務部、</w:t>
      </w:r>
      <w:r w:rsidR="00FB1795" w:rsidRPr="009D11AD">
        <w:rPr>
          <w:rFonts w:ascii="標楷體" w:eastAsia="標楷體" w:hAnsi="標楷體" w:hint="eastAsia"/>
          <w:color w:val="000000" w:themeColor="text1"/>
          <w:szCs w:val="24"/>
        </w:rPr>
        <w:t>衛生福利部</w:t>
      </w:r>
      <w:r w:rsidRPr="009D11AD">
        <w:rPr>
          <w:rFonts w:ascii="標楷體" w:eastAsia="標楷體" w:hAnsi="標楷體" w:hint="eastAsia"/>
          <w:color w:val="000000" w:themeColor="text1"/>
          <w:szCs w:val="24"/>
        </w:rPr>
        <w:t>、內政部警政署（下稱警政署）等單位運用多元媒體通路、官方臉書等社群媒體，加強毒品防制宣導，及成立反毒宣導工作小組，統整經費預算，加強整體宣導效益等。111年度由各部署分季辦理「全民拒毒、深化防毒」（教育部）、「社區多元宣導，強化民眾反毒知能」（</w:t>
      </w:r>
      <w:r w:rsidR="00FB1795" w:rsidRPr="009D11AD">
        <w:rPr>
          <w:rFonts w:ascii="標楷體" w:eastAsia="標楷體" w:hAnsi="標楷體" w:hint="eastAsia"/>
          <w:color w:val="000000" w:themeColor="text1"/>
          <w:szCs w:val="24"/>
        </w:rPr>
        <w:t>衛生福利部</w:t>
      </w:r>
      <w:r w:rsidRPr="009D11AD">
        <w:rPr>
          <w:rFonts w:ascii="標楷體" w:eastAsia="標楷體" w:hAnsi="標楷體" w:hint="eastAsia"/>
          <w:color w:val="000000" w:themeColor="text1"/>
          <w:szCs w:val="24"/>
        </w:rPr>
        <w:t>）、「多元宣導管導、反毒成效全面」（警政署）、「強力執行緝毒專案，守護國人安全」（法務部）等毒品防制行銷宣導主軸工作。經查相關作業辦理情形，核有：（1）</w:t>
      </w:r>
      <w:r w:rsidRPr="00BD4ACF">
        <w:rPr>
          <w:rFonts w:ascii="標楷體" w:eastAsia="標楷體" w:hAnsi="標楷體" w:hint="eastAsia"/>
          <w:szCs w:val="24"/>
        </w:rPr>
        <w:t>各部署多元方式辦理反毒宣導，又為吸引民眾觀看意願及提升網路觸及度，亦結合時下青年人流行元素，邀請網路社群代表人物，進行網路反毒推廣，惟各機關社群媒體帳號之訂閱數存有落差，又各部</w:t>
      </w:r>
      <w:r w:rsidR="00260EC4" w:rsidRPr="00BD4ACF">
        <w:rPr>
          <w:rFonts w:ascii="標楷體" w:eastAsia="標楷體" w:hAnsi="標楷體" w:hint="eastAsia"/>
          <w:szCs w:val="24"/>
        </w:rPr>
        <w:t>署</w:t>
      </w:r>
      <w:r w:rsidRPr="00BD4ACF">
        <w:rPr>
          <w:rFonts w:ascii="標楷體" w:eastAsia="標楷體" w:hAnsi="標楷體" w:hint="eastAsia"/>
          <w:szCs w:val="24"/>
        </w:rPr>
        <w:t>按季宣導主軸，未共同發布推廣各自機關以外之網路宣導素材，未能充分擴大宣導效果，允宜整合相關資源及優勢，加強跨部署網路宣導合作，提升宣導素材之推廣成效及擴散效益程度；（2）經查</w:t>
      </w:r>
      <w:r w:rsidRPr="00BD4ACF">
        <w:rPr>
          <w:rFonts w:ascii="標楷體" w:eastAsia="標楷體" w:hAnsi="標楷體"/>
          <w:szCs w:val="24"/>
        </w:rPr>
        <w:t>111年度網路毒品犯罪案件數、嫌疑犯人數</w:t>
      </w:r>
      <w:r w:rsidRPr="00BD4ACF">
        <w:rPr>
          <w:rFonts w:ascii="標楷體" w:eastAsia="標楷體" w:hAnsi="標楷體" w:hint="eastAsia"/>
          <w:szCs w:val="24"/>
        </w:rPr>
        <w:t>，分別</w:t>
      </w:r>
      <w:r w:rsidRPr="009D11AD">
        <w:rPr>
          <w:rFonts w:ascii="標楷體" w:eastAsia="標楷體" w:hAnsi="標楷體" w:hint="eastAsia"/>
          <w:szCs w:val="24"/>
        </w:rPr>
        <w:t>為109</w:t>
      </w:r>
      <w:r w:rsidR="006E2403" w:rsidRPr="00DA2751">
        <w:rPr>
          <w:rFonts w:ascii="標楷體" w:eastAsia="標楷體" w:hAnsi="標楷體"/>
          <w:noProof/>
          <w:color w:val="000000" w:themeColor="text1"/>
          <w:szCs w:val="24"/>
        </w:rPr>
        <mc:AlternateContent>
          <mc:Choice Requires="wps">
            <w:drawing>
              <wp:anchor distT="45720" distB="45720" distL="114300" distR="114300" simplePos="0" relativeHeight="251657728" behindDoc="0" locked="0" layoutInCell="1" allowOverlap="1" wp14:anchorId="2965E517" wp14:editId="72D8D1E4">
                <wp:simplePos x="0" y="0"/>
                <wp:positionH relativeFrom="margin">
                  <wp:posOffset>3841750</wp:posOffset>
                </wp:positionH>
                <wp:positionV relativeFrom="paragraph">
                  <wp:posOffset>3968367</wp:posOffset>
                </wp:positionV>
                <wp:extent cx="2459355" cy="1875790"/>
                <wp:effectExtent l="0" t="0" r="0" b="0"/>
                <wp:wrapSquare wrapText="bothSides"/>
                <wp:docPr id="27" name="文字方塊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9355" cy="1875790"/>
                        </a:xfrm>
                        <a:prstGeom prst="rect">
                          <a:avLst/>
                        </a:prstGeom>
                        <a:solidFill>
                          <a:srgbClr val="FFFFFF"/>
                        </a:solidFill>
                        <a:ln w="9525">
                          <a:noFill/>
                          <a:miter lim="800000"/>
                          <a:headEnd/>
                          <a:tailEnd/>
                        </a:ln>
                      </wps:spPr>
                      <wps:txbx>
                        <w:txbxContent>
                          <w:p w14:paraId="2D055398" w14:textId="77777777" w:rsidR="00CE57F9" w:rsidRPr="002924C4" w:rsidRDefault="00CE57F9" w:rsidP="006E2403">
                            <w:pPr>
                              <w:snapToGrid w:val="0"/>
                              <w:ind w:leftChars="-59" w:left="507" w:rightChars="-26" w:right="-62" w:hangingChars="270" w:hanging="649"/>
                              <w:contextualSpacing/>
                              <w:rPr>
                                <w:rFonts w:ascii="標楷體" w:eastAsia="標楷體" w:hAnsi="標楷體"/>
                                <w:b/>
                              </w:rPr>
                            </w:pPr>
                            <w:r w:rsidRPr="002924C4">
                              <w:rPr>
                                <w:rFonts w:ascii="標楷體" w:eastAsia="標楷體" w:hAnsi="標楷體" w:hint="eastAsia"/>
                                <w:b/>
                              </w:rPr>
                              <w:t>表</w:t>
                            </w:r>
                            <w:r w:rsidRPr="002924C4">
                              <w:rPr>
                                <w:rFonts w:ascii="標楷體" w:eastAsia="標楷體" w:hAnsi="標楷體"/>
                                <w:b/>
                              </w:rPr>
                              <w:t>3</w:t>
                            </w:r>
                            <w:r w:rsidRPr="002924C4">
                              <w:rPr>
                                <w:rFonts w:ascii="標楷體" w:eastAsia="標楷體" w:hAnsi="標楷體" w:cs="新細明體" w:hint="eastAsia"/>
                                <w:b/>
                                <w:bCs/>
                                <w:color w:val="000000"/>
                                <w:kern w:val="0"/>
                                <w:szCs w:val="24"/>
                              </w:rPr>
                              <w:t xml:space="preserve">　</w:t>
                            </w:r>
                            <w:r w:rsidRPr="004514EB">
                              <w:rPr>
                                <w:rFonts w:ascii="標楷體" w:eastAsia="標楷體" w:hAnsi="標楷體" w:hint="eastAsia"/>
                                <w:b/>
                              </w:rPr>
                              <w:t>網路販賣毒品案件數及嫌疑犯人數</w:t>
                            </w:r>
                          </w:p>
                          <w:p w14:paraId="4064CAC1" w14:textId="77777777" w:rsidR="00CE57F9" w:rsidRPr="00A90CFF" w:rsidRDefault="00CE57F9" w:rsidP="006E2403">
                            <w:pPr>
                              <w:snapToGrid w:val="0"/>
                              <w:ind w:left="616" w:hangingChars="280" w:hanging="616"/>
                              <w:contextualSpacing/>
                              <w:jc w:val="right"/>
                              <w:rPr>
                                <w:rFonts w:ascii="標楷體" w:eastAsia="標楷體" w:hAnsi="標楷體"/>
                                <w:sz w:val="22"/>
                              </w:rPr>
                            </w:pPr>
                            <w:r w:rsidRPr="00A90CFF">
                              <w:rPr>
                                <w:rFonts w:ascii="標楷體" w:eastAsia="標楷體" w:hAnsi="標楷體" w:hint="eastAsia"/>
                                <w:sz w:val="22"/>
                              </w:rPr>
                              <w:t>單位：件、人</w:t>
                            </w:r>
                            <w:r>
                              <w:rPr>
                                <w:rFonts w:ascii="標楷體" w:eastAsia="標楷體" w:hAnsi="標楷體" w:hint="eastAsia"/>
                                <w:sz w:val="22"/>
                              </w:rPr>
                              <w:t>、倍</w:t>
                            </w:r>
                          </w:p>
                          <w:tbl>
                            <w:tblPr>
                              <w:tblStyle w:val="72"/>
                              <w:tblW w:w="3652" w:type="dxa"/>
                              <w:tblLook w:val="04A0" w:firstRow="1" w:lastRow="0" w:firstColumn="1" w:lastColumn="0" w:noHBand="0" w:noVBand="1"/>
                            </w:tblPr>
                            <w:tblGrid>
                              <w:gridCol w:w="392"/>
                              <w:gridCol w:w="1134"/>
                              <w:gridCol w:w="1063"/>
                              <w:gridCol w:w="1063"/>
                            </w:tblGrid>
                            <w:tr w:rsidR="00CE57F9" w:rsidRPr="004514EB" w14:paraId="1F1AD51A" w14:textId="77777777" w:rsidTr="00A61199">
                              <w:tc>
                                <w:tcPr>
                                  <w:tcW w:w="15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C33476" w14:textId="77777777" w:rsidR="00CE57F9" w:rsidRPr="004514EB" w:rsidRDefault="00CE57F9" w:rsidP="004514EB">
                                  <w:pPr>
                                    <w:widowControl/>
                                    <w:jc w:val="center"/>
                                    <w:rPr>
                                      <w:rFonts w:ascii="標楷體" w:eastAsia="標楷體" w:hAnsi="標楷體"/>
                                      <w:color w:val="000000"/>
                                      <w:kern w:val="0"/>
                                      <w:sz w:val="20"/>
                                    </w:rPr>
                                  </w:pPr>
                                  <w:r w:rsidRPr="004514EB">
                                    <w:rPr>
                                      <w:rFonts w:ascii="標楷體" w:eastAsia="標楷體" w:hAnsi="標楷體" w:hint="eastAsia"/>
                                      <w:color w:val="000000"/>
                                      <w:kern w:val="0"/>
                                      <w:sz w:val="20"/>
                                    </w:rPr>
                                    <w:t>年度</w:t>
                                  </w:r>
                                </w:p>
                              </w:tc>
                              <w:tc>
                                <w:tcPr>
                                  <w:tcW w:w="1063" w:type="dxa"/>
                                  <w:tcBorders>
                                    <w:top w:val="single" w:sz="4" w:space="0" w:color="auto"/>
                                    <w:left w:val="nil"/>
                                    <w:bottom w:val="single" w:sz="4" w:space="0" w:color="auto"/>
                                    <w:right w:val="single" w:sz="4" w:space="0" w:color="auto"/>
                                  </w:tcBorders>
                                  <w:shd w:val="clear" w:color="auto" w:fill="auto"/>
                                  <w:vAlign w:val="center"/>
                                </w:tcPr>
                                <w:p w14:paraId="5CC097B7" w14:textId="77777777" w:rsidR="00CE57F9" w:rsidRPr="004514EB" w:rsidRDefault="00CE57F9" w:rsidP="004514EB">
                                  <w:pPr>
                                    <w:jc w:val="center"/>
                                    <w:rPr>
                                      <w:rFonts w:ascii="標楷體" w:eastAsia="標楷體" w:hAnsi="標楷體"/>
                                      <w:color w:val="000000"/>
                                      <w:kern w:val="0"/>
                                      <w:sz w:val="20"/>
                                    </w:rPr>
                                  </w:pPr>
                                  <w:r w:rsidRPr="004514EB">
                                    <w:rPr>
                                      <w:rFonts w:ascii="標楷體" w:eastAsia="標楷體" w:hAnsi="標楷體" w:hint="eastAsia"/>
                                      <w:color w:val="000000"/>
                                      <w:kern w:val="0"/>
                                      <w:sz w:val="20"/>
                                    </w:rPr>
                                    <w:t>案件數</w:t>
                                  </w:r>
                                </w:p>
                              </w:tc>
                              <w:tc>
                                <w:tcPr>
                                  <w:tcW w:w="1063" w:type="dxa"/>
                                  <w:tcBorders>
                                    <w:top w:val="single" w:sz="4" w:space="0" w:color="auto"/>
                                    <w:left w:val="nil"/>
                                    <w:bottom w:val="single" w:sz="4" w:space="0" w:color="auto"/>
                                    <w:right w:val="single" w:sz="4" w:space="0" w:color="auto"/>
                                  </w:tcBorders>
                                  <w:shd w:val="clear" w:color="auto" w:fill="auto"/>
                                </w:tcPr>
                                <w:p w14:paraId="63892344" w14:textId="77777777" w:rsidR="00CE57F9" w:rsidRPr="004514EB" w:rsidRDefault="00CE57F9" w:rsidP="004514EB">
                                  <w:pPr>
                                    <w:jc w:val="center"/>
                                    <w:rPr>
                                      <w:rFonts w:ascii="標楷體" w:eastAsia="標楷體" w:hAnsi="標楷體"/>
                                      <w:color w:val="000000"/>
                                      <w:kern w:val="0"/>
                                      <w:sz w:val="20"/>
                                    </w:rPr>
                                  </w:pPr>
                                  <w:r w:rsidRPr="004514EB">
                                    <w:rPr>
                                      <w:rFonts w:ascii="標楷體" w:eastAsia="標楷體" w:hAnsi="標楷體" w:hint="eastAsia"/>
                                      <w:color w:val="000000"/>
                                      <w:kern w:val="0"/>
                                      <w:sz w:val="20"/>
                                    </w:rPr>
                                    <w:t>嫌疑人數</w:t>
                                  </w:r>
                                </w:p>
                              </w:tc>
                            </w:tr>
                            <w:tr w:rsidR="00CE57F9" w:rsidRPr="004514EB" w14:paraId="09E6D17D" w14:textId="77777777" w:rsidTr="00A61199">
                              <w:tc>
                                <w:tcPr>
                                  <w:tcW w:w="15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E0169" w14:textId="77777777" w:rsidR="00CE57F9" w:rsidRPr="004514EB" w:rsidRDefault="00CE57F9" w:rsidP="004514EB">
                                  <w:pPr>
                                    <w:jc w:val="center"/>
                                    <w:rPr>
                                      <w:rFonts w:ascii="標楷體" w:eastAsia="標楷體" w:hAnsi="標楷體"/>
                                      <w:color w:val="000000"/>
                                      <w:kern w:val="0"/>
                                      <w:sz w:val="20"/>
                                    </w:rPr>
                                  </w:pPr>
                                  <w:r w:rsidRPr="004514EB">
                                    <w:rPr>
                                      <w:rFonts w:ascii="標楷體" w:eastAsia="標楷體" w:hAnsi="標楷體" w:hint="eastAsia"/>
                                      <w:color w:val="000000"/>
                                      <w:kern w:val="0"/>
                                      <w:sz w:val="20"/>
                                    </w:rPr>
                                    <w:t>109</w:t>
                                  </w:r>
                                  <w:r w:rsidRPr="004514EB">
                                    <w:rPr>
                                      <w:rFonts w:ascii="標楷體" w:eastAsia="標楷體" w:hAnsi="標楷體"/>
                                      <w:color w:val="000000"/>
                                      <w:kern w:val="0"/>
                                      <w:sz w:val="20"/>
                                    </w:rPr>
                                    <w:t xml:space="preserve"> </w:t>
                                  </w:r>
                                </w:p>
                              </w:tc>
                              <w:tc>
                                <w:tcPr>
                                  <w:tcW w:w="1063" w:type="dxa"/>
                                  <w:tcBorders>
                                    <w:top w:val="single" w:sz="4" w:space="0" w:color="auto"/>
                                    <w:left w:val="nil"/>
                                    <w:bottom w:val="single" w:sz="4" w:space="0" w:color="auto"/>
                                    <w:right w:val="single" w:sz="4" w:space="0" w:color="auto"/>
                                  </w:tcBorders>
                                  <w:shd w:val="clear" w:color="auto" w:fill="auto"/>
                                  <w:vAlign w:val="center"/>
                                </w:tcPr>
                                <w:p w14:paraId="0E39177A" w14:textId="77777777" w:rsidR="00CE57F9" w:rsidRPr="004514EB" w:rsidRDefault="00CE57F9" w:rsidP="004514EB">
                                  <w:pPr>
                                    <w:jc w:val="right"/>
                                    <w:rPr>
                                      <w:rFonts w:ascii="標楷體" w:eastAsia="標楷體" w:hAnsi="標楷體"/>
                                      <w:color w:val="000000"/>
                                      <w:kern w:val="0"/>
                                      <w:sz w:val="20"/>
                                    </w:rPr>
                                  </w:pPr>
                                  <w:r w:rsidRPr="004514EB">
                                    <w:rPr>
                                      <w:rFonts w:ascii="標楷體" w:eastAsia="標楷體" w:hAnsi="標楷體" w:hint="eastAsia"/>
                                      <w:color w:val="000000"/>
                                      <w:kern w:val="0"/>
                                      <w:sz w:val="20"/>
                                    </w:rPr>
                                    <w:t>295</w:t>
                                  </w:r>
                                </w:p>
                              </w:tc>
                              <w:tc>
                                <w:tcPr>
                                  <w:tcW w:w="1063" w:type="dxa"/>
                                  <w:tcBorders>
                                    <w:top w:val="single" w:sz="4" w:space="0" w:color="auto"/>
                                    <w:left w:val="nil"/>
                                    <w:bottom w:val="single" w:sz="4" w:space="0" w:color="auto"/>
                                    <w:right w:val="single" w:sz="4" w:space="0" w:color="auto"/>
                                  </w:tcBorders>
                                  <w:shd w:val="clear" w:color="auto" w:fill="auto"/>
                                  <w:vAlign w:val="center"/>
                                </w:tcPr>
                                <w:p w14:paraId="3F46603D" w14:textId="77777777" w:rsidR="00CE57F9" w:rsidRPr="004514EB" w:rsidRDefault="00CE57F9" w:rsidP="004514EB">
                                  <w:pPr>
                                    <w:jc w:val="right"/>
                                    <w:rPr>
                                      <w:rFonts w:ascii="標楷體" w:eastAsia="標楷體" w:hAnsi="標楷體"/>
                                      <w:color w:val="000000"/>
                                      <w:kern w:val="0"/>
                                      <w:sz w:val="20"/>
                                    </w:rPr>
                                  </w:pPr>
                                  <w:r w:rsidRPr="004514EB">
                                    <w:rPr>
                                      <w:rFonts w:ascii="標楷體" w:eastAsia="標楷體" w:hAnsi="標楷體" w:hint="eastAsia"/>
                                      <w:color w:val="000000"/>
                                      <w:kern w:val="0"/>
                                      <w:sz w:val="20"/>
                                    </w:rPr>
                                    <w:t>347</w:t>
                                  </w:r>
                                </w:p>
                              </w:tc>
                            </w:tr>
                            <w:tr w:rsidR="00CE57F9" w:rsidRPr="004514EB" w14:paraId="063ACDD2" w14:textId="77777777" w:rsidTr="00A61199">
                              <w:tc>
                                <w:tcPr>
                                  <w:tcW w:w="15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F6D44" w14:textId="77777777" w:rsidR="00CE57F9" w:rsidRPr="004514EB" w:rsidRDefault="00CE57F9" w:rsidP="004514EB">
                                  <w:pPr>
                                    <w:jc w:val="center"/>
                                    <w:rPr>
                                      <w:rFonts w:ascii="標楷體" w:eastAsia="標楷體" w:hAnsi="標楷體"/>
                                      <w:color w:val="000000"/>
                                      <w:kern w:val="0"/>
                                      <w:sz w:val="20"/>
                                    </w:rPr>
                                  </w:pPr>
                                  <w:r w:rsidRPr="004514EB">
                                    <w:rPr>
                                      <w:rFonts w:ascii="標楷體" w:eastAsia="標楷體" w:hAnsi="標楷體" w:hint="eastAsia"/>
                                      <w:color w:val="000000"/>
                                      <w:kern w:val="0"/>
                                      <w:sz w:val="20"/>
                                    </w:rPr>
                                    <w:t>110</w:t>
                                  </w:r>
                                </w:p>
                              </w:tc>
                              <w:tc>
                                <w:tcPr>
                                  <w:tcW w:w="1063" w:type="dxa"/>
                                  <w:tcBorders>
                                    <w:top w:val="single" w:sz="4" w:space="0" w:color="auto"/>
                                    <w:left w:val="nil"/>
                                    <w:bottom w:val="single" w:sz="4" w:space="0" w:color="auto"/>
                                    <w:right w:val="single" w:sz="4" w:space="0" w:color="auto"/>
                                  </w:tcBorders>
                                  <w:shd w:val="clear" w:color="auto" w:fill="auto"/>
                                  <w:vAlign w:val="center"/>
                                </w:tcPr>
                                <w:p w14:paraId="400FC722" w14:textId="77777777" w:rsidR="00CE57F9" w:rsidRPr="004514EB" w:rsidRDefault="00CE57F9" w:rsidP="004514EB">
                                  <w:pPr>
                                    <w:jc w:val="right"/>
                                    <w:rPr>
                                      <w:rFonts w:ascii="標楷體" w:eastAsia="標楷體" w:hAnsi="標楷體"/>
                                      <w:color w:val="000000"/>
                                      <w:kern w:val="0"/>
                                      <w:sz w:val="20"/>
                                    </w:rPr>
                                  </w:pPr>
                                  <w:r w:rsidRPr="004514EB">
                                    <w:rPr>
                                      <w:rFonts w:ascii="標楷體" w:eastAsia="標楷體" w:hAnsi="標楷體" w:hint="eastAsia"/>
                                      <w:color w:val="000000"/>
                                      <w:kern w:val="0"/>
                                      <w:sz w:val="20"/>
                                    </w:rPr>
                                    <w:t>276</w:t>
                                  </w:r>
                                </w:p>
                              </w:tc>
                              <w:tc>
                                <w:tcPr>
                                  <w:tcW w:w="1063" w:type="dxa"/>
                                  <w:tcBorders>
                                    <w:top w:val="single" w:sz="4" w:space="0" w:color="auto"/>
                                    <w:left w:val="nil"/>
                                    <w:bottom w:val="single" w:sz="4" w:space="0" w:color="auto"/>
                                    <w:right w:val="single" w:sz="4" w:space="0" w:color="auto"/>
                                  </w:tcBorders>
                                  <w:shd w:val="clear" w:color="auto" w:fill="auto"/>
                                  <w:vAlign w:val="center"/>
                                </w:tcPr>
                                <w:p w14:paraId="38573FE4" w14:textId="77777777" w:rsidR="00CE57F9" w:rsidRPr="004514EB" w:rsidRDefault="00CE57F9" w:rsidP="004514EB">
                                  <w:pPr>
                                    <w:jc w:val="right"/>
                                    <w:rPr>
                                      <w:rFonts w:ascii="標楷體" w:eastAsia="標楷體" w:hAnsi="標楷體"/>
                                      <w:color w:val="000000"/>
                                      <w:kern w:val="0"/>
                                      <w:sz w:val="20"/>
                                    </w:rPr>
                                  </w:pPr>
                                  <w:r w:rsidRPr="004514EB">
                                    <w:rPr>
                                      <w:rFonts w:ascii="標楷體" w:eastAsia="標楷體" w:hAnsi="標楷體" w:hint="eastAsia"/>
                                      <w:color w:val="000000"/>
                                      <w:kern w:val="0"/>
                                      <w:sz w:val="20"/>
                                    </w:rPr>
                                    <w:t>367</w:t>
                                  </w:r>
                                </w:p>
                              </w:tc>
                            </w:tr>
                            <w:tr w:rsidR="00CE57F9" w:rsidRPr="004514EB" w14:paraId="4DBF0000" w14:textId="77777777" w:rsidTr="00A61199">
                              <w:tc>
                                <w:tcPr>
                                  <w:tcW w:w="1526" w:type="dxa"/>
                                  <w:gridSpan w:val="2"/>
                                  <w:tcBorders>
                                    <w:top w:val="single" w:sz="4" w:space="0" w:color="auto"/>
                                    <w:left w:val="single" w:sz="4" w:space="0" w:color="auto"/>
                                    <w:bottom w:val="nil"/>
                                    <w:right w:val="single" w:sz="4" w:space="0" w:color="auto"/>
                                  </w:tcBorders>
                                  <w:shd w:val="clear" w:color="auto" w:fill="auto"/>
                                  <w:vAlign w:val="center"/>
                                </w:tcPr>
                                <w:p w14:paraId="18F6A96A" w14:textId="77777777" w:rsidR="00CE57F9" w:rsidRPr="004514EB" w:rsidRDefault="00CE57F9" w:rsidP="004514EB">
                                  <w:pPr>
                                    <w:jc w:val="center"/>
                                    <w:rPr>
                                      <w:rFonts w:ascii="標楷體" w:eastAsia="標楷體" w:hAnsi="標楷體"/>
                                      <w:color w:val="000000"/>
                                      <w:kern w:val="0"/>
                                      <w:sz w:val="20"/>
                                    </w:rPr>
                                  </w:pPr>
                                  <w:r w:rsidRPr="004514EB">
                                    <w:rPr>
                                      <w:rFonts w:ascii="標楷體" w:eastAsia="標楷體" w:hAnsi="標楷體" w:hint="eastAsia"/>
                                      <w:color w:val="000000"/>
                                      <w:kern w:val="0"/>
                                      <w:sz w:val="20"/>
                                    </w:rPr>
                                    <w:t>111</w:t>
                                  </w:r>
                                </w:p>
                              </w:tc>
                              <w:tc>
                                <w:tcPr>
                                  <w:tcW w:w="1063" w:type="dxa"/>
                                  <w:tcBorders>
                                    <w:top w:val="single" w:sz="4" w:space="0" w:color="auto"/>
                                    <w:left w:val="nil"/>
                                    <w:bottom w:val="single" w:sz="4" w:space="0" w:color="auto"/>
                                    <w:right w:val="single" w:sz="4" w:space="0" w:color="auto"/>
                                  </w:tcBorders>
                                  <w:shd w:val="clear" w:color="auto" w:fill="auto"/>
                                  <w:vAlign w:val="center"/>
                                </w:tcPr>
                                <w:p w14:paraId="49CDFCDB" w14:textId="77777777" w:rsidR="00CE57F9" w:rsidRPr="004514EB" w:rsidRDefault="00CE57F9" w:rsidP="004514EB">
                                  <w:pPr>
                                    <w:jc w:val="right"/>
                                    <w:rPr>
                                      <w:rFonts w:ascii="標楷體" w:eastAsia="標楷體" w:hAnsi="標楷體"/>
                                      <w:color w:val="000000"/>
                                      <w:kern w:val="0"/>
                                      <w:sz w:val="20"/>
                                    </w:rPr>
                                  </w:pPr>
                                  <w:r w:rsidRPr="004514EB">
                                    <w:rPr>
                                      <w:rFonts w:ascii="標楷體" w:eastAsia="標楷體" w:hAnsi="標楷體" w:hint="eastAsia"/>
                                      <w:color w:val="000000"/>
                                      <w:kern w:val="0"/>
                                      <w:sz w:val="20"/>
                                    </w:rPr>
                                    <w:t>496</w:t>
                                  </w:r>
                                </w:p>
                              </w:tc>
                              <w:tc>
                                <w:tcPr>
                                  <w:tcW w:w="1063" w:type="dxa"/>
                                  <w:tcBorders>
                                    <w:top w:val="single" w:sz="4" w:space="0" w:color="auto"/>
                                    <w:left w:val="nil"/>
                                    <w:bottom w:val="single" w:sz="4" w:space="0" w:color="auto"/>
                                    <w:right w:val="single" w:sz="4" w:space="0" w:color="auto"/>
                                  </w:tcBorders>
                                  <w:shd w:val="clear" w:color="auto" w:fill="auto"/>
                                  <w:vAlign w:val="center"/>
                                </w:tcPr>
                                <w:p w14:paraId="7E6A43FB" w14:textId="77777777" w:rsidR="00CE57F9" w:rsidRPr="004514EB" w:rsidRDefault="00CE57F9" w:rsidP="004514EB">
                                  <w:pPr>
                                    <w:jc w:val="right"/>
                                    <w:rPr>
                                      <w:rFonts w:ascii="標楷體" w:eastAsia="標楷體" w:hAnsi="標楷體"/>
                                      <w:color w:val="000000"/>
                                      <w:kern w:val="0"/>
                                      <w:sz w:val="20"/>
                                    </w:rPr>
                                  </w:pPr>
                                  <w:r w:rsidRPr="004514EB">
                                    <w:rPr>
                                      <w:rFonts w:ascii="標楷體" w:eastAsia="標楷體" w:hAnsi="標楷體" w:hint="eastAsia"/>
                                      <w:color w:val="000000"/>
                                      <w:kern w:val="0"/>
                                      <w:sz w:val="20"/>
                                    </w:rPr>
                                    <w:t>668</w:t>
                                  </w:r>
                                </w:p>
                              </w:tc>
                            </w:tr>
                            <w:tr w:rsidR="00CE57F9" w:rsidRPr="004514EB" w14:paraId="341319E5" w14:textId="77777777" w:rsidTr="00A61199">
                              <w:tc>
                                <w:tcPr>
                                  <w:tcW w:w="392" w:type="dxa"/>
                                  <w:tcBorders>
                                    <w:top w:val="nil"/>
                                    <w:left w:val="single" w:sz="4" w:space="0" w:color="auto"/>
                                    <w:bottom w:val="single" w:sz="4" w:space="0" w:color="auto"/>
                                    <w:right w:val="single" w:sz="4" w:space="0" w:color="auto"/>
                                  </w:tcBorders>
                                  <w:shd w:val="clear" w:color="auto" w:fill="auto"/>
                                  <w:vAlign w:val="center"/>
                                </w:tcPr>
                                <w:p w14:paraId="336FD7BE" w14:textId="77777777" w:rsidR="00CE57F9" w:rsidRPr="004514EB" w:rsidRDefault="00CE57F9" w:rsidP="004514EB">
                                  <w:pPr>
                                    <w:jc w:val="center"/>
                                    <w:rPr>
                                      <w:rFonts w:ascii="標楷體" w:eastAsia="標楷體" w:hAnsi="標楷體"/>
                                      <w:color w:val="000000"/>
                                      <w:kern w:val="0"/>
                                      <w:sz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4B46266" w14:textId="77777777" w:rsidR="00CE57F9" w:rsidRPr="004514EB" w:rsidRDefault="00CE57F9" w:rsidP="004514EB">
                                  <w:pPr>
                                    <w:snapToGrid w:val="0"/>
                                    <w:contextualSpacing/>
                                    <w:jc w:val="center"/>
                                    <w:rPr>
                                      <w:rFonts w:ascii="標楷體" w:eastAsia="標楷體" w:hAnsi="標楷體"/>
                                      <w:color w:val="000000"/>
                                      <w:kern w:val="0"/>
                                      <w:sz w:val="20"/>
                                    </w:rPr>
                                  </w:pPr>
                                  <w:r w:rsidRPr="004514EB">
                                    <w:rPr>
                                      <w:rFonts w:ascii="標楷體" w:eastAsia="標楷體" w:hAnsi="標楷體" w:hint="eastAsia"/>
                                      <w:color w:val="000000"/>
                                      <w:kern w:val="0"/>
                                      <w:sz w:val="20"/>
                                    </w:rPr>
                                    <w:t>為109年度之倍數</w:t>
                                  </w:r>
                                </w:p>
                              </w:tc>
                              <w:tc>
                                <w:tcPr>
                                  <w:tcW w:w="1063" w:type="dxa"/>
                                  <w:tcBorders>
                                    <w:top w:val="single" w:sz="4" w:space="0" w:color="auto"/>
                                    <w:left w:val="nil"/>
                                    <w:bottom w:val="single" w:sz="4" w:space="0" w:color="auto"/>
                                    <w:right w:val="single" w:sz="4" w:space="0" w:color="auto"/>
                                  </w:tcBorders>
                                  <w:shd w:val="clear" w:color="auto" w:fill="auto"/>
                                  <w:vAlign w:val="center"/>
                                </w:tcPr>
                                <w:p w14:paraId="772FBCBE" w14:textId="77777777" w:rsidR="00CE57F9" w:rsidRPr="004514EB" w:rsidRDefault="00CE57F9" w:rsidP="004514EB">
                                  <w:pPr>
                                    <w:jc w:val="right"/>
                                    <w:rPr>
                                      <w:rFonts w:ascii="標楷體" w:eastAsia="標楷體" w:hAnsi="標楷體"/>
                                      <w:color w:val="000000"/>
                                      <w:kern w:val="0"/>
                                      <w:sz w:val="20"/>
                                    </w:rPr>
                                  </w:pPr>
                                  <w:r w:rsidRPr="004514EB">
                                    <w:rPr>
                                      <w:rFonts w:ascii="標楷體" w:eastAsia="標楷體" w:hAnsi="標楷體" w:hint="eastAsia"/>
                                      <w:color w:val="000000"/>
                                      <w:kern w:val="0"/>
                                      <w:sz w:val="20"/>
                                    </w:rPr>
                                    <w:t xml:space="preserve">1.68 </w:t>
                                  </w:r>
                                </w:p>
                              </w:tc>
                              <w:tc>
                                <w:tcPr>
                                  <w:tcW w:w="1063" w:type="dxa"/>
                                  <w:tcBorders>
                                    <w:top w:val="single" w:sz="4" w:space="0" w:color="auto"/>
                                    <w:left w:val="nil"/>
                                    <w:bottom w:val="single" w:sz="4" w:space="0" w:color="auto"/>
                                    <w:right w:val="single" w:sz="4" w:space="0" w:color="auto"/>
                                  </w:tcBorders>
                                  <w:shd w:val="clear" w:color="auto" w:fill="auto"/>
                                  <w:vAlign w:val="center"/>
                                </w:tcPr>
                                <w:p w14:paraId="7D68AF1E" w14:textId="77777777" w:rsidR="00CE57F9" w:rsidRPr="004514EB" w:rsidRDefault="00CE57F9" w:rsidP="004514EB">
                                  <w:pPr>
                                    <w:jc w:val="right"/>
                                    <w:rPr>
                                      <w:rFonts w:ascii="標楷體" w:eastAsia="標楷體" w:hAnsi="標楷體"/>
                                      <w:color w:val="000000"/>
                                      <w:kern w:val="0"/>
                                      <w:sz w:val="20"/>
                                    </w:rPr>
                                  </w:pPr>
                                  <w:r w:rsidRPr="004514EB">
                                    <w:rPr>
                                      <w:rFonts w:ascii="標楷體" w:eastAsia="標楷體" w:hAnsi="標楷體" w:hint="eastAsia"/>
                                      <w:color w:val="000000"/>
                                      <w:kern w:val="0"/>
                                      <w:sz w:val="20"/>
                                    </w:rPr>
                                    <w:t xml:space="preserve">1.93 </w:t>
                                  </w:r>
                                </w:p>
                              </w:tc>
                            </w:tr>
                          </w:tbl>
                          <w:p w14:paraId="5BD533BE" w14:textId="77777777" w:rsidR="00CE57F9" w:rsidRPr="00A018A0" w:rsidRDefault="00CE57F9" w:rsidP="006E2403">
                            <w:pPr>
                              <w:snapToGrid w:val="0"/>
                              <w:ind w:leftChars="-40" w:left="444" w:rightChars="-52" w:right="-125" w:hangingChars="300" w:hanging="540"/>
                              <w:contextualSpacing/>
                              <w:jc w:val="both"/>
                              <w:rPr>
                                <w:rFonts w:ascii="標楷體" w:eastAsia="標楷體" w:hAnsi="標楷體"/>
                                <w:sz w:val="18"/>
                              </w:rPr>
                            </w:pPr>
                            <w:r w:rsidRPr="00A018A0">
                              <w:rPr>
                                <w:rFonts w:ascii="標楷體" w:eastAsia="標楷體" w:hAnsi="標楷體" w:hint="eastAsia"/>
                                <w:sz w:val="18"/>
                              </w:rPr>
                              <w:t>註：</w:t>
                            </w:r>
                            <w:r w:rsidRPr="00A90CFF">
                              <w:rPr>
                                <w:rFonts w:ascii="標楷體" w:eastAsia="標楷體" w:hAnsi="標楷體" w:hint="eastAsia"/>
                                <w:sz w:val="18"/>
                              </w:rPr>
                              <w:t>整理自警政署提供資料。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65E517" id="文字方塊 27" o:spid="_x0000_s1031" type="#_x0000_t202" style="position:absolute;left:0;text-align:left;margin-left:302.5pt;margin-top:312.45pt;width:193.65pt;height:147.7pt;z-index:2516577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" stroked="f">
                <v:textbox>
                  <w:txbxContent>
                    <w:p w14:paraId="2D055398" w14:textId="77777777" w:rsidR="00CE57F9" w:rsidRPr="002924C4" w:rsidRDefault="00CE57F9" w:rsidP="006E2403">
                      <w:pPr>
                        <w:snapToGrid w:val="0"/>
                        <w:ind w:leftChars="-59" w:left="507" w:rightChars="-26" w:right="-62" w:hangingChars="270" w:hanging="649"/>
                        <w:contextualSpacing/>
                        <w:rPr>
                          <w:rFonts w:ascii="標楷體" w:eastAsia="標楷體" w:hAnsi="標楷體"/>
                          <w:b/>
                        </w:rPr>
                      </w:pPr>
                      <w:r w:rsidRPr="002924C4">
                        <w:rPr>
                          <w:rFonts w:ascii="標楷體" w:eastAsia="標楷體" w:hAnsi="標楷體" w:hint="eastAsia"/>
                          <w:b/>
                        </w:rPr>
                        <w:t>表</w:t>
                      </w:r>
                      <w:r w:rsidRPr="002924C4">
                        <w:rPr>
                          <w:rFonts w:ascii="標楷體" w:eastAsia="標楷體" w:hAnsi="標楷體"/>
                          <w:b/>
                        </w:rPr>
                        <w:t>3</w:t>
                      </w:r>
                      <w:r w:rsidRPr="002924C4">
                        <w:rPr>
                          <w:rFonts w:ascii="標楷體" w:eastAsia="標楷體" w:hAnsi="標楷體" w:cs="新細明體" w:hint="eastAsia"/>
                          <w:b/>
                          <w:bCs/>
                          <w:color w:val="000000"/>
                          <w:kern w:val="0"/>
                          <w:szCs w:val="24"/>
                        </w:rPr>
                        <w:t xml:space="preserve">　</w:t>
                      </w:r>
                      <w:r w:rsidRPr="004514EB">
                        <w:rPr>
                          <w:rFonts w:ascii="標楷體" w:eastAsia="標楷體" w:hAnsi="標楷體" w:hint="eastAsia"/>
                          <w:b/>
                        </w:rPr>
                        <w:t>網路販賣毒品案件數及嫌疑犯人數</w:t>
                      </w:r>
                    </w:p>
                    <w:p w14:paraId="4064CAC1" w14:textId="77777777" w:rsidR="00CE57F9" w:rsidRPr="00A90CFF" w:rsidRDefault="00CE57F9" w:rsidP="006E2403">
                      <w:pPr>
                        <w:snapToGrid w:val="0"/>
                        <w:ind w:left="616" w:hangingChars="280" w:hanging="616"/>
                        <w:contextualSpacing/>
                        <w:jc w:val="right"/>
                        <w:rPr>
                          <w:rFonts w:ascii="標楷體" w:eastAsia="標楷體" w:hAnsi="標楷體"/>
                          <w:sz w:val="22"/>
                        </w:rPr>
                      </w:pPr>
                      <w:r w:rsidRPr="00A90CFF">
                        <w:rPr>
                          <w:rFonts w:ascii="標楷體" w:eastAsia="標楷體" w:hAnsi="標楷體" w:hint="eastAsia"/>
                          <w:sz w:val="22"/>
                        </w:rPr>
                        <w:t>單位：件、人</w:t>
                      </w:r>
                      <w:r>
                        <w:rPr>
                          <w:rFonts w:ascii="標楷體" w:eastAsia="標楷體" w:hAnsi="標楷體" w:hint="eastAsia"/>
                          <w:sz w:val="22"/>
                        </w:rPr>
                        <w:t>、倍</w:t>
                      </w:r>
                    </w:p>
                    <w:tbl>
                      <w:tblPr>
                        <w:tblStyle w:val="72"/>
                        <w:tblW w:w="3652" w:type="dxa"/>
                        <w:tblLook w:val="04A0" w:firstRow="1" w:lastRow="0" w:firstColumn="1" w:lastColumn="0" w:noHBand="0" w:noVBand="1"/>
                      </w:tblPr>
                      <w:tblGrid>
                        <w:gridCol w:w="392"/>
                        <w:gridCol w:w="1134"/>
                        <w:gridCol w:w="1063"/>
                        <w:gridCol w:w="1063"/>
                      </w:tblGrid>
                      <w:tr w:rsidR="00CE57F9" w:rsidRPr="004514EB" w14:paraId="1F1AD51A" w14:textId="77777777" w:rsidTr="00A61199">
                        <w:tc>
                          <w:tcPr>
                            <w:tcW w:w="15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C33476" w14:textId="77777777" w:rsidR="00CE57F9" w:rsidRPr="004514EB" w:rsidRDefault="00CE57F9" w:rsidP="004514EB">
                            <w:pPr>
                              <w:widowControl/>
                              <w:jc w:val="center"/>
                              <w:rPr>
                                <w:rFonts w:ascii="標楷體" w:eastAsia="標楷體" w:hAnsi="標楷體"/>
                                <w:color w:val="000000"/>
                                <w:kern w:val="0"/>
                                <w:sz w:val="20"/>
                              </w:rPr>
                            </w:pPr>
                            <w:r w:rsidRPr="004514EB">
                              <w:rPr>
                                <w:rFonts w:ascii="標楷體" w:eastAsia="標楷體" w:hAnsi="標楷體" w:hint="eastAsia"/>
                                <w:color w:val="000000"/>
                                <w:kern w:val="0"/>
                                <w:sz w:val="20"/>
                              </w:rPr>
                              <w:t>年度</w:t>
                            </w:r>
                          </w:p>
                        </w:tc>
                        <w:tc>
                          <w:tcPr>
                            <w:tcW w:w="1063" w:type="dxa"/>
                            <w:tcBorders>
                              <w:top w:val="single" w:sz="4" w:space="0" w:color="auto"/>
                              <w:left w:val="nil"/>
                              <w:bottom w:val="single" w:sz="4" w:space="0" w:color="auto"/>
                              <w:right w:val="single" w:sz="4" w:space="0" w:color="auto"/>
                            </w:tcBorders>
                            <w:shd w:val="clear" w:color="auto" w:fill="auto"/>
                            <w:vAlign w:val="center"/>
                          </w:tcPr>
                          <w:p w14:paraId="5CC097B7" w14:textId="77777777" w:rsidR="00CE57F9" w:rsidRPr="004514EB" w:rsidRDefault="00CE57F9" w:rsidP="004514EB">
                            <w:pPr>
                              <w:jc w:val="center"/>
                              <w:rPr>
                                <w:rFonts w:ascii="標楷體" w:eastAsia="標楷體" w:hAnsi="標楷體"/>
                                <w:color w:val="000000"/>
                                <w:kern w:val="0"/>
                                <w:sz w:val="20"/>
                              </w:rPr>
                            </w:pPr>
                            <w:r w:rsidRPr="004514EB">
                              <w:rPr>
                                <w:rFonts w:ascii="標楷體" w:eastAsia="標楷體" w:hAnsi="標楷體" w:hint="eastAsia"/>
                                <w:color w:val="000000"/>
                                <w:kern w:val="0"/>
                                <w:sz w:val="20"/>
                              </w:rPr>
                              <w:t>案件數</w:t>
                            </w:r>
                          </w:p>
                        </w:tc>
                        <w:tc>
                          <w:tcPr>
                            <w:tcW w:w="1063" w:type="dxa"/>
                            <w:tcBorders>
                              <w:top w:val="single" w:sz="4" w:space="0" w:color="auto"/>
                              <w:left w:val="nil"/>
                              <w:bottom w:val="single" w:sz="4" w:space="0" w:color="auto"/>
                              <w:right w:val="single" w:sz="4" w:space="0" w:color="auto"/>
                            </w:tcBorders>
                            <w:shd w:val="clear" w:color="auto" w:fill="auto"/>
                          </w:tcPr>
                          <w:p w14:paraId="63892344" w14:textId="77777777" w:rsidR="00CE57F9" w:rsidRPr="004514EB" w:rsidRDefault="00CE57F9" w:rsidP="004514EB">
                            <w:pPr>
                              <w:jc w:val="center"/>
                              <w:rPr>
                                <w:rFonts w:ascii="標楷體" w:eastAsia="標楷體" w:hAnsi="標楷體"/>
                                <w:color w:val="000000"/>
                                <w:kern w:val="0"/>
                                <w:sz w:val="20"/>
                              </w:rPr>
                            </w:pPr>
                            <w:r w:rsidRPr="004514EB">
                              <w:rPr>
                                <w:rFonts w:ascii="標楷體" w:eastAsia="標楷體" w:hAnsi="標楷體" w:hint="eastAsia"/>
                                <w:color w:val="000000"/>
                                <w:kern w:val="0"/>
                                <w:sz w:val="20"/>
                              </w:rPr>
                              <w:t>嫌疑人數</w:t>
                            </w:r>
                          </w:p>
                        </w:tc>
                      </w:tr>
                      <w:tr w:rsidR="00CE57F9" w:rsidRPr="004514EB" w14:paraId="09E6D17D" w14:textId="77777777" w:rsidTr="00A61199">
                        <w:tc>
                          <w:tcPr>
                            <w:tcW w:w="15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E0169" w14:textId="77777777" w:rsidR="00CE57F9" w:rsidRPr="004514EB" w:rsidRDefault="00CE57F9" w:rsidP="004514EB">
                            <w:pPr>
                              <w:jc w:val="center"/>
                              <w:rPr>
                                <w:rFonts w:ascii="標楷體" w:eastAsia="標楷體" w:hAnsi="標楷體"/>
                                <w:color w:val="000000"/>
                                <w:kern w:val="0"/>
                                <w:sz w:val="20"/>
                              </w:rPr>
                            </w:pPr>
                            <w:r w:rsidRPr="004514EB">
                              <w:rPr>
                                <w:rFonts w:ascii="標楷體" w:eastAsia="標楷體" w:hAnsi="標楷體" w:hint="eastAsia"/>
                                <w:color w:val="000000"/>
                                <w:kern w:val="0"/>
                                <w:sz w:val="20"/>
                              </w:rPr>
                              <w:t>109</w:t>
                            </w:r>
                            <w:r w:rsidRPr="004514EB">
                              <w:rPr>
                                <w:rFonts w:ascii="標楷體" w:eastAsia="標楷體" w:hAnsi="標楷體"/>
                                <w:color w:val="000000"/>
                                <w:kern w:val="0"/>
                                <w:sz w:val="20"/>
                              </w:rPr>
                              <w:t xml:space="preserve"> </w:t>
                            </w:r>
                          </w:p>
                        </w:tc>
                        <w:tc>
                          <w:tcPr>
                            <w:tcW w:w="1063" w:type="dxa"/>
                            <w:tcBorders>
                              <w:top w:val="single" w:sz="4" w:space="0" w:color="auto"/>
                              <w:left w:val="nil"/>
                              <w:bottom w:val="single" w:sz="4" w:space="0" w:color="auto"/>
                              <w:right w:val="single" w:sz="4" w:space="0" w:color="auto"/>
                            </w:tcBorders>
                            <w:shd w:val="clear" w:color="auto" w:fill="auto"/>
                            <w:vAlign w:val="center"/>
                          </w:tcPr>
                          <w:p w14:paraId="0E39177A" w14:textId="77777777" w:rsidR="00CE57F9" w:rsidRPr="004514EB" w:rsidRDefault="00CE57F9" w:rsidP="004514EB">
                            <w:pPr>
                              <w:jc w:val="right"/>
                              <w:rPr>
                                <w:rFonts w:ascii="標楷體" w:eastAsia="標楷體" w:hAnsi="標楷體"/>
                                <w:color w:val="000000"/>
                                <w:kern w:val="0"/>
                                <w:sz w:val="20"/>
                              </w:rPr>
                            </w:pPr>
                            <w:r w:rsidRPr="004514EB">
                              <w:rPr>
                                <w:rFonts w:ascii="標楷體" w:eastAsia="標楷體" w:hAnsi="標楷體" w:hint="eastAsia"/>
                                <w:color w:val="000000"/>
                                <w:kern w:val="0"/>
                                <w:sz w:val="20"/>
                              </w:rPr>
                              <w:t>295</w:t>
                            </w:r>
                          </w:p>
                        </w:tc>
                        <w:tc>
                          <w:tcPr>
                            <w:tcW w:w="1063" w:type="dxa"/>
                            <w:tcBorders>
                              <w:top w:val="single" w:sz="4" w:space="0" w:color="auto"/>
                              <w:left w:val="nil"/>
                              <w:bottom w:val="single" w:sz="4" w:space="0" w:color="auto"/>
                              <w:right w:val="single" w:sz="4" w:space="0" w:color="auto"/>
                            </w:tcBorders>
                            <w:shd w:val="clear" w:color="auto" w:fill="auto"/>
                            <w:vAlign w:val="center"/>
                          </w:tcPr>
                          <w:p w14:paraId="3F46603D" w14:textId="77777777" w:rsidR="00CE57F9" w:rsidRPr="004514EB" w:rsidRDefault="00CE57F9" w:rsidP="004514EB">
                            <w:pPr>
                              <w:jc w:val="right"/>
                              <w:rPr>
                                <w:rFonts w:ascii="標楷體" w:eastAsia="標楷體" w:hAnsi="標楷體"/>
                                <w:color w:val="000000"/>
                                <w:kern w:val="0"/>
                                <w:sz w:val="20"/>
                              </w:rPr>
                            </w:pPr>
                            <w:r w:rsidRPr="004514EB">
                              <w:rPr>
                                <w:rFonts w:ascii="標楷體" w:eastAsia="標楷體" w:hAnsi="標楷體" w:hint="eastAsia"/>
                                <w:color w:val="000000"/>
                                <w:kern w:val="0"/>
                                <w:sz w:val="20"/>
                              </w:rPr>
                              <w:t>347</w:t>
                            </w:r>
                          </w:p>
                        </w:tc>
                      </w:tr>
                      <w:tr w:rsidR="00CE57F9" w:rsidRPr="004514EB" w14:paraId="063ACDD2" w14:textId="77777777" w:rsidTr="00A61199">
                        <w:tc>
                          <w:tcPr>
                            <w:tcW w:w="15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F6D44" w14:textId="77777777" w:rsidR="00CE57F9" w:rsidRPr="004514EB" w:rsidRDefault="00CE57F9" w:rsidP="004514EB">
                            <w:pPr>
                              <w:jc w:val="center"/>
                              <w:rPr>
                                <w:rFonts w:ascii="標楷體" w:eastAsia="標楷體" w:hAnsi="標楷體"/>
                                <w:color w:val="000000"/>
                                <w:kern w:val="0"/>
                                <w:sz w:val="20"/>
                              </w:rPr>
                            </w:pPr>
                            <w:r w:rsidRPr="004514EB">
                              <w:rPr>
                                <w:rFonts w:ascii="標楷體" w:eastAsia="標楷體" w:hAnsi="標楷體" w:hint="eastAsia"/>
                                <w:color w:val="000000"/>
                                <w:kern w:val="0"/>
                                <w:sz w:val="20"/>
                              </w:rPr>
                              <w:t>110</w:t>
                            </w:r>
                          </w:p>
                        </w:tc>
                        <w:tc>
                          <w:tcPr>
                            <w:tcW w:w="1063" w:type="dxa"/>
                            <w:tcBorders>
                              <w:top w:val="single" w:sz="4" w:space="0" w:color="auto"/>
                              <w:left w:val="nil"/>
                              <w:bottom w:val="single" w:sz="4" w:space="0" w:color="auto"/>
                              <w:right w:val="single" w:sz="4" w:space="0" w:color="auto"/>
                            </w:tcBorders>
                            <w:shd w:val="clear" w:color="auto" w:fill="auto"/>
                            <w:vAlign w:val="center"/>
                          </w:tcPr>
                          <w:p w14:paraId="400FC722" w14:textId="77777777" w:rsidR="00CE57F9" w:rsidRPr="004514EB" w:rsidRDefault="00CE57F9" w:rsidP="004514EB">
                            <w:pPr>
                              <w:jc w:val="right"/>
                              <w:rPr>
                                <w:rFonts w:ascii="標楷體" w:eastAsia="標楷體" w:hAnsi="標楷體"/>
                                <w:color w:val="000000"/>
                                <w:kern w:val="0"/>
                                <w:sz w:val="20"/>
                              </w:rPr>
                            </w:pPr>
                            <w:r w:rsidRPr="004514EB">
                              <w:rPr>
                                <w:rFonts w:ascii="標楷體" w:eastAsia="標楷體" w:hAnsi="標楷體" w:hint="eastAsia"/>
                                <w:color w:val="000000"/>
                                <w:kern w:val="0"/>
                                <w:sz w:val="20"/>
                              </w:rPr>
                              <w:t>276</w:t>
                            </w:r>
                          </w:p>
                        </w:tc>
                        <w:tc>
                          <w:tcPr>
                            <w:tcW w:w="1063" w:type="dxa"/>
                            <w:tcBorders>
                              <w:top w:val="single" w:sz="4" w:space="0" w:color="auto"/>
                              <w:left w:val="nil"/>
                              <w:bottom w:val="single" w:sz="4" w:space="0" w:color="auto"/>
                              <w:right w:val="single" w:sz="4" w:space="0" w:color="auto"/>
                            </w:tcBorders>
                            <w:shd w:val="clear" w:color="auto" w:fill="auto"/>
                            <w:vAlign w:val="center"/>
                          </w:tcPr>
                          <w:p w14:paraId="38573FE4" w14:textId="77777777" w:rsidR="00CE57F9" w:rsidRPr="004514EB" w:rsidRDefault="00CE57F9" w:rsidP="004514EB">
                            <w:pPr>
                              <w:jc w:val="right"/>
                              <w:rPr>
                                <w:rFonts w:ascii="標楷體" w:eastAsia="標楷體" w:hAnsi="標楷體"/>
                                <w:color w:val="000000"/>
                                <w:kern w:val="0"/>
                                <w:sz w:val="20"/>
                              </w:rPr>
                            </w:pPr>
                            <w:r w:rsidRPr="004514EB">
                              <w:rPr>
                                <w:rFonts w:ascii="標楷體" w:eastAsia="標楷體" w:hAnsi="標楷體" w:hint="eastAsia"/>
                                <w:color w:val="000000"/>
                                <w:kern w:val="0"/>
                                <w:sz w:val="20"/>
                              </w:rPr>
                              <w:t>367</w:t>
                            </w:r>
                          </w:p>
                        </w:tc>
                      </w:tr>
                      <w:tr w:rsidR="00CE57F9" w:rsidRPr="004514EB" w14:paraId="4DBF0000" w14:textId="77777777" w:rsidTr="00A61199">
                        <w:tc>
                          <w:tcPr>
                            <w:tcW w:w="1526" w:type="dxa"/>
                            <w:gridSpan w:val="2"/>
                            <w:tcBorders>
                              <w:top w:val="single" w:sz="4" w:space="0" w:color="auto"/>
                              <w:left w:val="single" w:sz="4" w:space="0" w:color="auto"/>
                              <w:bottom w:val="nil"/>
                              <w:right w:val="single" w:sz="4" w:space="0" w:color="auto"/>
                            </w:tcBorders>
                            <w:shd w:val="clear" w:color="auto" w:fill="auto"/>
                            <w:vAlign w:val="center"/>
                          </w:tcPr>
                          <w:p w14:paraId="18F6A96A" w14:textId="77777777" w:rsidR="00CE57F9" w:rsidRPr="004514EB" w:rsidRDefault="00CE57F9" w:rsidP="004514EB">
                            <w:pPr>
                              <w:jc w:val="center"/>
                              <w:rPr>
                                <w:rFonts w:ascii="標楷體" w:eastAsia="標楷體" w:hAnsi="標楷體"/>
                                <w:color w:val="000000"/>
                                <w:kern w:val="0"/>
                                <w:sz w:val="20"/>
                              </w:rPr>
                            </w:pPr>
                            <w:r w:rsidRPr="004514EB">
                              <w:rPr>
                                <w:rFonts w:ascii="標楷體" w:eastAsia="標楷體" w:hAnsi="標楷體" w:hint="eastAsia"/>
                                <w:color w:val="000000"/>
                                <w:kern w:val="0"/>
                                <w:sz w:val="20"/>
                              </w:rPr>
                              <w:t>111</w:t>
                            </w:r>
                          </w:p>
                        </w:tc>
                        <w:tc>
                          <w:tcPr>
                            <w:tcW w:w="1063" w:type="dxa"/>
                            <w:tcBorders>
                              <w:top w:val="single" w:sz="4" w:space="0" w:color="auto"/>
                              <w:left w:val="nil"/>
                              <w:bottom w:val="single" w:sz="4" w:space="0" w:color="auto"/>
                              <w:right w:val="single" w:sz="4" w:space="0" w:color="auto"/>
                            </w:tcBorders>
                            <w:shd w:val="clear" w:color="auto" w:fill="auto"/>
                            <w:vAlign w:val="center"/>
                          </w:tcPr>
                          <w:p w14:paraId="49CDFCDB" w14:textId="77777777" w:rsidR="00CE57F9" w:rsidRPr="004514EB" w:rsidRDefault="00CE57F9" w:rsidP="004514EB">
                            <w:pPr>
                              <w:jc w:val="right"/>
                              <w:rPr>
                                <w:rFonts w:ascii="標楷體" w:eastAsia="標楷體" w:hAnsi="標楷體"/>
                                <w:color w:val="000000"/>
                                <w:kern w:val="0"/>
                                <w:sz w:val="20"/>
                              </w:rPr>
                            </w:pPr>
                            <w:r w:rsidRPr="004514EB">
                              <w:rPr>
                                <w:rFonts w:ascii="標楷體" w:eastAsia="標楷體" w:hAnsi="標楷體" w:hint="eastAsia"/>
                                <w:color w:val="000000"/>
                                <w:kern w:val="0"/>
                                <w:sz w:val="20"/>
                              </w:rPr>
                              <w:t>496</w:t>
                            </w:r>
                          </w:p>
                        </w:tc>
                        <w:tc>
                          <w:tcPr>
                            <w:tcW w:w="1063" w:type="dxa"/>
                            <w:tcBorders>
                              <w:top w:val="single" w:sz="4" w:space="0" w:color="auto"/>
                              <w:left w:val="nil"/>
                              <w:bottom w:val="single" w:sz="4" w:space="0" w:color="auto"/>
                              <w:right w:val="single" w:sz="4" w:space="0" w:color="auto"/>
                            </w:tcBorders>
                            <w:shd w:val="clear" w:color="auto" w:fill="auto"/>
                            <w:vAlign w:val="center"/>
                          </w:tcPr>
                          <w:p w14:paraId="7E6A43FB" w14:textId="77777777" w:rsidR="00CE57F9" w:rsidRPr="004514EB" w:rsidRDefault="00CE57F9" w:rsidP="004514EB">
                            <w:pPr>
                              <w:jc w:val="right"/>
                              <w:rPr>
                                <w:rFonts w:ascii="標楷體" w:eastAsia="標楷體" w:hAnsi="標楷體"/>
                                <w:color w:val="000000"/>
                                <w:kern w:val="0"/>
                                <w:sz w:val="20"/>
                              </w:rPr>
                            </w:pPr>
                            <w:r w:rsidRPr="004514EB">
                              <w:rPr>
                                <w:rFonts w:ascii="標楷體" w:eastAsia="標楷體" w:hAnsi="標楷體" w:hint="eastAsia"/>
                                <w:color w:val="000000"/>
                                <w:kern w:val="0"/>
                                <w:sz w:val="20"/>
                              </w:rPr>
                              <w:t>668</w:t>
                            </w:r>
                          </w:p>
                        </w:tc>
                      </w:tr>
                      <w:tr w:rsidR="00CE57F9" w:rsidRPr="004514EB" w14:paraId="341319E5" w14:textId="77777777" w:rsidTr="00A61199">
                        <w:tc>
                          <w:tcPr>
                            <w:tcW w:w="392" w:type="dxa"/>
                            <w:tcBorders>
                              <w:top w:val="nil"/>
                              <w:left w:val="single" w:sz="4" w:space="0" w:color="auto"/>
                              <w:bottom w:val="single" w:sz="4" w:space="0" w:color="auto"/>
                              <w:right w:val="single" w:sz="4" w:space="0" w:color="auto"/>
                            </w:tcBorders>
                            <w:shd w:val="clear" w:color="auto" w:fill="auto"/>
                            <w:vAlign w:val="center"/>
                          </w:tcPr>
                          <w:p w14:paraId="336FD7BE" w14:textId="77777777" w:rsidR="00CE57F9" w:rsidRPr="004514EB" w:rsidRDefault="00CE57F9" w:rsidP="004514EB">
                            <w:pPr>
                              <w:jc w:val="center"/>
                              <w:rPr>
                                <w:rFonts w:ascii="標楷體" w:eastAsia="標楷體" w:hAnsi="標楷體"/>
                                <w:color w:val="000000"/>
                                <w:kern w:val="0"/>
                                <w:sz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4B46266" w14:textId="77777777" w:rsidR="00CE57F9" w:rsidRPr="004514EB" w:rsidRDefault="00CE57F9" w:rsidP="004514EB">
                            <w:pPr>
                              <w:snapToGrid w:val="0"/>
                              <w:contextualSpacing/>
                              <w:jc w:val="center"/>
                              <w:rPr>
                                <w:rFonts w:ascii="標楷體" w:eastAsia="標楷體" w:hAnsi="標楷體"/>
                                <w:color w:val="000000"/>
                                <w:kern w:val="0"/>
                                <w:sz w:val="20"/>
                              </w:rPr>
                            </w:pPr>
                            <w:r w:rsidRPr="004514EB">
                              <w:rPr>
                                <w:rFonts w:ascii="標楷體" w:eastAsia="標楷體" w:hAnsi="標楷體" w:hint="eastAsia"/>
                                <w:color w:val="000000"/>
                                <w:kern w:val="0"/>
                                <w:sz w:val="20"/>
                              </w:rPr>
                              <w:t>為109年度之倍數</w:t>
                            </w:r>
                          </w:p>
                        </w:tc>
                        <w:tc>
                          <w:tcPr>
                            <w:tcW w:w="1063" w:type="dxa"/>
                            <w:tcBorders>
                              <w:top w:val="single" w:sz="4" w:space="0" w:color="auto"/>
                              <w:left w:val="nil"/>
                              <w:bottom w:val="single" w:sz="4" w:space="0" w:color="auto"/>
                              <w:right w:val="single" w:sz="4" w:space="0" w:color="auto"/>
                            </w:tcBorders>
                            <w:shd w:val="clear" w:color="auto" w:fill="auto"/>
                            <w:vAlign w:val="center"/>
                          </w:tcPr>
                          <w:p w14:paraId="772FBCBE" w14:textId="77777777" w:rsidR="00CE57F9" w:rsidRPr="004514EB" w:rsidRDefault="00CE57F9" w:rsidP="004514EB">
                            <w:pPr>
                              <w:jc w:val="right"/>
                              <w:rPr>
                                <w:rFonts w:ascii="標楷體" w:eastAsia="標楷體" w:hAnsi="標楷體"/>
                                <w:color w:val="000000"/>
                                <w:kern w:val="0"/>
                                <w:sz w:val="20"/>
                              </w:rPr>
                            </w:pPr>
                            <w:r w:rsidRPr="004514EB">
                              <w:rPr>
                                <w:rFonts w:ascii="標楷體" w:eastAsia="標楷體" w:hAnsi="標楷體" w:hint="eastAsia"/>
                                <w:color w:val="000000"/>
                                <w:kern w:val="0"/>
                                <w:sz w:val="20"/>
                              </w:rPr>
                              <w:t xml:space="preserve">1.68 </w:t>
                            </w:r>
                          </w:p>
                        </w:tc>
                        <w:tc>
                          <w:tcPr>
                            <w:tcW w:w="1063" w:type="dxa"/>
                            <w:tcBorders>
                              <w:top w:val="single" w:sz="4" w:space="0" w:color="auto"/>
                              <w:left w:val="nil"/>
                              <w:bottom w:val="single" w:sz="4" w:space="0" w:color="auto"/>
                              <w:right w:val="single" w:sz="4" w:space="0" w:color="auto"/>
                            </w:tcBorders>
                            <w:shd w:val="clear" w:color="auto" w:fill="auto"/>
                            <w:vAlign w:val="center"/>
                          </w:tcPr>
                          <w:p w14:paraId="7D68AF1E" w14:textId="77777777" w:rsidR="00CE57F9" w:rsidRPr="004514EB" w:rsidRDefault="00CE57F9" w:rsidP="004514EB">
                            <w:pPr>
                              <w:jc w:val="right"/>
                              <w:rPr>
                                <w:rFonts w:ascii="標楷體" w:eastAsia="標楷體" w:hAnsi="標楷體"/>
                                <w:color w:val="000000"/>
                                <w:kern w:val="0"/>
                                <w:sz w:val="20"/>
                              </w:rPr>
                            </w:pPr>
                            <w:r w:rsidRPr="004514EB">
                              <w:rPr>
                                <w:rFonts w:ascii="標楷體" w:eastAsia="標楷體" w:hAnsi="標楷體" w:hint="eastAsia"/>
                                <w:color w:val="000000"/>
                                <w:kern w:val="0"/>
                                <w:sz w:val="20"/>
                              </w:rPr>
                              <w:t xml:space="preserve">1.93 </w:t>
                            </w:r>
                          </w:p>
                        </w:tc>
                      </w:tr>
                    </w:tbl>
                    <w:p w14:paraId="5BD533BE" w14:textId="77777777" w:rsidR="00CE57F9" w:rsidRPr="00A018A0" w:rsidRDefault="00CE57F9" w:rsidP="006E2403">
                      <w:pPr>
                        <w:snapToGrid w:val="0"/>
                        <w:ind w:leftChars="-40" w:left="444" w:rightChars="-52" w:right="-125" w:hangingChars="300" w:hanging="540"/>
                        <w:contextualSpacing/>
                        <w:jc w:val="both"/>
                        <w:rPr>
                          <w:rFonts w:ascii="標楷體" w:eastAsia="標楷體" w:hAnsi="標楷體"/>
                          <w:sz w:val="18"/>
                        </w:rPr>
                      </w:pPr>
                      <w:r w:rsidRPr="00A018A0">
                        <w:rPr>
                          <w:rFonts w:ascii="標楷體" w:eastAsia="標楷體" w:hAnsi="標楷體" w:hint="eastAsia"/>
                          <w:sz w:val="18"/>
                        </w:rPr>
                        <w:t>註：</w:t>
                      </w:r>
                      <w:r w:rsidRPr="00A90CFF">
                        <w:rPr>
                          <w:rFonts w:ascii="標楷體" w:eastAsia="標楷體" w:hAnsi="標楷體" w:hint="eastAsia"/>
                          <w:sz w:val="18"/>
                        </w:rPr>
                        <w:t>整理自警政署提供資料。</w:t>
                      </w:r>
                    </w:p>
                  </w:txbxContent>
                </v:textbox>
                <w10:wrap type="square" anchorx="margin"/>
              </v:shape>
            </w:pict>
          </mc:Fallback>
        </mc:AlternateContent>
      </w:r>
      <w:r w:rsidRPr="009D11AD">
        <w:rPr>
          <w:rFonts w:ascii="標楷體" w:eastAsia="標楷體" w:hAnsi="標楷體" w:hint="eastAsia"/>
          <w:szCs w:val="24"/>
        </w:rPr>
        <w:t>年度之1.68倍、1.93倍</w:t>
      </w:r>
      <w:r w:rsidRPr="00CE57F9">
        <w:rPr>
          <w:rFonts w:ascii="標楷體" w:eastAsia="標楷體" w:hAnsi="標楷體" w:hint="eastAsia"/>
          <w:szCs w:val="24"/>
        </w:rPr>
        <w:t>（表</w:t>
      </w:r>
      <w:r w:rsidR="0056587F" w:rsidRPr="00CE57F9">
        <w:rPr>
          <w:rFonts w:ascii="標楷體" w:eastAsia="標楷體" w:hAnsi="標楷體" w:hint="eastAsia"/>
          <w:szCs w:val="24"/>
        </w:rPr>
        <w:t>3</w:t>
      </w:r>
      <w:r w:rsidRPr="00CE57F9">
        <w:rPr>
          <w:rFonts w:ascii="標楷體" w:eastAsia="標楷體" w:hAnsi="標楷體" w:hint="eastAsia"/>
          <w:szCs w:val="24"/>
        </w:rPr>
        <w:t>），顯示網路毒品犯罪情形日益興盛，且網路毒品犯罪嫌疑犯，逾</w:t>
      </w:r>
      <w:r w:rsidRPr="00CE57F9">
        <w:rPr>
          <w:rFonts w:ascii="標楷體" w:eastAsia="標楷體" w:hAnsi="標楷體"/>
          <w:szCs w:val="24"/>
        </w:rPr>
        <w:t>6成為12至29歲</w:t>
      </w:r>
      <w:r w:rsidRPr="00CE57F9">
        <w:rPr>
          <w:rFonts w:ascii="標楷體" w:eastAsia="標楷體" w:hAnsi="標楷體" w:hint="eastAsia"/>
          <w:color w:val="000000" w:themeColor="text1"/>
          <w:szCs w:val="24"/>
        </w:rPr>
        <w:t>者</w:t>
      </w:r>
      <w:r w:rsidR="00260EC4" w:rsidRPr="00CE57F9">
        <w:rPr>
          <w:rFonts w:ascii="標楷體" w:eastAsia="標楷體" w:hAnsi="標楷體" w:hint="eastAsia"/>
          <w:color w:val="000000" w:themeColor="text1"/>
          <w:szCs w:val="24"/>
        </w:rPr>
        <w:t>，經分析其就業狀況與趨勢，主要為</w:t>
      </w:r>
      <w:r w:rsidR="00260EC4" w:rsidRPr="00CE57F9">
        <w:rPr>
          <w:rFonts w:ascii="標楷體" w:eastAsia="標楷體" w:hAnsi="標楷體"/>
          <w:color w:val="000000" w:themeColor="text1"/>
          <w:szCs w:val="24"/>
        </w:rPr>
        <w:t>12至17歲非在學少年、18至23歲無職及提早進入就業市場之青年，及24至29歲無職之成人</w:t>
      </w:r>
      <w:r w:rsidRPr="00CE57F9">
        <w:rPr>
          <w:rFonts w:ascii="標楷體" w:eastAsia="標楷體" w:hAnsi="標楷體" w:hint="eastAsia"/>
          <w:szCs w:val="24"/>
        </w:rPr>
        <w:t>（表</w:t>
      </w:r>
      <w:r w:rsidR="0056587F" w:rsidRPr="00CE57F9">
        <w:rPr>
          <w:rFonts w:ascii="標楷體" w:eastAsia="標楷體" w:hAnsi="標楷體" w:hint="eastAsia"/>
          <w:szCs w:val="24"/>
        </w:rPr>
        <w:t>4</w:t>
      </w:r>
      <w:r w:rsidRPr="009D11AD">
        <w:rPr>
          <w:rFonts w:ascii="標楷體" w:eastAsia="標楷體" w:hAnsi="標楷體" w:hint="eastAsia"/>
          <w:szCs w:val="24"/>
        </w:rPr>
        <w:t>），亦凸顯毒品犯罪與失業等因子，具有交互影響關聯，允宜強化跨部門與部署間之合作參與，辨</w:t>
      </w:r>
      <w:r w:rsidR="006E2403" w:rsidRPr="009D11AD">
        <w:rPr>
          <w:rFonts w:ascii="標楷體" w:eastAsia="標楷體" w:hAnsi="標楷體"/>
          <w:noProof/>
          <w:szCs w:val="24"/>
        </w:rPr>
        <mc:AlternateContent>
          <mc:Choice Requires="wps">
            <w:drawing>
              <wp:anchor distT="45720" distB="45720" distL="114300" distR="114300" simplePos="0" relativeHeight="251658752" behindDoc="0" locked="0" layoutInCell="1" allowOverlap="1" wp14:anchorId="4F12BFDC" wp14:editId="02F910D7">
                <wp:simplePos x="0" y="0"/>
                <wp:positionH relativeFrom="margin">
                  <wp:posOffset>2143541</wp:posOffset>
                </wp:positionH>
                <wp:positionV relativeFrom="paragraph">
                  <wp:posOffset>5903617</wp:posOffset>
                </wp:positionV>
                <wp:extent cx="4150800" cy="2970000"/>
                <wp:effectExtent l="0" t="0" r="2540" b="1905"/>
                <wp:wrapSquare wrapText="bothSides"/>
                <wp:docPr id="32" name="文字方塊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0800" cy="2970000"/>
                        </a:xfrm>
                        <a:prstGeom prst="rect">
                          <a:avLst/>
                        </a:prstGeom>
                        <a:solidFill>
                          <a:srgbClr val="FFFFFF"/>
                        </a:solidFill>
                        <a:ln w="9525">
                          <a:noFill/>
                          <a:miter lim="800000"/>
                          <a:headEnd/>
                          <a:tailEnd/>
                        </a:ln>
                      </wps:spPr>
                      <wps:txbx>
                        <w:txbxContent>
                          <w:p w14:paraId="555CC59A" w14:textId="77777777" w:rsidR="00CE57F9" w:rsidRPr="002924C4" w:rsidRDefault="00CE57F9" w:rsidP="006E2403">
                            <w:pPr>
                              <w:snapToGrid w:val="0"/>
                              <w:ind w:left="673" w:hangingChars="280" w:hanging="673"/>
                              <w:contextualSpacing/>
                              <w:jc w:val="center"/>
                              <w:rPr>
                                <w:rFonts w:ascii="標楷體" w:eastAsia="標楷體" w:hAnsi="標楷體"/>
                                <w:b/>
                              </w:rPr>
                            </w:pPr>
                            <w:r w:rsidRPr="002924C4">
                              <w:rPr>
                                <w:rFonts w:ascii="標楷體" w:eastAsia="標楷體" w:hAnsi="標楷體" w:hint="eastAsia"/>
                                <w:b/>
                              </w:rPr>
                              <w:t>表</w:t>
                            </w:r>
                            <w:r w:rsidRPr="002924C4">
                              <w:rPr>
                                <w:rFonts w:ascii="標楷體" w:eastAsia="標楷體" w:hAnsi="標楷體"/>
                                <w:b/>
                              </w:rPr>
                              <w:t>4</w:t>
                            </w:r>
                            <w:r w:rsidRPr="002924C4">
                              <w:rPr>
                                <w:rFonts w:ascii="標楷體" w:eastAsia="標楷體" w:hAnsi="標楷體" w:cs="新細明體" w:hint="eastAsia"/>
                                <w:b/>
                                <w:bCs/>
                                <w:color w:val="000000"/>
                                <w:kern w:val="0"/>
                                <w:szCs w:val="24"/>
                              </w:rPr>
                              <w:t xml:space="preserve">　</w:t>
                            </w:r>
                            <w:r w:rsidRPr="002924C4">
                              <w:rPr>
                                <w:rFonts w:ascii="標楷體" w:eastAsia="標楷體" w:hAnsi="標楷體" w:hint="eastAsia"/>
                                <w:b/>
                              </w:rPr>
                              <w:t>12至29</w:t>
                            </w:r>
                            <w:r>
                              <w:rPr>
                                <w:rFonts w:ascii="標楷體" w:eastAsia="標楷體" w:hAnsi="標楷體" w:hint="eastAsia"/>
                                <w:b/>
                              </w:rPr>
                              <w:t>歲網路販賣毒品嫌疑人職業分布</w:t>
                            </w:r>
                          </w:p>
                          <w:p w14:paraId="631576C4" w14:textId="77777777" w:rsidR="00CE57F9" w:rsidRPr="004514EB" w:rsidRDefault="00CE57F9" w:rsidP="006E2403">
                            <w:pPr>
                              <w:snapToGrid w:val="0"/>
                              <w:ind w:left="560" w:rightChars="50" w:right="120" w:hangingChars="280" w:hanging="560"/>
                              <w:contextualSpacing/>
                              <w:jc w:val="right"/>
                              <w:rPr>
                                <w:rFonts w:ascii="標楷體" w:eastAsia="標楷體" w:hAnsi="標楷體"/>
                                <w:sz w:val="20"/>
                              </w:rPr>
                            </w:pPr>
                            <w:r w:rsidRPr="004514EB">
                              <w:rPr>
                                <w:rFonts w:ascii="標楷體" w:eastAsia="標楷體" w:hAnsi="標楷體" w:hint="eastAsia"/>
                                <w:sz w:val="20"/>
                              </w:rPr>
                              <w:t>單位：％、百分點</w:t>
                            </w:r>
                          </w:p>
                          <w:tbl>
                            <w:tblPr>
                              <w:tblStyle w:val="afff"/>
                              <w:tblW w:w="6097" w:type="dxa"/>
                              <w:jc w:val="center"/>
                              <w:tblLayout w:type="fixed"/>
                              <w:tblLook w:val="04A0" w:firstRow="1" w:lastRow="0" w:firstColumn="1" w:lastColumn="0" w:noHBand="0" w:noVBand="1"/>
                            </w:tblPr>
                            <w:tblGrid>
                              <w:gridCol w:w="1134"/>
                              <w:gridCol w:w="1276"/>
                              <w:gridCol w:w="850"/>
                              <w:gridCol w:w="851"/>
                              <w:gridCol w:w="674"/>
                              <w:gridCol w:w="1312"/>
                            </w:tblGrid>
                            <w:tr w:rsidR="00CE57F9" w:rsidRPr="008D19C2" w14:paraId="5E69525D" w14:textId="77777777" w:rsidTr="00A61199">
                              <w:trPr>
                                <w:trHeight w:val="324"/>
                                <w:jc w:val="center"/>
                              </w:trPr>
                              <w:tc>
                                <w:tcPr>
                                  <w:tcW w:w="1134" w:type="dxa"/>
                                  <w:vMerge w:val="restart"/>
                                  <w:shd w:val="clear" w:color="auto" w:fill="auto"/>
                                  <w:noWrap/>
                                  <w:vAlign w:val="center"/>
                                  <w:hideMark/>
                                </w:tcPr>
                                <w:p w14:paraId="497A3B88"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網路販賣毒品嫌疑人</w:t>
                                  </w:r>
                                </w:p>
                                <w:p w14:paraId="714AB3AF"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年齡級距</w:t>
                                  </w:r>
                                </w:p>
                              </w:tc>
                              <w:tc>
                                <w:tcPr>
                                  <w:tcW w:w="1276" w:type="dxa"/>
                                  <w:vMerge w:val="restart"/>
                                  <w:tcBorders>
                                    <w:tl2br w:val="single" w:sz="4" w:space="0" w:color="auto"/>
                                  </w:tcBorders>
                                  <w:shd w:val="clear" w:color="auto" w:fill="auto"/>
                                  <w:noWrap/>
                                  <w:vAlign w:val="center"/>
                                  <w:hideMark/>
                                </w:tcPr>
                                <w:p w14:paraId="59DC3443" w14:textId="77777777" w:rsidR="00CE57F9" w:rsidRPr="008D19C2" w:rsidRDefault="00CE57F9" w:rsidP="004514EB">
                                  <w:pPr>
                                    <w:snapToGrid w:val="0"/>
                                    <w:ind w:leftChars="-40" w:left="-96" w:rightChars="4" w:right="10"/>
                                    <w:contextualSpacing/>
                                    <w:jc w:val="right"/>
                                    <w:rPr>
                                      <w:rFonts w:ascii="標楷體" w:eastAsia="標楷體" w:hAnsi="標楷體"/>
                                      <w:sz w:val="20"/>
                                    </w:rPr>
                                  </w:pPr>
                                  <w:r w:rsidRPr="008D19C2">
                                    <w:rPr>
                                      <w:rFonts w:ascii="標楷體" w:eastAsia="標楷體" w:hAnsi="標楷體" w:hint="eastAsia"/>
                                      <w:sz w:val="20"/>
                                    </w:rPr>
                                    <w:t>年度</w:t>
                                  </w:r>
                                </w:p>
                                <w:p w14:paraId="6FCDD98F" w14:textId="77777777" w:rsidR="00CE57F9" w:rsidRPr="008D19C2" w:rsidRDefault="00CE57F9" w:rsidP="004514EB">
                                  <w:pPr>
                                    <w:snapToGrid w:val="0"/>
                                    <w:ind w:leftChars="-40" w:left="-96" w:rightChars="-52" w:right="-125" w:firstLineChars="48" w:firstLine="96"/>
                                    <w:contextualSpacing/>
                                    <w:rPr>
                                      <w:rFonts w:ascii="標楷體" w:eastAsia="標楷體" w:hAnsi="標楷體"/>
                                      <w:sz w:val="20"/>
                                    </w:rPr>
                                  </w:pPr>
                                  <w:r w:rsidRPr="008D19C2">
                                    <w:rPr>
                                      <w:rFonts w:ascii="標楷體" w:eastAsia="標楷體" w:hAnsi="標楷體" w:hint="eastAsia"/>
                                      <w:sz w:val="20"/>
                                    </w:rPr>
                                    <w:t>職業別</w:t>
                                  </w:r>
                                </w:p>
                              </w:tc>
                              <w:tc>
                                <w:tcPr>
                                  <w:tcW w:w="850" w:type="dxa"/>
                                  <w:vMerge w:val="restart"/>
                                  <w:shd w:val="clear" w:color="auto" w:fill="auto"/>
                                  <w:noWrap/>
                                  <w:vAlign w:val="center"/>
                                  <w:hideMark/>
                                </w:tcPr>
                                <w:p w14:paraId="47204061"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109</w:t>
                                  </w:r>
                                </w:p>
                              </w:tc>
                              <w:tc>
                                <w:tcPr>
                                  <w:tcW w:w="851" w:type="dxa"/>
                                  <w:vMerge w:val="restart"/>
                                  <w:shd w:val="clear" w:color="auto" w:fill="auto"/>
                                  <w:vAlign w:val="center"/>
                                </w:tcPr>
                                <w:p w14:paraId="3B52A5C6"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110</w:t>
                                  </w:r>
                                </w:p>
                              </w:tc>
                              <w:tc>
                                <w:tcPr>
                                  <w:tcW w:w="674" w:type="dxa"/>
                                  <w:vMerge w:val="restart"/>
                                  <w:tcBorders>
                                    <w:right w:val="nil"/>
                                  </w:tcBorders>
                                  <w:shd w:val="clear" w:color="auto" w:fill="auto"/>
                                  <w:vAlign w:val="center"/>
                                </w:tcPr>
                                <w:p w14:paraId="6CAE8348"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111</w:t>
                                  </w:r>
                                </w:p>
                              </w:tc>
                              <w:tc>
                                <w:tcPr>
                                  <w:tcW w:w="1312" w:type="dxa"/>
                                  <w:tcBorders>
                                    <w:top w:val="single" w:sz="4" w:space="0" w:color="auto"/>
                                    <w:left w:val="nil"/>
                                    <w:bottom w:val="single" w:sz="4" w:space="0" w:color="auto"/>
                                    <w:right w:val="single" w:sz="4" w:space="0" w:color="auto"/>
                                  </w:tcBorders>
                                  <w:shd w:val="clear" w:color="auto" w:fill="auto"/>
                                  <w:vAlign w:val="center"/>
                                  <w:hideMark/>
                                </w:tcPr>
                                <w:p w14:paraId="7DEF3FA3" w14:textId="77777777" w:rsidR="00CE57F9" w:rsidRPr="008D19C2" w:rsidRDefault="00CE57F9" w:rsidP="004514EB">
                                  <w:pPr>
                                    <w:snapToGrid w:val="0"/>
                                    <w:ind w:leftChars="-40" w:left="-96" w:rightChars="-45" w:right="-108"/>
                                    <w:contextualSpacing/>
                                    <w:jc w:val="center"/>
                                    <w:rPr>
                                      <w:rFonts w:ascii="標楷體" w:eastAsia="標楷體" w:hAnsi="標楷體"/>
                                      <w:sz w:val="20"/>
                                    </w:rPr>
                                  </w:pPr>
                                </w:p>
                              </w:tc>
                            </w:tr>
                            <w:tr w:rsidR="00CE57F9" w:rsidRPr="008D19C2" w14:paraId="31C51415" w14:textId="77777777" w:rsidTr="00A61199">
                              <w:trPr>
                                <w:trHeight w:val="324"/>
                                <w:jc w:val="center"/>
                              </w:trPr>
                              <w:tc>
                                <w:tcPr>
                                  <w:tcW w:w="1134" w:type="dxa"/>
                                  <w:vMerge/>
                                  <w:shd w:val="clear" w:color="auto" w:fill="auto"/>
                                  <w:hideMark/>
                                </w:tcPr>
                                <w:p w14:paraId="0989A742" w14:textId="77777777" w:rsidR="00CE57F9" w:rsidRPr="008D19C2" w:rsidRDefault="00CE57F9" w:rsidP="004514EB">
                                  <w:pPr>
                                    <w:snapToGrid w:val="0"/>
                                    <w:ind w:leftChars="-40" w:left="-96" w:rightChars="-52" w:right="-125"/>
                                    <w:contextualSpacing/>
                                    <w:jc w:val="both"/>
                                    <w:rPr>
                                      <w:rFonts w:ascii="標楷體" w:eastAsia="標楷體" w:hAnsi="標楷體"/>
                                      <w:sz w:val="20"/>
                                    </w:rPr>
                                  </w:pPr>
                                </w:p>
                              </w:tc>
                              <w:tc>
                                <w:tcPr>
                                  <w:tcW w:w="1276" w:type="dxa"/>
                                  <w:vMerge/>
                                  <w:tcBorders>
                                    <w:tl2br w:val="single" w:sz="4" w:space="0" w:color="auto"/>
                                  </w:tcBorders>
                                  <w:shd w:val="clear" w:color="auto" w:fill="auto"/>
                                  <w:hideMark/>
                                </w:tcPr>
                                <w:p w14:paraId="00E250EB" w14:textId="77777777" w:rsidR="00CE57F9" w:rsidRPr="008D19C2" w:rsidRDefault="00CE57F9" w:rsidP="004514EB">
                                  <w:pPr>
                                    <w:snapToGrid w:val="0"/>
                                    <w:ind w:leftChars="-40" w:left="-96" w:rightChars="-52" w:right="-125"/>
                                    <w:contextualSpacing/>
                                    <w:jc w:val="both"/>
                                    <w:rPr>
                                      <w:rFonts w:ascii="標楷體" w:eastAsia="標楷體" w:hAnsi="標楷體"/>
                                      <w:sz w:val="20"/>
                                    </w:rPr>
                                  </w:pPr>
                                </w:p>
                              </w:tc>
                              <w:tc>
                                <w:tcPr>
                                  <w:tcW w:w="850" w:type="dxa"/>
                                  <w:vMerge/>
                                  <w:shd w:val="clear" w:color="auto" w:fill="auto"/>
                                  <w:noWrap/>
                                  <w:vAlign w:val="center"/>
                                </w:tcPr>
                                <w:p w14:paraId="0546F4DB"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p>
                              </w:tc>
                              <w:tc>
                                <w:tcPr>
                                  <w:tcW w:w="851" w:type="dxa"/>
                                  <w:vMerge/>
                                  <w:shd w:val="clear" w:color="auto" w:fill="auto"/>
                                  <w:noWrap/>
                                  <w:vAlign w:val="center"/>
                                </w:tcPr>
                                <w:p w14:paraId="0E2C32DB"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p>
                              </w:tc>
                              <w:tc>
                                <w:tcPr>
                                  <w:tcW w:w="674" w:type="dxa"/>
                                  <w:vMerge/>
                                  <w:shd w:val="clear" w:color="auto" w:fill="auto"/>
                                  <w:noWrap/>
                                  <w:vAlign w:val="center"/>
                                  <w:hideMark/>
                                </w:tcPr>
                                <w:p w14:paraId="50A7AA7F"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p>
                              </w:tc>
                              <w:tc>
                                <w:tcPr>
                                  <w:tcW w:w="1312" w:type="dxa"/>
                                  <w:tcBorders>
                                    <w:top w:val="single" w:sz="4" w:space="0" w:color="auto"/>
                                  </w:tcBorders>
                                  <w:shd w:val="clear" w:color="auto" w:fill="auto"/>
                                  <w:hideMark/>
                                </w:tcPr>
                                <w:p w14:paraId="4B44A7C7" w14:textId="77777777" w:rsidR="00CE57F9" w:rsidRPr="008D19C2" w:rsidRDefault="00CE57F9" w:rsidP="004514EB">
                                  <w:pPr>
                                    <w:snapToGrid w:val="0"/>
                                    <w:ind w:leftChars="-40" w:left="-96" w:rightChars="-45" w:right="-108"/>
                                    <w:contextualSpacing/>
                                    <w:jc w:val="center"/>
                                    <w:rPr>
                                      <w:rFonts w:ascii="標楷體" w:eastAsia="標楷體" w:hAnsi="標楷體"/>
                                      <w:sz w:val="20"/>
                                    </w:rPr>
                                  </w:pPr>
                                  <w:r w:rsidRPr="008D19C2">
                                    <w:rPr>
                                      <w:rFonts w:ascii="標楷體" w:eastAsia="標楷體" w:hAnsi="標楷體" w:hint="eastAsia"/>
                                      <w:sz w:val="20"/>
                                    </w:rPr>
                                    <w:t>較109年度</w:t>
                                  </w:r>
                                </w:p>
                                <w:p w14:paraId="23E560F3"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增減百分點</w:t>
                                  </w:r>
                                </w:p>
                              </w:tc>
                            </w:tr>
                            <w:tr w:rsidR="00CE57F9" w:rsidRPr="008D19C2" w14:paraId="1AF25F5B" w14:textId="77777777" w:rsidTr="00A61199">
                              <w:trPr>
                                <w:trHeight w:val="305"/>
                                <w:jc w:val="center"/>
                              </w:trPr>
                              <w:tc>
                                <w:tcPr>
                                  <w:tcW w:w="1134" w:type="dxa"/>
                                  <w:vMerge w:val="restart"/>
                                  <w:shd w:val="clear" w:color="auto" w:fill="auto"/>
                                  <w:noWrap/>
                                  <w:vAlign w:val="center"/>
                                  <w:hideMark/>
                                </w:tcPr>
                                <w:p w14:paraId="70A0403E" w14:textId="77777777" w:rsidR="00CE57F9" w:rsidRPr="008D19C2" w:rsidRDefault="00CE57F9" w:rsidP="004514EB">
                                  <w:pPr>
                                    <w:snapToGrid w:val="0"/>
                                    <w:ind w:leftChars="-50" w:left="-120" w:rightChars="-50" w:right="-120"/>
                                    <w:contextualSpacing/>
                                    <w:jc w:val="center"/>
                                    <w:rPr>
                                      <w:rFonts w:ascii="標楷體" w:eastAsia="標楷體" w:hAnsi="標楷體"/>
                                      <w:sz w:val="20"/>
                                    </w:rPr>
                                  </w:pPr>
                                  <w:r w:rsidRPr="008D19C2">
                                    <w:rPr>
                                      <w:rFonts w:ascii="標楷體" w:eastAsia="標楷體" w:hAnsi="標楷體" w:hint="eastAsia"/>
                                      <w:sz w:val="20"/>
                                    </w:rPr>
                                    <w:t>12至17歲</w:t>
                                  </w:r>
                                </w:p>
                                <w:p w14:paraId="4ECD89D3" w14:textId="24984503" w:rsidR="00CE57F9" w:rsidRPr="008D19C2" w:rsidRDefault="00CE57F9" w:rsidP="004514EB">
                                  <w:pPr>
                                    <w:snapToGrid w:val="0"/>
                                    <w:ind w:leftChars="-50" w:left="-120" w:rightChars="-50" w:right="-120" w:firstLineChars="21" w:firstLine="42"/>
                                    <w:contextualSpacing/>
                                    <w:jc w:val="center"/>
                                    <w:rPr>
                                      <w:rFonts w:ascii="標楷體" w:eastAsia="標楷體" w:hAnsi="標楷體"/>
                                      <w:sz w:val="20"/>
                                    </w:rPr>
                                  </w:pPr>
                                  <w:r>
                                    <w:rPr>
                                      <w:rFonts w:ascii="標楷體" w:eastAsia="標楷體" w:hAnsi="標楷體" w:hint="eastAsia"/>
                                      <w:sz w:val="20"/>
                                    </w:rPr>
                                    <w:t>（</w:t>
                                  </w:r>
                                  <w:r w:rsidRPr="008D19C2">
                                    <w:rPr>
                                      <w:rFonts w:ascii="標楷體" w:eastAsia="標楷體" w:hAnsi="標楷體" w:hint="eastAsia"/>
                                      <w:sz w:val="20"/>
                                    </w:rPr>
                                    <w:t>適齡就讀國中、高中）</w:t>
                                  </w:r>
                                </w:p>
                              </w:tc>
                              <w:tc>
                                <w:tcPr>
                                  <w:tcW w:w="1276" w:type="dxa"/>
                                  <w:shd w:val="clear" w:color="auto" w:fill="auto"/>
                                  <w:vAlign w:val="center"/>
                                  <w:hideMark/>
                                </w:tcPr>
                                <w:p w14:paraId="3E2D54DF"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就業</w:t>
                                  </w:r>
                                </w:p>
                              </w:tc>
                              <w:tc>
                                <w:tcPr>
                                  <w:tcW w:w="850" w:type="dxa"/>
                                  <w:shd w:val="clear" w:color="auto" w:fill="auto"/>
                                  <w:noWrap/>
                                  <w:vAlign w:val="center"/>
                                  <w:hideMark/>
                                </w:tcPr>
                                <w:p w14:paraId="6C1DB418"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18.64</w:t>
                                  </w:r>
                                  <w:r w:rsidRPr="008D19C2">
                                    <w:rPr>
                                      <w:rFonts w:ascii="標楷體" w:eastAsia="標楷體" w:hAnsi="標楷體"/>
                                      <w:sz w:val="20"/>
                                    </w:rPr>
                                    <w:t xml:space="preserve"> </w:t>
                                  </w:r>
                                </w:p>
                              </w:tc>
                              <w:tc>
                                <w:tcPr>
                                  <w:tcW w:w="851" w:type="dxa"/>
                                  <w:shd w:val="clear" w:color="auto" w:fill="auto"/>
                                  <w:noWrap/>
                                  <w:vAlign w:val="center"/>
                                  <w:hideMark/>
                                </w:tcPr>
                                <w:p w14:paraId="4A92E8B1"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17.07</w:t>
                                  </w:r>
                                  <w:r w:rsidRPr="008D19C2">
                                    <w:rPr>
                                      <w:rFonts w:ascii="標楷體" w:eastAsia="標楷體" w:hAnsi="標楷體"/>
                                      <w:sz w:val="20"/>
                                    </w:rPr>
                                    <w:t xml:space="preserve"> </w:t>
                                  </w:r>
                                </w:p>
                              </w:tc>
                              <w:tc>
                                <w:tcPr>
                                  <w:tcW w:w="674" w:type="dxa"/>
                                  <w:shd w:val="clear" w:color="auto" w:fill="auto"/>
                                  <w:noWrap/>
                                  <w:vAlign w:val="center"/>
                                  <w:hideMark/>
                                </w:tcPr>
                                <w:p w14:paraId="00F59E67"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24.24</w:t>
                                  </w:r>
                                  <w:r w:rsidRPr="008D19C2">
                                    <w:rPr>
                                      <w:rFonts w:ascii="標楷體" w:eastAsia="標楷體" w:hAnsi="標楷體"/>
                                      <w:sz w:val="20"/>
                                    </w:rPr>
                                    <w:t xml:space="preserve"> </w:t>
                                  </w:r>
                                </w:p>
                              </w:tc>
                              <w:tc>
                                <w:tcPr>
                                  <w:tcW w:w="1312" w:type="dxa"/>
                                  <w:shd w:val="clear" w:color="auto" w:fill="auto"/>
                                  <w:noWrap/>
                                  <w:vAlign w:val="center"/>
                                  <w:hideMark/>
                                </w:tcPr>
                                <w:p w14:paraId="69CA8F8F"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5.60</w:t>
                                  </w:r>
                                  <w:r w:rsidRPr="008D19C2">
                                    <w:rPr>
                                      <w:rFonts w:ascii="標楷體" w:eastAsia="標楷體" w:hAnsi="標楷體"/>
                                      <w:sz w:val="20"/>
                                    </w:rPr>
                                    <w:t xml:space="preserve"> </w:t>
                                  </w:r>
                                </w:p>
                              </w:tc>
                            </w:tr>
                            <w:tr w:rsidR="00CE57F9" w:rsidRPr="008D19C2" w14:paraId="343BD03C" w14:textId="77777777" w:rsidTr="00A61199">
                              <w:trPr>
                                <w:trHeight w:val="305"/>
                                <w:jc w:val="center"/>
                              </w:trPr>
                              <w:tc>
                                <w:tcPr>
                                  <w:tcW w:w="1134" w:type="dxa"/>
                                  <w:vMerge/>
                                  <w:shd w:val="clear" w:color="auto" w:fill="auto"/>
                                  <w:vAlign w:val="center"/>
                                  <w:hideMark/>
                                </w:tcPr>
                                <w:p w14:paraId="5F40F568"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p>
                              </w:tc>
                              <w:tc>
                                <w:tcPr>
                                  <w:tcW w:w="1276" w:type="dxa"/>
                                  <w:shd w:val="clear" w:color="auto" w:fill="auto"/>
                                  <w:vAlign w:val="center"/>
                                  <w:hideMark/>
                                </w:tcPr>
                                <w:p w14:paraId="5A137E55"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學生</w:t>
                                  </w:r>
                                </w:p>
                              </w:tc>
                              <w:tc>
                                <w:tcPr>
                                  <w:tcW w:w="850" w:type="dxa"/>
                                  <w:shd w:val="clear" w:color="auto" w:fill="auto"/>
                                  <w:noWrap/>
                                  <w:vAlign w:val="center"/>
                                  <w:hideMark/>
                                </w:tcPr>
                                <w:p w14:paraId="38E25DC5"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40.68</w:t>
                                  </w:r>
                                  <w:r w:rsidRPr="008D19C2">
                                    <w:rPr>
                                      <w:rFonts w:ascii="標楷體" w:eastAsia="標楷體" w:hAnsi="標楷體"/>
                                      <w:sz w:val="20"/>
                                    </w:rPr>
                                    <w:t xml:space="preserve"> </w:t>
                                  </w:r>
                                </w:p>
                              </w:tc>
                              <w:tc>
                                <w:tcPr>
                                  <w:tcW w:w="851" w:type="dxa"/>
                                  <w:shd w:val="clear" w:color="auto" w:fill="auto"/>
                                  <w:noWrap/>
                                  <w:vAlign w:val="center"/>
                                  <w:hideMark/>
                                </w:tcPr>
                                <w:p w14:paraId="5F340EB4"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41.46</w:t>
                                  </w:r>
                                  <w:r w:rsidRPr="008D19C2">
                                    <w:rPr>
                                      <w:rFonts w:ascii="標楷體" w:eastAsia="標楷體" w:hAnsi="標楷體"/>
                                      <w:sz w:val="20"/>
                                    </w:rPr>
                                    <w:t xml:space="preserve"> </w:t>
                                  </w:r>
                                </w:p>
                              </w:tc>
                              <w:tc>
                                <w:tcPr>
                                  <w:tcW w:w="674" w:type="dxa"/>
                                  <w:shd w:val="clear" w:color="auto" w:fill="auto"/>
                                  <w:noWrap/>
                                  <w:vAlign w:val="center"/>
                                  <w:hideMark/>
                                </w:tcPr>
                                <w:p w14:paraId="6B24FBCF"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36.36</w:t>
                                  </w:r>
                                  <w:r w:rsidRPr="008D19C2">
                                    <w:rPr>
                                      <w:rFonts w:ascii="標楷體" w:eastAsia="標楷體" w:hAnsi="標楷體"/>
                                      <w:sz w:val="20"/>
                                    </w:rPr>
                                    <w:t xml:space="preserve"> </w:t>
                                  </w:r>
                                </w:p>
                              </w:tc>
                              <w:tc>
                                <w:tcPr>
                                  <w:tcW w:w="1312" w:type="dxa"/>
                                  <w:shd w:val="clear" w:color="auto" w:fill="auto"/>
                                  <w:noWrap/>
                                  <w:vAlign w:val="center"/>
                                  <w:hideMark/>
                                </w:tcPr>
                                <w:p w14:paraId="04DD2E09"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w:t>
                                  </w:r>
                                  <w:r w:rsidRPr="008D19C2">
                                    <w:rPr>
                                      <w:rFonts w:ascii="標楷體" w:eastAsia="標楷體" w:hAnsi="標楷體"/>
                                      <w:sz w:val="20"/>
                                    </w:rPr>
                                    <w:t xml:space="preserve"> </w:t>
                                  </w:r>
                                  <w:r w:rsidRPr="008D19C2">
                                    <w:rPr>
                                      <w:rFonts w:ascii="標楷體" w:eastAsia="標楷體" w:hAnsi="標楷體" w:hint="eastAsia"/>
                                      <w:sz w:val="20"/>
                                    </w:rPr>
                                    <w:t>4.31</w:t>
                                  </w:r>
                                  <w:r w:rsidRPr="008D19C2">
                                    <w:rPr>
                                      <w:rFonts w:ascii="標楷體" w:eastAsia="標楷體" w:hAnsi="標楷體"/>
                                      <w:sz w:val="20"/>
                                    </w:rPr>
                                    <w:t xml:space="preserve"> </w:t>
                                  </w:r>
                                </w:p>
                              </w:tc>
                            </w:tr>
                            <w:tr w:rsidR="00CE57F9" w:rsidRPr="008D19C2" w14:paraId="5816859A" w14:textId="77777777" w:rsidTr="00A61199">
                              <w:trPr>
                                <w:trHeight w:val="305"/>
                                <w:jc w:val="center"/>
                              </w:trPr>
                              <w:tc>
                                <w:tcPr>
                                  <w:tcW w:w="1134" w:type="dxa"/>
                                  <w:vMerge/>
                                  <w:shd w:val="clear" w:color="auto" w:fill="auto"/>
                                  <w:vAlign w:val="center"/>
                                  <w:hideMark/>
                                </w:tcPr>
                                <w:p w14:paraId="75B053C7"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p>
                              </w:tc>
                              <w:tc>
                                <w:tcPr>
                                  <w:tcW w:w="1276" w:type="dxa"/>
                                  <w:shd w:val="clear" w:color="auto" w:fill="auto"/>
                                  <w:vAlign w:val="center"/>
                                  <w:hideMark/>
                                </w:tcPr>
                                <w:p w14:paraId="088AEC29"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無職及其他</w:t>
                                  </w:r>
                                </w:p>
                              </w:tc>
                              <w:tc>
                                <w:tcPr>
                                  <w:tcW w:w="850" w:type="dxa"/>
                                  <w:shd w:val="clear" w:color="auto" w:fill="auto"/>
                                  <w:noWrap/>
                                  <w:vAlign w:val="center"/>
                                  <w:hideMark/>
                                </w:tcPr>
                                <w:p w14:paraId="5492A5E7"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40.68</w:t>
                                  </w:r>
                                  <w:r w:rsidRPr="008D19C2">
                                    <w:rPr>
                                      <w:rFonts w:ascii="標楷體" w:eastAsia="標楷體" w:hAnsi="標楷體"/>
                                      <w:sz w:val="20"/>
                                    </w:rPr>
                                    <w:t xml:space="preserve"> </w:t>
                                  </w:r>
                                </w:p>
                              </w:tc>
                              <w:tc>
                                <w:tcPr>
                                  <w:tcW w:w="851" w:type="dxa"/>
                                  <w:shd w:val="clear" w:color="auto" w:fill="auto"/>
                                  <w:noWrap/>
                                  <w:vAlign w:val="center"/>
                                  <w:hideMark/>
                                </w:tcPr>
                                <w:p w14:paraId="18F373ED"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41.46</w:t>
                                  </w:r>
                                  <w:r w:rsidRPr="008D19C2">
                                    <w:rPr>
                                      <w:rFonts w:ascii="標楷體" w:eastAsia="標楷體" w:hAnsi="標楷體"/>
                                      <w:sz w:val="20"/>
                                    </w:rPr>
                                    <w:t xml:space="preserve"> </w:t>
                                  </w:r>
                                </w:p>
                              </w:tc>
                              <w:tc>
                                <w:tcPr>
                                  <w:tcW w:w="674" w:type="dxa"/>
                                  <w:shd w:val="clear" w:color="auto" w:fill="auto"/>
                                  <w:noWrap/>
                                  <w:vAlign w:val="center"/>
                                  <w:hideMark/>
                                </w:tcPr>
                                <w:p w14:paraId="4EB2F8E1"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39.39</w:t>
                                  </w:r>
                                  <w:r w:rsidRPr="008D19C2">
                                    <w:rPr>
                                      <w:rFonts w:ascii="標楷體" w:eastAsia="標楷體" w:hAnsi="標楷體"/>
                                      <w:sz w:val="20"/>
                                    </w:rPr>
                                    <w:t xml:space="preserve"> </w:t>
                                  </w:r>
                                </w:p>
                              </w:tc>
                              <w:tc>
                                <w:tcPr>
                                  <w:tcW w:w="1312" w:type="dxa"/>
                                  <w:shd w:val="clear" w:color="auto" w:fill="auto"/>
                                  <w:noWrap/>
                                  <w:vAlign w:val="center"/>
                                  <w:hideMark/>
                                </w:tcPr>
                                <w:p w14:paraId="4302A8E7"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w:t>
                                  </w:r>
                                  <w:r w:rsidRPr="008D19C2">
                                    <w:rPr>
                                      <w:rFonts w:ascii="標楷體" w:eastAsia="標楷體" w:hAnsi="標楷體"/>
                                      <w:sz w:val="20"/>
                                    </w:rPr>
                                    <w:t xml:space="preserve"> </w:t>
                                  </w:r>
                                  <w:r w:rsidRPr="008D19C2">
                                    <w:rPr>
                                      <w:rFonts w:ascii="標楷體" w:eastAsia="標楷體" w:hAnsi="標楷體" w:hint="eastAsia"/>
                                      <w:sz w:val="20"/>
                                    </w:rPr>
                                    <w:t>1.28</w:t>
                                  </w:r>
                                  <w:r w:rsidRPr="008D19C2">
                                    <w:rPr>
                                      <w:rFonts w:ascii="標楷體" w:eastAsia="標楷體" w:hAnsi="標楷體"/>
                                      <w:sz w:val="20"/>
                                    </w:rPr>
                                    <w:t xml:space="preserve"> </w:t>
                                  </w:r>
                                </w:p>
                              </w:tc>
                            </w:tr>
                            <w:tr w:rsidR="00CE57F9" w:rsidRPr="008D19C2" w14:paraId="6D231491" w14:textId="77777777" w:rsidTr="00A61199">
                              <w:trPr>
                                <w:trHeight w:val="305"/>
                                <w:jc w:val="center"/>
                              </w:trPr>
                              <w:tc>
                                <w:tcPr>
                                  <w:tcW w:w="1134" w:type="dxa"/>
                                  <w:vMerge w:val="restart"/>
                                  <w:shd w:val="clear" w:color="auto" w:fill="auto"/>
                                  <w:noWrap/>
                                  <w:vAlign w:val="center"/>
                                  <w:hideMark/>
                                </w:tcPr>
                                <w:p w14:paraId="73103D0F"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18至23歲</w:t>
                                  </w:r>
                                </w:p>
                                <w:p w14:paraId="510359AA" w14:textId="009C4701" w:rsidR="00CE57F9" w:rsidRPr="008D19C2" w:rsidRDefault="00CE57F9" w:rsidP="004514EB">
                                  <w:pPr>
                                    <w:snapToGrid w:val="0"/>
                                    <w:ind w:leftChars="-40" w:left="-96"/>
                                    <w:contextualSpacing/>
                                    <w:jc w:val="center"/>
                                    <w:rPr>
                                      <w:rFonts w:ascii="標楷體" w:eastAsia="標楷體" w:hAnsi="標楷體"/>
                                      <w:sz w:val="20"/>
                                    </w:rPr>
                                  </w:pPr>
                                  <w:r>
                                    <w:rPr>
                                      <w:rFonts w:ascii="標楷體" w:eastAsia="標楷體" w:hAnsi="標楷體" w:hint="eastAsia"/>
                                      <w:sz w:val="20"/>
                                    </w:rPr>
                                    <w:t>（</w:t>
                                  </w:r>
                                  <w:r w:rsidRPr="008D19C2">
                                    <w:rPr>
                                      <w:rFonts w:ascii="標楷體" w:eastAsia="標楷體" w:hAnsi="標楷體" w:hint="eastAsia"/>
                                      <w:sz w:val="20"/>
                                    </w:rPr>
                                    <w:t>適齡就讀大學</w:t>
                                  </w:r>
                                  <w:r w:rsidRPr="008D19C2">
                                    <w:rPr>
                                      <w:rFonts w:ascii="標楷體" w:eastAsia="標楷體" w:hAnsi="標楷體"/>
                                      <w:sz w:val="20"/>
                                    </w:rPr>
                                    <w:t>）</w:t>
                                  </w:r>
                                </w:p>
                              </w:tc>
                              <w:tc>
                                <w:tcPr>
                                  <w:tcW w:w="1276" w:type="dxa"/>
                                  <w:shd w:val="clear" w:color="auto" w:fill="auto"/>
                                  <w:vAlign w:val="center"/>
                                  <w:hideMark/>
                                </w:tcPr>
                                <w:p w14:paraId="0893BA49"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就業</w:t>
                                  </w:r>
                                </w:p>
                              </w:tc>
                              <w:tc>
                                <w:tcPr>
                                  <w:tcW w:w="850" w:type="dxa"/>
                                  <w:shd w:val="clear" w:color="auto" w:fill="auto"/>
                                  <w:noWrap/>
                                  <w:vAlign w:val="center"/>
                                  <w:hideMark/>
                                </w:tcPr>
                                <w:p w14:paraId="265E28BC"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59.80</w:t>
                                  </w:r>
                                  <w:r w:rsidRPr="008D19C2">
                                    <w:rPr>
                                      <w:rFonts w:ascii="標楷體" w:eastAsia="標楷體" w:hAnsi="標楷體"/>
                                      <w:sz w:val="20"/>
                                    </w:rPr>
                                    <w:t xml:space="preserve"> </w:t>
                                  </w:r>
                                </w:p>
                              </w:tc>
                              <w:tc>
                                <w:tcPr>
                                  <w:tcW w:w="851" w:type="dxa"/>
                                  <w:shd w:val="clear" w:color="auto" w:fill="auto"/>
                                  <w:noWrap/>
                                  <w:vAlign w:val="center"/>
                                  <w:hideMark/>
                                </w:tcPr>
                                <w:p w14:paraId="054D8034"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68.07</w:t>
                                  </w:r>
                                  <w:r w:rsidRPr="008D19C2">
                                    <w:rPr>
                                      <w:rFonts w:ascii="標楷體" w:eastAsia="標楷體" w:hAnsi="標楷體"/>
                                      <w:sz w:val="20"/>
                                    </w:rPr>
                                    <w:t xml:space="preserve"> </w:t>
                                  </w:r>
                                </w:p>
                              </w:tc>
                              <w:tc>
                                <w:tcPr>
                                  <w:tcW w:w="674" w:type="dxa"/>
                                  <w:shd w:val="clear" w:color="auto" w:fill="auto"/>
                                  <w:noWrap/>
                                  <w:vAlign w:val="center"/>
                                  <w:hideMark/>
                                </w:tcPr>
                                <w:p w14:paraId="093BFE72"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67.16</w:t>
                                  </w:r>
                                  <w:r w:rsidRPr="008D19C2">
                                    <w:rPr>
                                      <w:rFonts w:ascii="標楷體" w:eastAsia="標楷體" w:hAnsi="標楷體"/>
                                      <w:sz w:val="20"/>
                                    </w:rPr>
                                    <w:t xml:space="preserve"> </w:t>
                                  </w:r>
                                </w:p>
                              </w:tc>
                              <w:tc>
                                <w:tcPr>
                                  <w:tcW w:w="1312" w:type="dxa"/>
                                  <w:shd w:val="clear" w:color="auto" w:fill="auto"/>
                                  <w:noWrap/>
                                  <w:vAlign w:val="center"/>
                                  <w:hideMark/>
                                </w:tcPr>
                                <w:p w14:paraId="5D9D0DB1"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7.36</w:t>
                                  </w:r>
                                  <w:r w:rsidRPr="008D19C2">
                                    <w:rPr>
                                      <w:rFonts w:ascii="標楷體" w:eastAsia="標楷體" w:hAnsi="標楷體"/>
                                      <w:sz w:val="20"/>
                                    </w:rPr>
                                    <w:t xml:space="preserve"> </w:t>
                                  </w:r>
                                </w:p>
                              </w:tc>
                            </w:tr>
                            <w:tr w:rsidR="00CE57F9" w:rsidRPr="008D19C2" w14:paraId="6850B79F" w14:textId="77777777" w:rsidTr="00A61199">
                              <w:trPr>
                                <w:trHeight w:val="305"/>
                                <w:jc w:val="center"/>
                              </w:trPr>
                              <w:tc>
                                <w:tcPr>
                                  <w:tcW w:w="1134" w:type="dxa"/>
                                  <w:vMerge/>
                                  <w:shd w:val="clear" w:color="auto" w:fill="auto"/>
                                  <w:vAlign w:val="center"/>
                                  <w:hideMark/>
                                </w:tcPr>
                                <w:p w14:paraId="75D8F3A3"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p>
                              </w:tc>
                              <w:tc>
                                <w:tcPr>
                                  <w:tcW w:w="1276" w:type="dxa"/>
                                  <w:shd w:val="clear" w:color="auto" w:fill="auto"/>
                                  <w:vAlign w:val="center"/>
                                  <w:hideMark/>
                                </w:tcPr>
                                <w:p w14:paraId="1F07A2E3"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學生</w:t>
                                  </w:r>
                                </w:p>
                              </w:tc>
                              <w:tc>
                                <w:tcPr>
                                  <w:tcW w:w="850" w:type="dxa"/>
                                  <w:shd w:val="clear" w:color="auto" w:fill="auto"/>
                                  <w:noWrap/>
                                  <w:vAlign w:val="center"/>
                                  <w:hideMark/>
                                </w:tcPr>
                                <w:p w14:paraId="03009CE2"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15.69</w:t>
                                  </w:r>
                                  <w:r w:rsidRPr="008D19C2">
                                    <w:rPr>
                                      <w:rFonts w:ascii="標楷體" w:eastAsia="標楷體" w:hAnsi="標楷體"/>
                                      <w:sz w:val="20"/>
                                    </w:rPr>
                                    <w:t xml:space="preserve"> </w:t>
                                  </w:r>
                                </w:p>
                              </w:tc>
                              <w:tc>
                                <w:tcPr>
                                  <w:tcW w:w="851" w:type="dxa"/>
                                  <w:shd w:val="clear" w:color="auto" w:fill="auto"/>
                                  <w:noWrap/>
                                  <w:vAlign w:val="center"/>
                                  <w:hideMark/>
                                </w:tcPr>
                                <w:p w14:paraId="498F4957"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6.72</w:t>
                                  </w:r>
                                  <w:r w:rsidRPr="008D19C2">
                                    <w:rPr>
                                      <w:rFonts w:ascii="標楷體" w:eastAsia="標楷體" w:hAnsi="標楷體"/>
                                      <w:sz w:val="20"/>
                                    </w:rPr>
                                    <w:t xml:space="preserve"> </w:t>
                                  </w:r>
                                </w:p>
                              </w:tc>
                              <w:tc>
                                <w:tcPr>
                                  <w:tcW w:w="674" w:type="dxa"/>
                                  <w:shd w:val="clear" w:color="auto" w:fill="auto"/>
                                  <w:noWrap/>
                                  <w:vAlign w:val="center"/>
                                  <w:hideMark/>
                                </w:tcPr>
                                <w:p w14:paraId="18FD7423"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3.98</w:t>
                                  </w:r>
                                  <w:r w:rsidRPr="008D19C2">
                                    <w:rPr>
                                      <w:rFonts w:ascii="標楷體" w:eastAsia="標楷體" w:hAnsi="標楷體"/>
                                      <w:sz w:val="20"/>
                                    </w:rPr>
                                    <w:t xml:space="preserve"> </w:t>
                                  </w:r>
                                </w:p>
                              </w:tc>
                              <w:tc>
                                <w:tcPr>
                                  <w:tcW w:w="1312" w:type="dxa"/>
                                  <w:shd w:val="clear" w:color="auto" w:fill="auto"/>
                                  <w:noWrap/>
                                  <w:vAlign w:val="center"/>
                                  <w:hideMark/>
                                </w:tcPr>
                                <w:p w14:paraId="4E5D31EA"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w:t>
                                  </w:r>
                                  <w:r w:rsidRPr="008D19C2">
                                    <w:rPr>
                                      <w:rFonts w:ascii="標楷體" w:eastAsia="標楷體" w:hAnsi="標楷體"/>
                                      <w:sz w:val="20"/>
                                    </w:rPr>
                                    <w:t xml:space="preserve"> </w:t>
                                  </w:r>
                                  <w:r w:rsidRPr="008D19C2">
                                    <w:rPr>
                                      <w:rFonts w:ascii="標楷體" w:eastAsia="標楷體" w:hAnsi="標楷體" w:hint="eastAsia"/>
                                      <w:sz w:val="20"/>
                                    </w:rPr>
                                    <w:t>11.71</w:t>
                                  </w:r>
                                  <w:r w:rsidRPr="008D19C2">
                                    <w:rPr>
                                      <w:rFonts w:ascii="標楷體" w:eastAsia="標楷體" w:hAnsi="標楷體"/>
                                      <w:sz w:val="20"/>
                                    </w:rPr>
                                    <w:t xml:space="preserve"> </w:t>
                                  </w:r>
                                </w:p>
                              </w:tc>
                            </w:tr>
                            <w:tr w:rsidR="00CE57F9" w:rsidRPr="008D19C2" w14:paraId="2E2FF11F" w14:textId="77777777" w:rsidTr="00A61199">
                              <w:trPr>
                                <w:trHeight w:val="305"/>
                                <w:jc w:val="center"/>
                              </w:trPr>
                              <w:tc>
                                <w:tcPr>
                                  <w:tcW w:w="1134" w:type="dxa"/>
                                  <w:vMerge/>
                                  <w:shd w:val="clear" w:color="auto" w:fill="auto"/>
                                  <w:vAlign w:val="center"/>
                                  <w:hideMark/>
                                </w:tcPr>
                                <w:p w14:paraId="7BA131E3"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p>
                              </w:tc>
                              <w:tc>
                                <w:tcPr>
                                  <w:tcW w:w="1276" w:type="dxa"/>
                                  <w:shd w:val="clear" w:color="auto" w:fill="auto"/>
                                  <w:vAlign w:val="center"/>
                                  <w:hideMark/>
                                </w:tcPr>
                                <w:p w14:paraId="7203DD94"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無職及其他</w:t>
                                  </w:r>
                                </w:p>
                              </w:tc>
                              <w:tc>
                                <w:tcPr>
                                  <w:tcW w:w="850" w:type="dxa"/>
                                  <w:shd w:val="clear" w:color="auto" w:fill="auto"/>
                                  <w:noWrap/>
                                  <w:vAlign w:val="center"/>
                                  <w:hideMark/>
                                </w:tcPr>
                                <w:p w14:paraId="19586A62"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24.51</w:t>
                                  </w:r>
                                  <w:r w:rsidRPr="008D19C2">
                                    <w:rPr>
                                      <w:rFonts w:ascii="標楷體" w:eastAsia="標楷體" w:hAnsi="標楷體"/>
                                      <w:sz w:val="20"/>
                                    </w:rPr>
                                    <w:t xml:space="preserve"> </w:t>
                                  </w:r>
                                </w:p>
                              </w:tc>
                              <w:tc>
                                <w:tcPr>
                                  <w:tcW w:w="851" w:type="dxa"/>
                                  <w:shd w:val="clear" w:color="auto" w:fill="auto"/>
                                  <w:noWrap/>
                                  <w:vAlign w:val="center"/>
                                  <w:hideMark/>
                                </w:tcPr>
                                <w:p w14:paraId="6FF5EF91"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25.21</w:t>
                                  </w:r>
                                  <w:r w:rsidRPr="008D19C2">
                                    <w:rPr>
                                      <w:rFonts w:ascii="標楷體" w:eastAsia="標楷體" w:hAnsi="標楷體"/>
                                      <w:sz w:val="20"/>
                                    </w:rPr>
                                    <w:t xml:space="preserve"> </w:t>
                                  </w:r>
                                </w:p>
                              </w:tc>
                              <w:tc>
                                <w:tcPr>
                                  <w:tcW w:w="674" w:type="dxa"/>
                                  <w:shd w:val="clear" w:color="auto" w:fill="auto"/>
                                  <w:noWrap/>
                                  <w:vAlign w:val="center"/>
                                  <w:hideMark/>
                                </w:tcPr>
                                <w:p w14:paraId="48F46FD5"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28.86</w:t>
                                  </w:r>
                                  <w:r w:rsidRPr="008D19C2">
                                    <w:rPr>
                                      <w:rFonts w:ascii="標楷體" w:eastAsia="標楷體" w:hAnsi="標楷體"/>
                                      <w:sz w:val="20"/>
                                    </w:rPr>
                                    <w:t xml:space="preserve"> </w:t>
                                  </w:r>
                                </w:p>
                              </w:tc>
                              <w:tc>
                                <w:tcPr>
                                  <w:tcW w:w="1312" w:type="dxa"/>
                                  <w:shd w:val="clear" w:color="auto" w:fill="auto"/>
                                  <w:noWrap/>
                                  <w:vAlign w:val="center"/>
                                  <w:hideMark/>
                                </w:tcPr>
                                <w:p w14:paraId="6473166B"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4.35</w:t>
                                  </w:r>
                                  <w:r w:rsidRPr="008D19C2">
                                    <w:rPr>
                                      <w:rFonts w:ascii="標楷體" w:eastAsia="標楷體" w:hAnsi="標楷體"/>
                                      <w:sz w:val="20"/>
                                    </w:rPr>
                                    <w:t xml:space="preserve"> </w:t>
                                  </w:r>
                                </w:p>
                              </w:tc>
                            </w:tr>
                            <w:tr w:rsidR="00CE57F9" w:rsidRPr="008D19C2" w14:paraId="1E272BA2" w14:textId="77777777" w:rsidTr="00A61199">
                              <w:trPr>
                                <w:trHeight w:val="305"/>
                                <w:jc w:val="center"/>
                              </w:trPr>
                              <w:tc>
                                <w:tcPr>
                                  <w:tcW w:w="1134" w:type="dxa"/>
                                  <w:vMerge w:val="restart"/>
                                  <w:shd w:val="clear" w:color="auto" w:fill="auto"/>
                                  <w:noWrap/>
                                  <w:vAlign w:val="center"/>
                                  <w:hideMark/>
                                </w:tcPr>
                                <w:p w14:paraId="0041FB79"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24至29歲</w:t>
                                  </w:r>
                                </w:p>
                              </w:tc>
                              <w:tc>
                                <w:tcPr>
                                  <w:tcW w:w="1276" w:type="dxa"/>
                                  <w:shd w:val="clear" w:color="auto" w:fill="auto"/>
                                  <w:vAlign w:val="center"/>
                                  <w:hideMark/>
                                </w:tcPr>
                                <w:p w14:paraId="7E58EFD3"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就業</w:t>
                                  </w:r>
                                </w:p>
                              </w:tc>
                              <w:tc>
                                <w:tcPr>
                                  <w:tcW w:w="850" w:type="dxa"/>
                                  <w:shd w:val="clear" w:color="auto" w:fill="auto"/>
                                  <w:noWrap/>
                                  <w:vAlign w:val="center"/>
                                  <w:hideMark/>
                                </w:tcPr>
                                <w:p w14:paraId="34F56B90"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78.79</w:t>
                                  </w:r>
                                  <w:r w:rsidRPr="008D19C2">
                                    <w:rPr>
                                      <w:rFonts w:ascii="標楷體" w:eastAsia="標楷體" w:hAnsi="標楷體"/>
                                      <w:sz w:val="20"/>
                                    </w:rPr>
                                    <w:t xml:space="preserve"> </w:t>
                                  </w:r>
                                </w:p>
                              </w:tc>
                              <w:tc>
                                <w:tcPr>
                                  <w:tcW w:w="851" w:type="dxa"/>
                                  <w:shd w:val="clear" w:color="auto" w:fill="auto"/>
                                  <w:noWrap/>
                                  <w:vAlign w:val="center"/>
                                  <w:hideMark/>
                                </w:tcPr>
                                <w:p w14:paraId="462C498E"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80.23</w:t>
                                  </w:r>
                                  <w:r w:rsidRPr="008D19C2">
                                    <w:rPr>
                                      <w:rFonts w:ascii="標楷體" w:eastAsia="標楷體" w:hAnsi="標楷體"/>
                                      <w:sz w:val="20"/>
                                    </w:rPr>
                                    <w:t xml:space="preserve"> </w:t>
                                  </w:r>
                                </w:p>
                              </w:tc>
                              <w:tc>
                                <w:tcPr>
                                  <w:tcW w:w="674" w:type="dxa"/>
                                  <w:shd w:val="clear" w:color="auto" w:fill="auto"/>
                                  <w:noWrap/>
                                  <w:vAlign w:val="center"/>
                                  <w:hideMark/>
                                </w:tcPr>
                                <w:p w14:paraId="2C0EA90D"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71.78</w:t>
                                  </w:r>
                                  <w:r w:rsidRPr="008D19C2">
                                    <w:rPr>
                                      <w:rFonts w:ascii="標楷體" w:eastAsia="標楷體" w:hAnsi="標楷體"/>
                                      <w:sz w:val="20"/>
                                    </w:rPr>
                                    <w:t xml:space="preserve"> </w:t>
                                  </w:r>
                                </w:p>
                              </w:tc>
                              <w:tc>
                                <w:tcPr>
                                  <w:tcW w:w="1312" w:type="dxa"/>
                                  <w:shd w:val="clear" w:color="auto" w:fill="auto"/>
                                  <w:noWrap/>
                                  <w:vAlign w:val="center"/>
                                  <w:hideMark/>
                                </w:tcPr>
                                <w:p w14:paraId="497810BE"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w:t>
                                  </w:r>
                                  <w:r w:rsidRPr="008D19C2">
                                    <w:rPr>
                                      <w:rFonts w:ascii="標楷體" w:eastAsia="標楷體" w:hAnsi="標楷體"/>
                                      <w:sz w:val="20"/>
                                    </w:rPr>
                                    <w:t xml:space="preserve"> </w:t>
                                  </w:r>
                                  <w:r w:rsidRPr="008D19C2">
                                    <w:rPr>
                                      <w:rFonts w:ascii="標楷體" w:eastAsia="標楷體" w:hAnsi="標楷體" w:hint="eastAsia"/>
                                      <w:sz w:val="20"/>
                                    </w:rPr>
                                    <w:t>7.01</w:t>
                                  </w:r>
                                  <w:r w:rsidRPr="008D19C2">
                                    <w:rPr>
                                      <w:rFonts w:ascii="標楷體" w:eastAsia="標楷體" w:hAnsi="標楷體"/>
                                      <w:sz w:val="20"/>
                                    </w:rPr>
                                    <w:t xml:space="preserve"> </w:t>
                                  </w:r>
                                </w:p>
                              </w:tc>
                            </w:tr>
                            <w:tr w:rsidR="00CE57F9" w:rsidRPr="008D19C2" w14:paraId="089244B1" w14:textId="77777777" w:rsidTr="00A61199">
                              <w:trPr>
                                <w:trHeight w:val="305"/>
                                <w:jc w:val="center"/>
                              </w:trPr>
                              <w:tc>
                                <w:tcPr>
                                  <w:tcW w:w="1134" w:type="dxa"/>
                                  <w:vMerge/>
                                  <w:shd w:val="clear" w:color="auto" w:fill="auto"/>
                                  <w:vAlign w:val="center"/>
                                  <w:hideMark/>
                                </w:tcPr>
                                <w:p w14:paraId="5FC19AD3"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p>
                              </w:tc>
                              <w:tc>
                                <w:tcPr>
                                  <w:tcW w:w="1276" w:type="dxa"/>
                                  <w:shd w:val="clear" w:color="auto" w:fill="auto"/>
                                  <w:vAlign w:val="center"/>
                                  <w:hideMark/>
                                </w:tcPr>
                                <w:p w14:paraId="215D7A9A"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學生</w:t>
                                  </w:r>
                                </w:p>
                              </w:tc>
                              <w:tc>
                                <w:tcPr>
                                  <w:tcW w:w="850" w:type="dxa"/>
                                  <w:shd w:val="clear" w:color="auto" w:fill="auto"/>
                                  <w:noWrap/>
                                  <w:vAlign w:val="center"/>
                                  <w:hideMark/>
                                </w:tcPr>
                                <w:p w14:paraId="1A3539A5"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1.52</w:t>
                                  </w:r>
                                  <w:r w:rsidRPr="008D19C2">
                                    <w:rPr>
                                      <w:rFonts w:ascii="標楷體" w:eastAsia="標楷體" w:hAnsi="標楷體"/>
                                      <w:sz w:val="20"/>
                                    </w:rPr>
                                    <w:t xml:space="preserve"> </w:t>
                                  </w:r>
                                </w:p>
                              </w:tc>
                              <w:tc>
                                <w:tcPr>
                                  <w:tcW w:w="851" w:type="dxa"/>
                                  <w:shd w:val="clear" w:color="auto" w:fill="auto"/>
                                  <w:noWrap/>
                                  <w:vAlign w:val="center"/>
                                  <w:hideMark/>
                                </w:tcPr>
                                <w:p w14:paraId="06F11E4D"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1.16</w:t>
                                  </w:r>
                                  <w:r w:rsidRPr="008D19C2">
                                    <w:rPr>
                                      <w:rFonts w:ascii="標楷體" w:eastAsia="標楷體" w:hAnsi="標楷體"/>
                                      <w:sz w:val="20"/>
                                    </w:rPr>
                                    <w:t xml:space="preserve"> </w:t>
                                  </w:r>
                                </w:p>
                              </w:tc>
                              <w:tc>
                                <w:tcPr>
                                  <w:tcW w:w="674" w:type="dxa"/>
                                  <w:shd w:val="clear" w:color="auto" w:fill="auto"/>
                                  <w:noWrap/>
                                  <w:vAlign w:val="center"/>
                                  <w:hideMark/>
                                </w:tcPr>
                                <w:p w14:paraId="6B241BA7"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w:t>
                                  </w:r>
                                  <w:r w:rsidRPr="008D19C2">
                                    <w:rPr>
                                      <w:rFonts w:ascii="標楷體" w:eastAsia="標楷體" w:hAnsi="標楷體"/>
                                      <w:sz w:val="20"/>
                                    </w:rPr>
                                    <w:t xml:space="preserve"> </w:t>
                                  </w:r>
                                </w:p>
                              </w:tc>
                              <w:tc>
                                <w:tcPr>
                                  <w:tcW w:w="1312" w:type="dxa"/>
                                  <w:shd w:val="clear" w:color="auto" w:fill="auto"/>
                                  <w:noWrap/>
                                  <w:vAlign w:val="center"/>
                                  <w:hideMark/>
                                </w:tcPr>
                                <w:p w14:paraId="6345D1E6"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w:t>
                                  </w:r>
                                  <w:r w:rsidRPr="008D19C2">
                                    <w:rPr>
                                      <w:rFonts w:ascii="標楷體" w:eastAsia="標楷體" w:hAnsi="標楷體"/>
                                      <w:sz w:val="20"/>
                                    </w:rPr>
                                    <w:t xml:space="preserve"> </w:t>
                                  </w:r>
                                  <w:r w:rsidRPr="008D19C2">
                                    <w:rPr>
                                      <w:rFonts w:ascii="標楷體" w:eastAsia="標楷體" w:hAnsi="標楷體" w:hint="eastAsia"/>
                                      <w:sz w:val="20"/>
                                    </w:rPr>
                                    <w:t>1.52</w:t>
                                  </w:r>
                                  <w:r w:rsidRPr="008D19C2">
                                    <w:rPr>
                                      <w:rFonts w:ascii="標楷體" w:eastAsia="標楷體" w:hAnsi="標楷體"/>
                                      <w:sz w:val="20"/>
                                    </w:rPr>
                                    <w:t xml:space="preserve"> </w:t>
                                  </w:r>
                                </w:p>
                              </w:tc>
                            </w:tr>
                            <w:tr w:rsidR="00CE57F9" w:rsidRPr="008D19C2" w14:paraId="38813410" w14:textId="77777777" w:rsidTr="00A61199">
                              <w:trPr>
                                <w:trHeight w:val="305"/>
                                <w:jc w:val="center"/>
                              </w:trPr>
                              <w:tc>
                                <w:tcPr>
                                  <w:tcW w:w="1134" w:type="dxa"/>
                                  <w:vMerge/>
                                  <w:shd w:val="clear" w:color="auto" w:fill="auto"/>
                                  <w:vAlign w:val="center"/>
                                  <w:hideMark/>
                                </w:tcPr>
                                <w:p w14:paraId="6E61EF7F"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p>
                              </w:tc>
                              <w:tc>
                                <w:tcPr>
                                  <w:tcW w:w="1276" w:type="dxa"/>
                                  <w:shd w:val="clear" w:color="auto" w:fill="auto"/>
                                  <w:vAlign w:val="center"/>
                                  <w:hideMark/>
                                </w:tcPr>
                                <w:p w14:paraId="3E2DD9FE"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無職及其他</w:t>
                                  </w:r>
                                </w:p>
                              </w:tc>
                              <w:tc>
                                <w:tcPr>
                                  <w:tcW w:w="850" w:type="dxa"/>
                                  <w:shd w:val="clear" w:color="auto" w:fill="auto"/>
                                  <w:noWrap/>
                                  <w:vAlign w:val="center"/>
                                  <w:hideMark/>
                                </w:tcPr>
                                <w:p w14:paraId="0010ACAF"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19.70</w:t>
                                  </w:r>
                                  <w:r w:rsidRPr="008D19C2">
                                    <w:rPr>
                                      <w:rFonts w:ascii="標楷體" w:eastAsia="標楷體" w:hAnsi="標楷體"/>
                                      <w:sz w:val="20"/>
                                    </w:rPr>
                                    <w:t xml:space="preserve"> </w:t>
                                  </w:r>
                                </w:p>
                              </w:tc>
                              <w:tc>
                                <w:tcPr>
                                  <w:tcW w:w="851" w:type="dxa"/>
                                  <w:shd w:val="clear" w:color="auto" w:fill="auto"/>
                                  <w:noWrap/>
                                  <w:vAlign w:val="center"/>
                                  <w:hideMark/>
                                </w:tcPr>
                                <w:p w14:paraId="1ABD6D06"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18.60</w:t>
                                  </w:r>
                                  <w:r w:rsidRPr="008D19C2">
                                    <w:rPr>
                                      <w:rFonts w:ascii="標楷體" w:eastAsia="標楷體" w:hAnsi="標楷體"/>
                                      <w:sz w:val="20"/>
                                    </w:rPr>
                                    <w:t xml:space="preserve"> </w:t>
                                  </w:r>
                                </w:p>
                              </w:tc>
                              <w:tc>
                                <w:tcPr>
                                  <w:tcW w:w="674" w:type="dxa"/>
                                  <w:shd w:val="clear" w:color="auto" w:fill="auto"/>
                                  <w:noWrap/>
                                  <w:vAlign w:val="center"/>
                                  <w:hideMark/>
                                </w:tcPr>
                                <w:p w14:paraId="700C428A"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28.22</w:t>
                                  </w:r>
                                  <w:r w:rsidRPr="008D19C2">
                                    <w:rPr>
                                      <w:rFonts w:ascii="標楷體" w:eastAsia="標楷體" w:hAnsi="標楷體"/>
                                      <w:sz w:val="20"/>
                                    </w:rPr>
                                    <w:t xml:space="preserve"> </w:t>
                                  </w:r>
                                </w:p>
                              </w:tc>
                              <w:tc>
                                <w:tcPr>
                                  <w:tcW w:w="1312" w:type="dxa"/>
                                  <w:shd w:val="clear" w:color="auto" w:fill="auto"/>
                                  <w:noWrap/>
                                  <w:vAlign w:val="center"/>
                                  <w:hideMark/>
                                </w:tcPr>
                                <w:p w14:paraId="21619AED"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8.52</w:t>
                                  </w:r>
                                  <w:r w:rsidRPr="008D19C2">
                                    <w:rPr>
                                      <w:rFonts w:ascii="標楷體" w:eastAsia="標楷體" w:hAnsi="標楷體"/>
                                      <w:sz w:val="20"/>
                                    </w:rPr>
                                    <w:t xml:space="preserve"> </w:t>
                                  </w:r>
                                </w:p>
                              </w:tc>
                            </w:tr>
                          </w:tbl>
                          <w:p w14:paraId="4FB72BF8" w14:textId="77777777" w:rsidR="00CE57F9" w:rsidRPr="00A018A0" w:rsidRDefault="00CE57F9" w:rsidP="006E2403">
                            <w:pPr>
                              <w:snapToGrid w:val="0"/>
                              <w:ind w:leftChars="20" w:left="588" w:rightChars="-52" w:right="-125" w:hangingChars="300" w:hanging="540"/>
                              <w:contextualSpacing/>
                              <w:jc w:val="both"/>
                              <w:rPr>
                                <w:rFonts w:ascii="標楷體" w:eastAsia="標楷體" w:hAnsi="標楷體"/>
                                <w:sz w:val="18"/>
                              </w:rPr>
                            </w:pPr>
                            <w:r w:rsidRPr="00A018A0">
                              <w:rPr>
                                <w:rFonts w:ascii="標楷體" w:eastAsia="標楷體" w:hAnsi="標楷體" w:hint="eastAsia"/>
                                <w:sz w:val="18"/>
                              </w:rPr>
                              <w:t>註：</w:t>
                            </w:r>
                            <w:r w:rsidRPr="00A90CFF">
                              <w:rPr>
                                <w:rFonts w:ascii="標楷體" w:eastAsia="標楷體" w:hAnsi="標楷體" w:hint="eastAsia"/>
                                <w:sz w:val="18"/>
                              </w:rPr>
                              <w:t>整理自警政署提供資料。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12BFDC" id="文字方塊 32" o:spid="_x0000_s1032" type="#_x0000_t202" style="position:absolute;left:0;text-align:left;margin-left:168.8pt;margin-top:464.85pt;width:326.85pt;height:233.85pt;z-index:251658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" stroked="f">
                <v:textbox>
                  <w:txbxContent>
                    <w:p w14:paraId="555CC59A" w14:textId="77777777" w:rsidR="00CE57F9" w:rsidRPr="002924C4" w:rsidRDefault="00CE57F9" w:rsidP="006E2403">
                      <w:pPr>
                        <w:snapToGrid w:val="0"/>
                        <w:ind w:left="673" w:hangingChars="280" w:hanging="673"/>
                        <w:contextualSpacing/>
                        <w:jc w:val="center"/>
                        <w:rPr>
                          <w:rFonts w:ascii="標楷體" w:eastAsia="標楷體" w:hAnsi="標楷體"/>
                          <w:b/>
                        </w:rPr>
                      </w:pPr>
                      <w:r w:rsidRPr="002924C4">
                        <w:rPr>
                          <w:rFonts w:ascii="標楷體" w:eastAsia="標楷體" w:hAnsi="標楷體" w:hint="eastAsia"/>
                          <w:b/>
                        </w:rPr>
                        <w:t>表</w:t>
                      </w:r>
                      <w:r w:rsidRPr="002924C4">
                        <w:rPr>
                          <w:rFonts w:ascii="標楷體" w:eastAsia="標楷體" w:hAnsi="標楷體"/>
                          <w:b/>
                        </w:rPr>
                        <w:t>4</w:t>
                      </w:r>
                      <w:r w:rsidRPr="002924C4">
                        <w:rPr>
                          <w:rFonts w:ascii="標楷體" w:eastAsia="標楷體" w:hAnsi="標楷體" w:cs="新細明體" w:hint="eastAsia"/>
                          <w:b/>
                          <w:bCs/>
                          <w:color w:val="000000"/>
                          <w:kern w:val="0"/>
                          <w:szCs w:val="24"/>
                        </w:rPr>
                        <w:t xml:space="preserve">　</w:t>
                      </w:r>
                      <w:r w:rsidRPr="002924C4">
                        <w:rPr>
                          <w:rFonts w:ascii="標楷體" w:eastAsia="標楷體" w:hAnsi="標楷體" w:hint="eastAsia"/>
                          <w:b/>
                        </w:rPr>
                        <w:t>12至29</w:t>
                      </w:r>
                      <w:r>
                        <w:rPr>
                          <w:rFonts w:ascii="標楷體" w:eastAsia="標楷體" w:hAnsi="標楷體" w:hint="eastAsia"/>
                          <w:b/>
                        </w:rPr>
                        <w:t>歲網路販賣毒品嫌疑人職業分布</w:t>
                      </w:r>
                    </w:p>
                    <w:p w14:paraId="631576C4" w14:textId="77777777" w:rsidR="00CE57F9" w:rsidRPr="004514EB" w:rsidRDefault="00CE57F9" w:rsidP="006E2403">
                      <w:pPr>
                        <w:snapToGrid w:val="0"/>
                        <w:ind w:left="560" w:rightChars="50" w:right="120" w:hangingChars="280" w:hanging="560"/>
                        <w:contextualSpacing/>
                        <w:jc w:val="right"/>
                        <w:rPr>
                          <w:rFonts w:ascii="標楷體" w:eastAsia="標楷體" w:hAnsi="標楷體"/>
                          <w:sz w:val="20"/>
                        </w:rPr>
                      </w:pPr>
                      <w:r w:rsidRPr="004514EB">
                        <w:rPr>
                          <w:rFonts w:ascii="標楷體" w:eastAsia="標楷體" w:hAnsi="標楷體" w:hint="eastAsia"/>
                          <w:sz w:val="20"/>
                        </w:rPr>
                        <w:t>單位：％、百分點</w:t>
                      </w:r>
                    </w:p>
                    <w:tbl>
                      <w:tblPr>
                        <w:tblStyle w:val="afff"/>
                        <w:tblW w:w="6097" w:type="dxa"/>
                        <w:jc w:val="center"/>
                        <w:tblLayout w:type="fixed"/>
                        <w:tblLook w:val="04A0" w:firstRow="1" w:lastRow="0" w:firstColumn="1" w:lastColumn="0" w:noHBand="0" w:noVBand="1"/>
                      </w:tblPr>
                      <w:tblGrid>
                        <w:gridCol w:w="1134"/>
                        <w:gridCol w:w="1276"/>
                        <w:gridCol w:w="850"/>
                        <w:gridCol w:w="851"/>
                        <w:gridCol w:w="674"/>
                        <w:gridCol w:w="1312"/>
                      </w:tblGrid>
                      <w:tr w:rsidR="00CE57F9" w:rsidRPr="008D19C2" w14:paraId="5E69525D" w14:textId="77777777" w:rsidTr="00A61199">
                        <w:trPr>
                          <w:trHeight w:val="324"/>
                          <w:jc w:val="center"/>
                        </w:trPr>
                        <w:tc>
                          <w:tcPr>
                            <w:tcW w:w="1134" w:type="dxa"/>
                            <w:vMerge w:val="restart"/>
                            <w:shd w:val="clear" w:color="auto" w:fill="auto"/>
                            <w:noWrap/>
                            <w:vAlign w:val="center"/>
                            <w:hideMark/>
                          </w:tcPr>
                          <w:p w14:paraId="497A3B88"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網路販賣毒品嫌疑人</w:t>
                            </w:r>
                          </w:p>
                          <w:p w14:paraId="714AB3AF"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年齡級距</w:t>
                            </w:r>
                          </w:p>
                        </w:tc>
                        <w:tc>
                          <w:tcPr>
                            <w:tcW w:w="1276" w:type="dxa"/>
                            <w:vMerge w:val="restart"/>
                            <w:tcBorders>
                              <w:tl2br w:val="single" w:sz="4" w:space="0" w:color="auto"/>
                            </w:tcBorders>
                            <w:shd w:val="clear" w:color="auto" w:fill="auto"/>
                            <w:noWrap/>
                            <w:vAlign w:val="center"/>
                            <w:hideMark/>
                          </w:tcPr>
                          <w:p w14:paraId="59DC3443" w14:textId="77777777" w:rsidR="00CE57F9" w:rsidRPr="008D19C2" w:rsidRDefault="00CE57F9" w:rsidP="004514EB">
                            <w:pPr>
                              <w:snapToGrid w:val="0"/>
                              <w:ind w:leftChars="-40" w:left="-96" w:rightChars="4" w:right="10"/>
                              <w:contextualSpacing/>
                              <w:jc w:val="right"/>
                              <w:rPr>
                                <w:rFonts w:ascii="標楷體" w:eastAsia="標楷體" w:hAnsi="標楷體"/>
                                <w:sz w:val="20"/>
                              </w:rPr>
                            </w:pPr>
                            <w:r w:rsidRPr="008D19C2">
                              <w:rPr>
                                <w:rFonts w:ascii="標楷體" w:eastAsia="標楷體" w:hAnsi="標楷體" w:hint="eastAsia"/>
                                <w:sz w:val="20"/>
                              </w:rPr>
                              <w:t>年度</w:t>
                            </w:r>
                          </w:p>
                          <w:p w14:paraId="6FCDD98F" w14:textId="77777777" w:rsidR="00CE57F9" w:rsidRPr="008D19C2" w:rsidRDefault="00CE57F9" w:rsidP="004514EB">
                            <w:pPr>
                              <w:snapToGrid w:val="0"/>
                              <w:ind w:leftChars="-40" w:left="-96" w:rightChars="-52" w:right="-125" w:firstLineChars="48" w:firstLine="96"/>
                              <w:contextualSpacing/>
                              <w:rPr>
                                <w:rFonts w:ascii="標楷體" w:eastAsia="標楷體" w:hAnsi="標楷體"/>
                                <w:sz w:val="20"/>
                              </w:rPr>
                            </w:pPr>
                            <w:r w:rsidRPr="008D19C2">
                              <w:rPr>
                                <w:rFonts w:ascii="標楷體" w:eastAsia="標楷體" w:hAnsi="標楷體" w:hint="eastAsia"/>
                                <w:sz w:val="20"/>
                              </w:rPr>
                              <w:t>職業別</w:t>
                            </w:r>
                          </w:p>
                        </w:tc>
                        <w:tc>
                          <w:tcPr>
                            <w:tcW w:w="850" w:type="dxa"/>
                            <w:vMerge w:val="restart"/>
                            <w:shd w:val="clear" w:color="auto" w:fill="auto"/>
                            <w:noWrap/>
                            <w:vAlign w:val="center"/>
                            <w:hideMark/>
                          </w:tcPr>
                          <w:p w14:paraId="47204061"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109</w:t>
                            </w:r>
                          </w:p>
                        </w:tc>
                        <w:tc>
                          <w:tcPr>
                            <w:tcW w:w="851" w:type="dxa"/>
                            <w:vMerge w:val="restart"/>
                            <w:shd w:val="clear" w:color="auto" w:fill="auto"/>
                            <w:vAlign w:val="center"/>
                          </w:tcPr>
                          <w:p w14:paraId="3B52A5C6"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110</w:t>
                            </w:r>
                          </w:p>
                        </w:tc>
                        <w:tc>
                          <w:tcPr>
                            <w:tcW w:w="674" w:type="dxa"/>
                            <w:vMerge w:val="restart"/>
                            <w:tcBorders>
                              <w:right w:val="nil"/>
                            </w:tcBorders>
                            <w:shd w:val="clear" w:color="auto" w:fill="auto"/>
                            <w:vAlign w:val="center"/>
                          </w:tcPr>
                          <w:p w14:paraId="6CAE8348"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111</w:t>
                            </w:r>
                          </w:p>
                        </w:tc>
                        <w:tc>
                          <w:tcPr>
                            <w:tcW w:w="1312" w:type="dxa"/>
                            <w:tcBorders>
                              <w:top w:val="single" w:sz="4" w:space="0" w:color="auto"/>
                              <w:left w:val="nil"/>
                              <w:bottom w:val="single" w:sz="4" w:space="0" w:color="auto"/>
                              <w:right w:val="single" w:sz="4" w:space="0" w:color="auto"/>
                            </w:tcBorders>
                            <w:shd w:val="clear" w:color="auto" w:fill="auto"/>
                            <w:vAlign w:val="center"/>
                            <w:hideMark/>
                          </w:tcPr>
                          <w:p w14:paraId="7DEF3FA3" w14:textId="77777777" w:rsidR="00CE57F9" w:rsidRPr="008D19C2" w:rsidRDefault="00CE57F9" w:rsidP="004514EB">
                            <w:pPr>
                              <w:snapToGrid w:val="0"/>
                              <w:ind w:leftChars="-40" w:left="-96" w:rightChars="-45" w:right="-108"/>
                              <w:contextualSpacing/>
                              <w:jc w:val="center"/>
                              <w:rPr>
                                <w:rFonts w:ascii="標楷體" w:eastAsia="標楷體" w:hAnsi="標楷體"/>
                                <w:sz w:val="20"/>
                              </w:rPr>
                            </w:pPr>
                          </w:p>
                        </w:tc>
                      </w:tr>
                      <w:tr w:rsidR="00CE57F9" w:rsidRPr="008D19C2" w14:paraId="31C51415" w14:textId="77777777" w:rsidTr="00A61199">
                        <w:trPr>
                          <w:trHeight w:val="324"/>
                          <w:jc w:val="center"/>
                        </w:trPr>
                        <w:tc>
                          <w:tcPr>
                            <w:tcW w:w="1134" w:type="dxa"/>
                            <w:vMerge/>
                            <w:shd w:val="clear" w:color="auto" w:fill="auto"/>
                            <w:hideMark/>
                          </w:tcPr>
                          <w:p w14:paraId="0989A742" w14:textId="77777777" w:rsidR="00CE57F9" w:rsidRPr="008D19C2" w:rsidRDefault="00CE57F9" w:rsidP="004514EB">
                            <w:pPr>
                              <w:snapToGrid w:val="0"/>
                              <w:ind w:leftChars="-40" w:left="-96" w:rightChars="-52" w:right="-125"/>
                              <w:contextualSpacing/>
                              <w:jc w:val="both"/>
                              <w:rPr>
                                <w:rFonts w:ascii="標楷體" w:eastAsia="標楷體" w:hAnsi="標楷體"/>
                                <w:sz w:val="20"/>
                              </w:rPr>
                            </w:pPr>
                          </w:p>
                        </w:tc>
                        <w:tc>
                          <w:tcPr>
                            <w:tcW w:w="1276" w:type="dxa"/>
                            <w:vMerge/>
                            <w:tcBorders>
                              <w:tl2br w:val="single" w:sz="4" w:space="0" w:color="auto"/>
                            </w:tcBorders>
                            <w:shd w:val="clear" w:color="auto" w:fill="auto"/>
                            <w:hideMark/>
                          </w:tcPr>
                          <w:p w14:paraId="00E250EB" w14:textId="77777777" w:rsidR="00CE57F9" w:rsidRPr="008D19C2" w:rsidRDefault="00CE57F9" w:rsidP="004514EB">
                            <w:pPr>
                              <w:snapToGrid w:val="0"/>
                              <w:ind w:leftChars="-40" w:left="-96" w:rightChars="-52" w:right="-125"/>
                              <w:contextualSpacing/>
                              <w:jc w:val="both"/>
                              <w:rPr>
                                <w:rFonts w:ascii="標楷體" w:eastAsia="標楷體" w:hAnsi="標楷體"/>
                                <w:sz w:val="20"/>
                              </w:rPr>
                            </w:pPr>
                          </w:p>
                        </w:tc>
                        <w:tc>
                          <w:tcPr>
                            <w:tcW w:w="850" w:type="dxa"/>
                            <w:vMerge/>
                            <w:shd w:val="clear" w:color="auto" w:fill="auto"/>
                            <w:noWrap/>
                            <w:vAlign w:val="center"/>
                          </w:tcPr>
                          <w:p w14:paraId="0546F4DB"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p>
                        </w:tc>
                        <w:tc>
                          <w:tcPr>
                            <w:tcW w:w="851" w:type="dxa"/>
                            <w:vMerge/>
                            <w:shd w:val="clear" w:color="auto" w:fill="auto"/>
                            <w:noWrap/>
                            <w:vAlign w:val="center"/>
                          </w:tcPr>
                          <w:p w14:paraId="0E2C32DB"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p>
                        </w:tc>
                        <w:tc>
                          <w:tcPr>
                            <w:tcW w:w="674" w:type="dxa"/>
                            <w:vMerge/>
                            <w:shd w:val="clear" w:color="auto" w:fill="auto"/>
                            <w:noWrap/>
                            <w:vAlign w:val="center"/>
                            <w:hideMark/>
                          </w:tcPr>
                          <w:p w14:paraId="50A7AA7F"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p>
                        </w:tc>
                        <w:tc>
                          <w:tcPr>
                            <w:tcW w:w="1312" w:type="dxa"/>
                            <w:tcBorders>
                              <w:top w:val="single" w:sz="4" w:space="0" w:color="auto"/>
                            </w:tcBorders>
                            <w:shd w:val="clear" w:color="auto" w:fill="auto"/>
                            <w:hideMark/>
                          </w:tcPr>
                          <w:p w14:paraId="4B44A7C7" w14:textId="77777777" w:rsidR="00CE57F9" w:rsidRPr="008D19C2" w:rsidRDefault="00CE57F9" w:rsidP="004514EB">
                            <w:pPr>
                              <w:snapToGrid w:val="0"/>
                              <w:ind w:leftChars="-40" w:left="-96" w:rightChars="-45" w:right="-108"/>
                              <w:contextualSpacing/>
                              <w:jc w:val="center"/>
                              <w:rPr>
                                <w:rFonts w:ascii="標楷體" w:eastAsia="標楷體" w:hAnsi="標楷體"/>
                                <w:sz w:val="20"/>
                              </w:rPr>
                            </w:pPr>
                            <w:r w:rsidRPr="008D19C2">
                              <w:rPr>
                                <w:rFonts w:ascii="標楷體" w:eastAsia="標楷體" w:hAnsi="標楷體" w:hint="eastAsia"/>
                                <w:sz w:val="20"/>
                              </w:rPr>
                              <w:t>較109年度</w:t>
                            </w:r>
                          </w:p>
                          <w:p w14:paraId="23E560F3"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增減百分點</w:t>
                            </w:r>
                          </w:p>
                        </w:tc>
                      </w:tr>
                      <w:tr w:rsidR="00CE57F9" w:rsidRPr="008D19C2" w14:paraId="1AF25F5B" w14:textId="77777777" w:rsidTr="00A61199">
                        <w:trPr>
                          <w:trHeight w:val="305"/>
                          <w:jc w:val="center"/>
                        </w:trPr>
                        <w:tc>
                          <w:tcPr>
                            <w:tcW w:w="1134" w:type="dxa"/>
                            <w:vMerge w:val="restart"/>
                            <w:shd w:val="clear" w:color="auto" w:fill="auto"/>
                            <w:noWrap/>
                            <w:vAlign w:val="center"/>
                            <w:hideMark/>
                          </w:tcPr>
                          <w:p w14:paraId="70A0403E" w14:textId="77777777" w:rsidR="00CE57F9" w:rsidRPr="008D19C2" w:rsidRDefault="00CE57F9" w:rsidP="004514EB">
                            <w:pPr>
                              <w:snapToGrid w:val="0"/>
                              <w:ind w:leftChars="-50" w:left="-120" w:rightChars="-50" w:right="-120"/>
                              <w:contextualSpacing/>
                              <w:jc w:val="center"/>
                              <w:rPr>
                                <w:rFonts w:ascii="標楷體" w:eastAsia="標楷體" w:hAnsi="標楷體"/>
                                <w:sz w:val="20"/>
                              </w:rPr>
                            </w:pPr>
                            <w:r w:rsidRPr="008D19C2">
                              <w:rPr>
                                <w:rFonts w:ascii="標楷體" w:eastAsia="標楷體" w:hAnsi="標楷體" w:hint="eastAsia"/>
                                <w:sz w:val="20"/>
                              </w:rPr>
                              <w:t>12至17歲</w:t>
                            </w:r>
                          </w:p>
                          <w:p w14:paraId="4ECD89D3" w14:textId="24984503" w:rsidR="00CE57F9" w:rsidRPr="008D19C2" w:rsidRDefault="00CE57F9" w:rsidP="004514EB">
                            <w:pPr>
                              <w:snapToGrid w:val="0"/>
                              <w:ind w:leftChars="-50" w:left="-120" w:rightChars="-50" w:right="-120" w:firstLineChars="21" w:firstLine="42"/>
                              <w:contextualSpacing/>
                              <w:jc w:val="center"/>
                              <w:rPr>
                                <w:rFonts w:ascii="標楷體" w:eastAsia="標楷體" w:hAnsi="標楷體"/>
                                <w:sz w:val="20"/>
                              </w:rPr>
                            </w:pPr>
                            <w:r>
                              <w:rPr>
                                <w:rFonts w:ascii="標楷體" w:eastAsia="標楷體" w:hAnsi="標楷體" w:hint="eastAsia"/>
                                <w:sz w:val="20"/>
                              </w:rPr>
                              <w:t>（</w:t>
                            </w:r>
                            <w:r w:rsidRPr="008D19C2">
                              <w:rPr>
                                <w:rFonts w:ascii="標楷體" w:eastAsia="標楷體" w:hAnsi="標楷體" w:hint="eastAsia"/>
                                <w:sz w:val="20"/>
                              </w:rPr>
                              <w:t>適齡就讀國中、高中）</w:t>
                            </w:r>
                          </w:p>
                        </w:tc>
                        <w:tc>
                          <w:tcPr>
                            <w:tcW w:w="1276" w:type="dxa"/>
                            <w:shd w:val="clear" w:color="auto" w:fill="auto"/>
                            <w:vAlign w:val="center"/>
                            <w:hideMark/>
                          </w:tcPr>
                          <w:p w14:paraId="3E2D54DF"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就業</w:t>
                            </w:r>
                          </w:p>
                        </w:tc>
                        <w:tc>
                          <w:tcPr>
                            <w:tcW w:w="850" w:type="dxa"/>
                            <w:shd w:val="clear" w:color="auto" w:fill="auto"/>
                            <w:noWrap/>
                            <w:vAlign w:val="center"/>
                            <w:hideMark/>
                          </w:tcPr>
                          <w:p w14:paraId="6C1DB418"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18.64</w:t>
                            </w:r>
                            <w:r w:rsidRPr="008D19C2">
                              <w:rPr>
                                <w:rFonts w:ascii="標楷體" w:eastAsia="標楷體" w:hAnsi="標楷體"/>
                                <w:sz w:val="20"/>
                              </w:rPr>
                              <w:t xml:space="preserve"> </w:t>
                            </w:r>
                          </w:p>
                        </w:tc>
                        <w:tc>
                          <w:tcPr>
                            <w:tcW w:w="851" w:type="dxa"/>
                            <w:shd w:val="clear" w:color="auto" w:fill="auto"/>
                            <w:noWrap/>
                            <w:vAlign w:val="center"/>
                            <w:hideMark/>
                          </w:tcPr>
                          <w:p w14:paraId="4A92E8B1"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17.07</w:t>
                            </w:r>
                            <w:r w:rsidRPr="008D19C2">
                              <w:rPr>
                                <w:rFonts w:ascii="標楷體" w:eastAsia="標楷體" w:hAnsi="標楷體"/>
                                <w:sz w:val="20"/>
                              </w:rPr>
                              <w:t xml:space="preserve"> </w:t>
                            </w:r>
                          </w:p>
                        </w:tc>
                        <w:tc>
                          <w:tcPr>
                            <w:tcW w:w="674" w:type="dxa"/>
                            <w:shd w:val="clear" w:color="auto" w:fill="auto"/>
                            <w:noWrap/>
                            <w:vAlign w:val="center"/>
                            <w:hideMark/>
                          </w:tcPr>
                          <w:p w14:paraId="00F59E67"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24.24</w:t>
                            </w:r>
                            <w:r w:rsidRPr="008D19C2">
                              <w:rPr>
                                <w:rFonts w:ascii="標楷體" w:eastAsia="標楷體" w:hAnsi="標楷體"/>
                                <w:sz w:val="20"/>
                              </w:rPr>
                              <w:t xml:space="preserve"> </w:t>
                            </w:r>
                          </w:p>
                        </w:tc>
                        <w:tc>
                          <w:tcPr>
                            <w:tcW w:w="1312" w:type="dxa"/>
                            <w:shd w:val="clear" w:color="auto" w:fill="auto"/>
                            <w:noWrap/>
                            <w:vAlign w:val="center"/>
                            <w:hideMark/>
                          </w:tcPr>
                          <w:p w14:paraId="69CA8F8F"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5.60</w:t>
                            </w:r>
                            <w:r w:rsidRPr="008D19C2">
                              <w:rPr>
                                <w:rFonts w:ascii="標楷體" w:eastAsia="標楷體" w:hAnsi="標楷體"/>
                                <w:sz w:val="20"/>
                              </w:rPr>
                              <w:t xml:space="preserve"> </w:t>
                            </w:r>
                          </w:p>
                        </w:tc>
                      </w:tr>
                      <w:tr w:rsidR="00CE57F9" w:rsidRPr="008D19C2" w14:paraId="343BD03C" w14:textId="77777777" w:rsidTr="00A61199">
                        <w:trPr>
                          <w:trHeight w:val="305"/>
                          <w:jc w:val="center"/>
                        </w:trPr>
                        <w:tc>
                          <w:tcPr>
                            <w:tcW w:w="1134" w:type="dxa"/>
                            <w:vMerge/>
                            <w:shd w:val="clear" w:color="auto" w:fill="auto"/>
                            <w:vAlign w:val="center"/>
                            <w:hideMark/>
                          </w:tcPr>
                          <w:p w14:paraId="5F40F568"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p>
                        </w:tc>
                        <w:tc>
                          <w:tcPr>
                            <w:tcW w:w="1276" w:type="dxa"/>
                            <w:shd w:val="clear" w:color="auto" w:fill="auto"/>
                            <w:vAlign w:val="center"/>
                            <w:hideMark/>
                          </w:tcPr>
                          <w:p w14:paraId="5A137E55"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學生</w:t>
                            </w:r>
                          </w:p>
                        </w:tc>
                        <w:tc>
                          <w:tcPr>
                            <w:tcW w:w="850" w:type="dxa"/>
                            <w:shd w:val="clear" w:color="auto" w:fill="auto"/>
                            <w:noWrap/>
                            <w:vAlign w:val="center"/>
                            <w:hideMark/>
                          </w:tcPr>
                          <w:p w14:paraId="38E25DC5"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40.68</w:t>
                            </w:r>
                            <w:r w:rsidRPr="008D19C2">
                              <w:rPr>
                                <w:rFonts w:ascii="標楷體" w:eastAsia="標楷體" w:hAnsi="標楷體"/>
                                <w:sz w:val="20"/>
                              </w:rPr>
                              <w:t xml:space="preserve"> </w:t>
                            </w:r>
                          </w:p>
                        </w:tc>
                        <w:tc>
                          <w:tcPr>
                            <w:tcW w:w="851" w:type="dxa"/>
                            <w:shd w:val="clear" w:color="auto" w:fill="auto"/>
                            <w:noWrap/>
                            <w:vAlign w:val="center"/>
                            <w:hideMark/>
                          </w:tcPr>
                          <w:p w14:paraId="5F340EB4"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41.46</w:t>
                            </w:r>
                            <w:r w:rsidRPr="008D19C2">
                              <w:rPr>
                                <w:rFonts w:ascii="標楷體" w:eastAsia="標楷體" w:hAnsi="標楷體"/>
                                <w:sz w:val="20"/>
                              </w:rPr>
                              <w:t xml:space="preserve"> </w:t>
                            </w:r>
                          </w:p>
                        </w:tc>
                        <w:tc>
                          <w:tcPr>
                            <w:tcW w:w="674" w:type="dxa"/>
                            <w:shd w:val="clear" w:color="auto" w:fill="auto"/>
                            <w:noWrap/>
                            <w:vAlign w:val="center"/>
                            <w:hideMark/>
                          </w:tcPr>
                          <w:p w14:paraId="6B24FBCF"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36.36</w:t>
                            </w:r>
                            <w:r w:rsidRPr="008D19C2">
                              <w:rPr>
                                <w:rFonts w:ascii="標楷體" w:eastAsia="標楷體" w:hAnsi="標楷體"/>
                                <w:sz w:val="20"/>
                              </w:rPr>
                              <w:t xml:space="preserve"> </w:t>
                            </w:r>
                          </w:p>
                        </w:tc>
                        <w:tc>
                          <w:tcPr>
                            <w:tcW w:w="1312" w:type="dxa"/>
                            <w:shd w:val="clear" w:color="auto" w:fill="auto"/>
                            <w:noWrap/>
                            <w:vAlign w:val="center"/>
                            <w:hideMark/>
                          </w:tcPr>
                          <w:p w14:paraId="04DD2E09"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w:t>
                            </w:r>
                            <w:r w:rsidRPr="008D19C2">
                              <w:rPr>
                                <w:rFonts w:ascii="標楷體" w:eastAsia="標楷體" w:hAnsi="標楷體"/>
                                <w:sz w:val="20"/>
                              </w:rPr>
                              <w:t xml:space="preserve"> </w:t>
                            </w:r>
                            <w:r w:rsidRPr="008D19C2">
                              <w:rPr>
                                <w:rFonts w:ascii="標楷體" w:eastAsia="標楷體" w:hAnsi="標楷體" w:hint="eastAsia"/>
                                <w:sz w:val="20"/>
                              </w:rPr>
                              <w:t>4.31</w:t>
                            </w:r>
                            <w:r w:rsidRPr="008D19C2">
                              <w:rPr>
                                <w:rFonts w:ascii="標楷體" w:eastAsia="標楷體" w:hAnsi="標楷體"/>
                                <w:sz w:val="20"/>
                              </w:rPr>
                              <w:t xml:space="preserve"> </w:t>
                            </w:r>
                          </w:p>
                        </w:tc>
                      </w:tr>
                      <w:tr w:rsidR="00CE57F9" w:rsidRPr="008D19C2" w14:paraId="5816859A" w14:textId="77777777" w:rsidTr="00A61199">
                        <w:trPr>
                          <w:trHeight w:val="305"/>
                          <w:jc w:val="center"/>
                        </w:trPr>
                        <w:tc>
                          <w:tcPr>
                            <w:tcW w:w="1134" w:type="dxa"/>
                            <w:vMerge/>
                            <w:shd w:val="clear" w:color="auto" w:fill="auto"/>
                            <w:vAlign w:val="center"/>
                            <w:hideMark/>
                          </w:tcPr>
                          <w:p w14:paraId="75B053C7"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p>
                        </w:tc>
                        <w:tc>
                          <w:tcPr>
                            <w:tcW w:w="1276" w:type="dxa"/>
                            <w:shd w:val="clear" w:color="auto" w:fill="auto"/>
                            <w:vAlign w:val="center"/>
                            <w:hideMark/>
                          </w:tcPr>
                          <w:p w14:paraId="088AEC29"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無職及其他</w:t>
                            </w:r>
                          </w:p>
                        </w:tc>
                        <w:tc>
                          <w:tcPr>
                            <w:tcW w:w="850" w:type="dxa"/>
                            <w:shd w:val="clear" w:color="auto" w:fill="auto"/>
                            <w:noWrap/>
                            <w:vAlign w:val="center"/>
                            <w:hideMark/>
                          </w:tcPr>
                          <w:p w14:paraId="5492A5E7"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40.68</w:t>
                            </w:r>
                            <w:r w:rsidRPr="008D19C2">
                              <w:rPr>
                                <w:rFonts w:ascii="標楷體" w:eastAsia="標楷體" w:hAnsi="標楷體"/>
                                <w:sz w:val="20"/>
                              </w:rPr>
                              <w:t xml:space="preserve"> </w:t>
                            </w:r>
                          </w:p>
                        </w:tc>
                        <w:tc>
                          <w:tcPr>
                            <w:tcW w:w="851" w:type="dxa"/>
                            <w:shd w:val="clear" w:color="auto" w:fill="auto"/>
                            <w:noWrap/>
                            <w:vAlign w:val="center"/>
                            <w:hideMark/>
                          </w:tcPr>
                          <w:p w14:paraId="18F373ED"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41.46</w:t>
                            </w:r>
                            <w:r w:rsidRPr="008D19C2">
                              <w:rPr>
                                <w:rFonts w:ascii="標楷體" w:eastAsia="標楷體" w:hAnsi="標楷體"/>
                                <w:sz w:val="20"/>
                              </w:rPr>
                              <w:t xml:space="preserve"> </w:t>
                            </w:r>
                          </w:p>
                        </w:tc>
                        <w:tc>
                          <w:tcPr>
                            <w:tcW w:w="674" w:type="dxa"/>
                            <w:shd w:val="clear" w:color="auto" w:fill="auto"/>
                            <w:noWrap/>
                            <w:vAlign w:val="center"/>
                            <w:hideMark/>
                          </w:tcPr>
                          <w:p w14:paraId="4EB2F8E1"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39.39</w:t>
                            </w:r>
                            <w:r w:rsidRPr="008D19C2">
                              <w:rPr>
                                <w:rFonts w:ascii="標楷體" w:eastAsia="標楷體" w:hAnsi="標楷體"/>
                                <w:sz w:val="20"/>
                              </w:rPr>
                              <w:t xml:space="preserve"> </w:t>
                            </w:r>
                          </w:p>
                        </w:tc>
                        <w:tc>
                          <w:tcPr>
                            <w:tcW w:w="1312" w:type="dxa"/>
                            <w:shd w:val="clear" w:color="auto" w:fill="auto"/>
                            <w:noWrap/>
                            <w:vAlign w:val="center"/>
                            <w:hideMark/>
                          </w:tcPr>
                          <w:p w14:paraId="4302A8E7"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w:t>
                            </w:r>
                            <w:r w:rsidRPr="008D19C2">
                              <w:rPr>
                                <w:rFonts w:ascii="標楷體" w:eastAsia="標楷體" w:hAnsi="標楷體"/>
                                <w:sz w:val="20"/>
                              </w:rPr>
                              <w:t xml:space="preserve"> </w:t>
                            </w:r>
                            <w:r w:rsidRPr="008D19C2">
                              <w:rPr>
                                <w:rFonts w:ascii="標楷體" w:eastAsia="標楷體" w:hAnsi="標楷體" w:hint="eastAsia"/>
                                <w:sz w:val="20"/>
                              </w:rPr>
                              <w:t>1.28</w:t>
                            </w:r>
                            <w:r w:rsidRPr="008D19C2">
                              <w:rPr>
                                <w:rFonts w:ascii="標楷體" w:eastAsia="標楷體" w:hAnsi="標楷體"/>
                                <w:sz w:val="20"/>
                              </w:rPr>
                              <w:t xml:space="preserve"> </w:t>
                            </w:r>
                          </w:p>
                        </w:tc>
                      </w:tr>
                      <w:tr w:rsidR="00CE57F9" w:rsidRPr="008D19C2" w14:paraId="6D231491" w14:textId="77777777" w:rsidTr="00A61199">
                        <w:trPr>
                          <w:trHeight w:val="305"/>
                          <w:jc w:val="center"/>
                        </w:trPr>
                        <w:tc>
                          <w:tcPr>
                            <w:tcW w:w="1134" w:type="dxa"/>
                            <w:vMerge w:val="restart"/>
                            <w:shd w:val="clear" w:color="auto" w:fill="auto"/>
                            <w:noWrap/>
                            <w:vAlign w:val="center"/>
                            <w:hideMark/>
                          </w:tcPr>
                          <w:p w14:paraId="73103D0F"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18至23歲</w:t>
                            </w:r>
                          </w:p>
                          <w:p w14:paraId="510359AA" w14:textId="009C4701" w:rsidR="00CE57F9" w:rsidRPr="008D19C2" w:rsidRDefault="00CE57F9" w:rsidP="004514EB">
                            <w:pPr>
                              <w:snapToGrid w:val="0"/>
                              <w:ind w:leftChars="-40" w:left="-96"/>
                              <w:contextualSpacing/>
                              <w:jc w:val="center"/>
                              <w:rPr>
                                <w:rFonts w:ascii="標楷體" w:eastAsia="標楷體" w:hAnsi="標楷體"/>
                                <w:sz w:val="20"/>
                              </w:rPr>
                            </w:pPr>
                            <w:r>
                              <w:rPr>
                                <w:rFonts w:ascii="標楷體" w:eastAsia="標楷體" w:hAnsi="標楷體" w:hint="eastAsia"/>
                                <w:sz w:val="20"/>
                              </w:rPr>
                              <w:t>（</w:t>
                            </w:r>
                            <w:r w:rsidRPr="008D19C2">
                              <w:rPr>
                                <w:rFonts w:ascii="標楷體" w:eastAsia="標楷體" w:hAnsi="標楷體" w:hint="eastAsia"/>
                                <w:sz w:val="20"/>
                              </w:rPr>
                              <w:t>適齡就讀大學</w:t>
                            </w:r>
                            <w:r w:rsidRPr="008D19C2">
                              <w:rPr>
                                <w:rFonts w:ascii="標楷體" w:eastAsia="標楷體" w:hAnsi="標楷體"/>
                                <w:sz w:val="20"/>
                              </w:rPr>
                              <w:t>）</w:t>
                            </w:r>
                          </w:p>
                        </w:tc>
                        <w:tc>
                          <w:tcPr>
                            <w:tcW w:w="1276" w:type="dxa"/>
                            <w:shd w:val="clear" w:color="auto" w:fill="auto"/>
                            <w:vAlign w:val="center"/>
                            <w:hideMark/>
                          </w:tcPr>
                          <w:p w14:paraId="0893BA49"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就業</w:t>
                            </w:r>
                          </w:p>
                        </w:tc>
                        <w:tc>
                          <w:tcPr>
                            <w:tcW w:w="850" w:type="dxa"/>
                            <w:shd w:val="clear" w:color="auto" w:fill="auto"/>
                            <w:noWrap/>
                            <w:vAlign w:val="center"/>
                            <w:hideMark/>
                          </w:tcPr>
                          <w:p w14:paraId="265E28BC"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59.80</w:t>
                            </w:r>
                            <w:r w:rsidRPr="008D19C2">
                              <w:rPr>
                                <w:rFonts w:ascii="標楷體" w:eastAsia="標楷體" w:hAnsi="標楷體"/>
                                <w:sz w:val="20"/>
                              </w:rPr>
                              <w:t xml:space="preserve"> </w:t>
                            </w:r>
                          </w:p>
                        </w:tc>
                        <w:tc>
                          <w:tcPr>
                            <w:tcW w:w="851" w:type="dxa"/>
                            <w:shd w:val="clear" w:color="auto" w:fill="auto"/>
                            <w:noWrap/>
                            <w:vAlign w:val="center"/>
                            <w:hideMark/>
                          </w:tcPr>
                          <w:p w14:paraId="054D8034"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68.07</w:t>
                            </w:r>
                            <w:r w:rsidRPr="008D19C2">
                              <w:rPr>
                                <w:rFonts w:ascii="標楷體" w:eastAsia="標楷體" w:hAnsi="標楷體"/>
                                <w:sz w:val="20"/>
                              </w:rPr>
                              <w:t xml:space="preserve"> </w:t>
                            </w:r>
                          </w:p>
                        </w:tc>
                        <w:tc>
                          <w:tcPr>
                            <w:tcW w:w="674" w:type="dxa"/>
                            <w:shd w:val="clear" w:color="auto" w:fill="auto"/>
                            <w:noWrap/>
                            <w:vAlign w:val="center"/>
                            <w:hideMark/>
                          </w:tcPr>
                          <w:p w14:paraId="093BFE72"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67.16</w:t>
                            </w:r>
                            <w:r w:rsidRPr="008D19C2">
                              <w:rPr>
                                <w:rFonts w:ascii="標楷體" w:eastAsia="標楷體" w:hAnsi="標楷體"/>
                                <w:sz w:val="20"/>
                              </w:rPr>
                              <w:t xml:space="preserve"> </w:t>
                            </w:r>
                          </w:p>
                        </w:tc>
                        <w:tc>
                          <w:tcPr>
                            <w:tcW w:w="1312" w:type="dxa"/>
                            <w:shd w:val="clear" w:color="auto" w:fill="auto"/>
                            <w:noWrap/>
                            <w:vAlign w:val="center"/>
                            <w:hideMark/>
                          </w:tcPr>
                          <w:p w14:paraId="5D9D0DB1"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7.36</w:t>
                            </w:r>
                            <w:r w:rsidRPr="008D19C2">
                              <w:rPr>
                                <w:rFonts w:ascii="標楷體" w:eastAsia="標楷體" w:hAnsi="標楷體"/>
                                <w:sz w:val="20"/>
                              </w:rPr>
                              <w:t xml:space="preserve"> </w:t>
                            </w:r>
                          </w:p>
                        </w:tc>
                      </w:tr>
                      <w:tr w:rsidR="00CE57F9" w:rsidRPr="008D19C2" w14:paraId="6850B79F" w14:textId="77777777" w:rsidTr="00A61199">
                        <w:trPr>
                          <w:trHeight w:val="305"/>
                          <w:jc w:val="center"/>
                        </w:trPr>
                        <w:tc>
                          <w:tcPr>
                            <w:tcW w:w="1134" w:type="dxa"/>
                            <w:vMerge/>
                            <w:shd w:val="clear" w:color="auto" w:fill="auto"/>
                            <w:vAlign w:val="center"/>
                            <w:hideMark/>
                          </w:tcPr>
                          <w:p w14:paraId="75D8F3A3"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p>
                        </w:tc>
                        <w:tc>
                          <w:tcPr>
                            <w:tcW w:w="1276" w:type="dxa"/>
                            <w:shd w:val="clear" w:color="auto" w:fill="auto"/>
                            <w:vAlign w:val="center"/>
                            <w:hideMark/>
                          </w:tcPr>
                          <w:p w14:paraId="1F07A2E3"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學生</w:t>
                            </w:r>
                          </w:p>
                        </w:tc>
                        <w:tc>
                          <w:tcPr>
                            <w:tcW w:w="850" w:type="dxa"/>
                            <w:shd w:val="clear" w:color="auto" w:fill="auto"/>
                            <w:noWrap/>
                            <w:vAlign w:val="center"/>
                            <w:hideMark/>
                          </w:tcPr>
                          <w:p w14:paraId="03009CE2"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15.69</w:t>
                            </w:r>
                            <w:r w:rsidRPr="008D19C2">
                              <w:rPr>
                                <w:rFonts w:ascii="標楷體" w:eastAsia="標楷體" w:hAnsi="標楷體"/>
                                <w:sz w:val="20"/>
                              </w:rPr>
                              <w:t xml:space="preserve"> </w:t>
                            </w:r>
                          </w:p>
                        </w:tc>
                        <w:tc>
                          <w:tcPr>
                            <w:tcW w:w="851" w:type="dxa"/>
                            <w:shd w:val="clear" w:color="auto" w:fill="auto"/>
                            <w:noWrap/>
                            <w:vAlign w:val="center"/>
                            <w:hideMark/>
                          </w:tcPr>
                          <w:p w14:paraId="498F4957"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6.72</w:t>
                            </w:r>
                            <w:r w:rsidRPr="008D19C2">
                              <w:rPr>
                                <w:rFonts w:ascii="標楷體" w:eastAsia="標楷體" w:hAnsi="標楷體"/>
                                <w:sz w:val="20"/>
                              </w:rPr>
                              <w:t xml:space="preserve"> </w:t>
                            </w:r>
                          </w:p>
                        </w:tc>
                        <w:tc>
                          <w:tcPr>
                            <w:tcW w:w="674" w:type="dxa"/>
                            <w:shd w:val="clear" w:color="auto" w:fill="auto"/>
                            <w:noWrap/>
                            <w:vAlign w:val="center"/>
                            <w:hideMark/>
                          </w:tcPr>
                          <w:p w14:paraId="18FD7423"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3.98</w:t>
                            </w:r>
                            <w:r w:rsidRPr="008D19C2">
                              <w:rPr>
                                <w:rFonts w:ascii="標楷體" w:eastAsia="標楷體" w:hAnsi="標楷體"/>
                                <w:sz w:val="20"/>
                              </w:rPr>
                              <w:t xml:space="preserve"> </w:t>
                            </w:r>
                          </w:p>
                        </w:tc>
                        <w:tc>
                          <w:tcPr>
                            <w:tcW w:w="1312" w:type="dxa"/>
                            <w:shd w:val="clear" w:color="auto" w:fill="auto"/>
                            <w:noWrap/>
                            <w:vAlign w:val="center"/>
                            <w:hideMark/>
                          </w:tcPr>
                          <w:p w14:paraId="4E5D31EA"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w:t>
                            </w:r>
                            <w:r w:rsidRPr="008D19C2">
                              <w:rPr>
                                <w:rFonts w:ascii="標楷體" w:eastAsia="標楷體" w:hAnsi="標楷體"/>
                                <w:sz w:val="20"/>
                              </w:rPr>
                              <w:t xml:space="preserve"> </w:t>
                            </w:r>
                            <w:r w:rsidRPr="008D19C2">
                              <w:rPr>
                                <w:rFonts w:ascii="標楷體" w:eastAsia="標楷體" w:hAnsi="標楷體" w:hint="eastAsia"/>
                                <w:sz w:val="20"/>
                              </w:rPr>
                              <w:t>11.71</w:t>
                            </w:r>
                            <w:r w:rsidRPr="008D19C2">
                              <w:rPr>
                                <w:rFonts w:ascii="標楷體" w:eastAsia="標楷體" w:hAnsi="標楷體"/>
                                <w:sz w:val="20"/>
                              </w:rPr>
                              <w:t xml:space="preserve"> </w:t>
                            </w:r>
                          </w:p>
                        </w:tc>
                      </w:tr>
                      <w:tr w:rsidR="00CE57F9" w:rsidRPr="008D19C2" w14:paraId="2E2FF11F" w14:textId="77777777" w:rsidTr="00A61199">
                        <w:trPr>
                          <w:trHeight w:val="305"/>
                          <w:jc w:val="center"/>
                        </w:trPr>
                        <w:tc>
                          <w:tcPr>
                            <w:tcW w:w="1134" w:type="dxa"/>
                            <w:vMerge/>
                            <w:shd w:val="clear" w:color="auto" w:fill="auto"/>
                            <w:vAlign w:val="center"/>
                            <w:hideMark/>
                          </w:tcPr>
                          <w:p w14:paraId="7BA131E3"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p>
                        </w:tc>
                        <w:tc>
                          <w:tcPr>
                            <w:tcW w:w="1276" w:type="dxa"/>
                            <w:shd w:val="clear" w:color="auto" w:fill="auto"/>
                            <w:vAlign w:val="center"/>
                            <w:hideMark/>
                          </w:tcPr>
                          <w:p w14:paraId="7203DD94"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無職及其他</w:t>
                            </w:r>
                          </w:p>
                        </w:tc>
                        <w:tc>
                          <w:tcPr>
                            <w:tcW w:w="850" w:type="dxa"/>
                            <w:shd w:val="clear" w:color="auto" w:fill="auto"/>
                            <w:noWrap/>
                            <w:vAlign w:val="center"/>
                            <w:hideMark/>
                          </w:tcPr>
                          <w:p w14:paraId="19586A62"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24.51</w:t>
                            </w:r>
                            <w:r w:rsidRPr="008D19C2">
                              <w:rPr>
                                <w:rFonts w:ascii="標楷體" w:eastAsia="標楷體" w:hAnsi="標楷體"/>
                                <w:sz w:val="20"/>
                              </w:rPr>
                              <w:t xml:space="preserve"> </w:t>
                            </w:r>
                          </w:p>
                        </w:tc>
                        <w:tc>
                          <w:tcPr>
                            <w:tcW w:w="851" w:type="dxa"/>
                            <w:shd w:val="clear" w:color="auto" w:fill="auto"/>
                            <w:noWrap/>
                            <w:vAlign w:val="center"/>
                            <w:hideMark/>
                          </w:tcPr>
                          <w:p w14:paraId="6FF5EF91"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25.21</w:t>
                            </w:r>
                            <w:r w:rsidRPr="008D19C2">
                              <w:rPr>
                                <w:rFonts w:ascii="標楷體" w:eastAsia="標楷體" w:hAnsi="標楷體"/>
                                <w:sz w:val="20"/>
                              </w:rPr>
                              <w:t xml:space="preserve"> </w:t>
                            </w:r>
                          </w:p>
                        </w:tc>
                        <w:tc>
                          <w:tcPr>
                            <w:tcW w:w="674" w:type="dxa"/>
                            <w:shd w:val="clear" w:color="auto" w:fill="auto"/>
                            <w:noWrap/>
                            <w:vAlign w:val="center"/>
                            <w:hideMark/>
                          </w:tcPr>
                          <w:p w14:paraId="48F46FD5"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28.86</w:t>
                            </w:r>
                            <w:r w:rsidRPr="008D19C2">
                              <w:rPr>
                                <w:rFonts w:ascii="標楷體" w:eastAsia="標楷體" w:hAnsi="標楷體"/>
                                <w:sz w:val="20"/>
                              </w:rPr>
                              <w:t xml:space="preserve"> </w:t>
                            </w:r>
                          </w:p>
                        </w:tc>
                        <w:tc>
                          <w:tcPr>
                            <w:tcW w:w="1312" w:type="dxa"/>
                            <w:shd w:val="clear" w:color="auto" w:fill="auto"/>
                            <w:noWrap/>
                            <w:vAlign w:val="center"/>
                            <w:hideMark/>
                          </w:tcPr>
                          <w:p w14:paraId="6473166B"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4.35</w:t>
                            </w:r>
                            <w:r w:rsidRPr="008D19C2">
                              <w:rPr>
                                <w:rFonts w:ascii="標楷體" w:eastAsia="標楷體" w:hAnsi="標楷體"/>
                                <w:sz w:val="20"/>
                              </w:rPr>
                              <w:t xml:space="preserve"> </w:t>
                            </w:r>
                          </w:p>
                        </w:tc>
                      </w:tr>
                      <w:tr w:rsidR="00CE57F9" w:rsidRPr="008D19C2" w14:paraId="1E272BA2" w14:textId="77777777" w:rsidTr="00A61199">
                        <w:trPr>
                          <w:trHeight w:val="305"/>
                          <w:jc w:val="center"/>
                        </w:trPr>
                        <w:tc>
                          <w:tcPr>
                            <w:tcW w:w="1134" w:type="dxa"/>
                            <w:vMerge w:val="restart"/>
                            <w:shd w:val="clear" w:color="auto" w:fill="auto"/>
                            <w:noWrap/>
                            <w:vAlign w:val="center"/>
                            <w:hideMark/>
                          </w:tcPr>
                          <w:p w14:paraId="0041FB79"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24至29歲</w:t>
                            </w:r>
                          </w:p>
                        </w:tc>
                        <w:tc>
                          <w:tcPr>
                            <w:tcW w:w="1276" w:type="dxa"/>
                            <w:shd w:val="clear" w:color="auto" w:fill="auto"/>
                            <w:vAlign w:val="center"/>
                            <w:hideMark/>
                          </w:tcPr>
                          <w:p w14:paraId="7E58EFD3"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就業</w:t>
                            </w:r>
                          </w:p>
                        </w:tc>
                        <w:tc>
                          <w:tcPr>
                            <w:tcW w:w="850" w:type="dxa"/>
                            <w:shd w:val="clear" w:color="auto" w:fill="auto"/>
                            <w:noWrap/>
                            <w:vAlign w:val="center"/>
                            <w:hideMark/>
                          </w:tcPr>
                          <w:p w14:paraId="34F56B90"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78.79</w:t>
                            </w:r>
                            <w:r w:rsidRPr="008D19C2">
                              <w:rPr>
                                <w:rFonts w:ascii="標楷體" w:eastAsia="標楷體" w:hAnsi="標楷體"/>
                                <w:sz w:val="20"/>
                              </w:rPr>
                              <w:t xml:space="preserve"> </w:t>
                            </w:r>
                          </w:p>
                        </w:tc>
                        <w:tc>
                          <w:tcPr>
                            <w:tcW w:w="851" w:type="dxa"/>
                            <w:shd w:val="clear" w:color="auto" w:fill="auto"/>
                            <w:noWrap/>
                            <w:vAlign w:val="center"/>
                            <w:hideMark/>
                          </w:tcPr>
                          <w:p w14:paraId="462C498E"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80.23</w:t>
                            </w:r>
                            <w:r w:rsidRPr="008D19C2">
                              <w:rPr>
                                <w:rFonts w:ascii="標楷體" w:eastAsia="標楷體" w:hAnsi="標楷體"/>
                                <w:sz w:val="20"/>
                              </w:rPr>
                              <w:t xml:space="preserve"> </w:t>
                            </w:r>
                          </w:p>
                        </w:tc>
                        <w:tc>
                          <w:tcPr>
                            <w:tcW w:w="674" w:type="dxa"/>
                            <w:shd w:val="clear" w:color="auto" w:fill="auto"/>
                            <w:noWrap/>
                            <w:vAlign w:val="center"/>
                            <w:hideMark/>
                          </w:tcPr>
                          <w:p w14:paraId="2C0EA90D"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71.78</w:t>
                            </w:r>
                            <w:r w:rsidRPr="008D19C2">
                              <w:rPr>
                                <w:rFonts w:ascii="標楷體" w:eastAsia="標楷體" w:hAnsi="標楷體"/>
                                <w:sz w:val="20"/>
                              </w:rPr>
                              <w:t xml:space="preserve"> </w:t>
                            </w:r>
                          </w:p>
                        </w:tc>
                        <w:tc>
                          <w:tcPr>
                            <w:tcW w:w="1312" w:type="dxa"/>
                            <w:shd w:val="clear" w:color="auto" w:fill="auto"/>
                            <w:noWrap/>
                            <w:vAlign w:val="center"/>
                            <w:hideMark/>
                          </w:tcPr>
                          <w:p w14:paraId="497810BE"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w:t>
                            </w:r>
                            <w:r w:rsidRPr="008D19C2">
                              <w:rPr>
                                <w:rFonts w:ascii="標楷體" w:eastAsia="標楷體" w:hAnsi="標楷體"/>
                                <w:sz w:val="20"/>
                              </w:rPr>
                              <w:t xml:space="preserve"> </w:t>
                            </w:r>
                            <w:r w:rsidRPr="008D19C2">
                              <w:rPr>
                                <w:rFonts w:ascii="標楷體" w:eastAsia="標楷體" w:hAnsi="標楷體" w:hint="eastAsia"/>
                                <w:sz w:val="20"/>
                              </w:rPr>
                              <w:t>7.01</w:t>
                            </w:r>
                            <w:r w:rsidRPr="008D19C2">
                              <w:rPr>
                                <w:rFonts w:ascii="標楷體" w:eastAsia="標楷體" w:hAnsi="標楷體"/>
                                <w:sz w:val="20"/>
                              </w:rPr>
                              <w:t xml:space="preserve"> </w:t>
                            </w:r>
                          </w:p>
                        </w:tc>
                      </w:tr>
                      <w:tr w:rsidR="00CE57F9" w:rsidRPr="008D19C2" w14:paraId="089244B1" w14:textId="77777777" w:rsidTr="00A61199">
                        <w:trPr>
                          <w:trHeight w:val="305"/>
                          <w:jc w:val="center"/>
                        </w:trPr>
                        <w:tc>
                          <w:tcPr>
                            <w:tcW w:w="1134" w:type="dxa"/>
                            <w:vMerge/>
                            <w:shd w:val="clear" w:color="auto" w:fill="auto"/>
                            <w:vAlign w:val="center"/>
                            <w:hideMark/>
                          </w:tcPr>
                          <w:p w14:paraId="5FC19AD3"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p>
                        </w:tc>
                        <w:tc>
                          <w:tcPr>
                            <w:tcW w:w="1276" w:type="dxa"/>
                            <w:shd w:val="clear" w:color="auto" w:fill="auto"/>
                            <w:vAlign w:val="center"/>
                            <w:hideMark/>
                          </w:tcPr>
                          <w:p w14:paraId="215D7A9A"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學生</w:t>
                            </w:r>
                          </w:p>
                        </w:tc>
                        <w:tc>
                          <w:tcPr>
                            <w:tcW w:w="850" w:type="dxa"/>
                            <w:shd w:val="clear" w:color="auto" w:fill="auto"/>
                            <w:noWrap/>
                            <w:vAlign w:val="center"/>
                            <w:hideMark/>
                          </w:tcPr>
                          <w:p w14:paraId="1A3539A5"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1.52</w:t>
                            </w:r>
                            <w:r w:rsidRPr="008D19C2">
                              <w:rPr>
                                <w:rFonts w:ascii="標楷體" w:eastAsia="標楷體" w:hAnsi="標楷體"/>
                                <w:sz w:val="20"/>
                              </w:rPr>
                              <w:t xml:space="preserve"> </w:t>
                            </w:r>
                          </w:p>
                        </w:tc>
                        <w:tc>
                          <w:tcPr>
                            <w:tcW w:w="851" w:type="dxa"/>
                            <w:shd w:val="clear" w:color="auto" w:fill="auto"/>
                            <w:noWrap/>
                            <w:vAlign w:val="center"/>
                            <w:hideMark/>
                          </w:tcPr>
                          <w:p w14:paraId="06F11E4D"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1.16</w:t>
                            </w:r>
                            <w:r w:rsidRPr="008D19C2">
                              <w:rPr>
                                <w:rFonts w:ascii="標楷體" w:eastAsia="標楷體" w:hAnsi="標楷體"/>
                                <w:sz w:val="20"/>
                              </w:rPr>
                              <w:t xml:space="preserve"> </w:t>
                            </w:r>
                          </w:p>
                        </w:tc>
                        <w:tc>
                          <w:tcPr>
                            <w:tcW w:w="674" w:type="dxa"/>
                            <w:shd w:val="clear" w:color="auto" w:fill="auto"/>
                            <w:noWrap/>
                            <w:vAlign w:val="center"/>
                            <w:hideMark/>
                          </w:tcPr>
                          <w:p w14:paraId="6B241BA7"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w:t>
                            </w:r>
                            <w:r w:rsidRPr="008D19C2">
                              <w:rPr>
                                <w:rFonts w:ascii="標楷體" w:eastAsia="標楷體" w:hAnsi="標楷體"/>
                                <w:sz w:val="20"/>
                              </w:rPr>
                              <w:t xml:space="preserve"> </w:t>
                            </w:r>
                          </w:p>
                        </w:tc>
                        <w:tc>
                          <w:tcPr>
                            <w:tcW w:w="1312" w:type="dxa"/>
                            <w:shd w:val="clear" w:color="auto" w:fill="auto"/>
                            <w:noWrap/>
                            <w:vAlign w:val="center"/>
                            <w:hideMark/>
                          </w:tcPr>
                          <w:p w14:paraId="6345D1E6"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w:t>
                            </w:r>
                            <w:r w:rsidRPr="008D19C2">
                              <w:rPr>
                                <w:rFonts w:ascii="標楷體" w:eastAsia="標楷體" w:hAnsi="標楷體"/>
                                <w:sz w:val="20"/>
                              </w:rPr>
                              <w:t xml:space="preserve"> </w:t>
                            </w:r>
                            <w:r w:rsidRPr="008D19C2">
                              <w:rPr>
                                <w:rFonts w:ascii="標楷體" w:eastAsia="標楷體" w:hAnsi="標楷體" w:hint="eastAsia"/>
                                <w:sz w:val="20"/>
                              </w:rPr>
                              <w:t>1.52</w:t>
                            </w:r>
                            <w:r w:rsidRPr="008D19C2">
                              <w:rPr>
                                <w:rFonts w:ascii="標楷體" w:eastAsia="標楷體" w:hAnsi="標楷體"/>
                                <w:sz w:val="20"/>
                              </w:rPr>
                              <w:t xml:space="preserve"> </w:t>
                            </w:r>
                          </w:p>
                        </w:tc>
                      </w:tr>
                      <w:tr w:rsidR="00CE57F9" w:rsidRPr="008D19C2" w14:paraId="38813410" w14:textId="77777777" w:rsidTr="00A61199">
                        <w:trPr>
                          <w:trHeight w:val="305"/>
                          <w:jc w:val="center"/>
                        </w:trPr>
                        <w:tc>
                          <w:tcPr>
                            <w:tcW w:w="1134" w:type="dxa"/>
                            <w:vMerge/>
                            <w:shd w:val="clear" w:color="auto" w:fill="auto"/>
                            <w:vAlign w:val="center"/>
                            <w:hideMark/>
                          </w:tcPr>
                          <w:p w14:paraId="6E61EF7F"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p>
                        </w:tc>
                        <w:tc>
                          <w:tcPr>
                            <w:tcW w:w="1276" w:type="dxa"/>
                            <w:shd w:val="clear" w:color="auto" w:fill="auto"/>
                            <w:vAlign w:val="center"/>
                            <w:hideMark/>
                          </w:tcPr>
                          <w:p w14:paraId="3E2DD9FE" w14:textId="77777777" w:rsidR="00CE57F9" w:rsidRPr="008D19C2" w:rsidRDefault="00CE57F9" w:rsidP="004514EB">
                            <w:pPr>
                              <w:snapToGrid w:val="0"/>
                              <w:ind w:leftChars="-40" w:left="-96" w:rightChars="-52" w:right="-125"/>
                              <w:contextualSpacing/>
                              <w:jc w:val="center"/>
                              <w:rPr>
                                <w:rFonts w:ascii="標楷體" w:eastAsia="標楷體" w:hAnsi="標楷體"/>
                                <w:sz w:val="20"/>
                              </w:rPr>
                            </w:pPr>
                            <w:r w:rsidRPr="008D19C2">
                              <w:rPr>
                                <w:rFonts w:ascii="標楷體" w:eastAsia="標楷體" w:hAnsi="標楷體" w:hint="eastAsia"/>
                                <w:sz w:val="20"/>
                              </w:rPr>
                              <w:t>無職及其他</w:t>
                            </w:r>
                          </w:p>
                        </w:tc>
                        <w:tc>
                          <w:tcPr>
                            <w:tcW w:w="850" w:type="dxa"/>
                            <w:shd w:val="clear" w:color="auto" w:fill="auto"/>
                            <w:noWrap/>
                            <w:vAlign w:val="center"/>
                            <w:hideMark/>
                          </w:tcPr>
                          <w:p w14:paraId="0010ACAF"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19.70</w:t>
                            </w:r>
                            <w:r w:rsidRPr="008D19C2">
                              <w:rPr>
                                <w:rFonts w:ascii="標楷體" w:eastAsia="標楷體" w:hAnsi="標楷體"/>
                                <w:sz w:val="20"/>
                              </w:rPr>
                              <w:t xml:space="preserve"> </w:t>
                            </w:r>
                          </w:p>
                        </w:tc>
                        <w:tc>
                          <w:tcPr>
                            <w:tcW w:w="851" w:type="dxa"/>
                            <w:shd w:val="clear" w:color="auto" w:fill="auto"/>
                            <w:noWrap/>
                            <w:vAlign w:val="center"/>
                            <w:hideMark/>
                          </w:tcPr>
                          <w:p w14:paraId="1ABD6D06"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18.60</w:t>
                            </w:r>
                            <w:r w:rsidRPr="008D19C2">
                              <w:rPr>
                                <w:rFonts w:ascii="標楷體" w:eastAsia="標楷體" w:hAnsi="標楷體"/>
                                <w:sz w:val="20"/>
                              </w:rPr>
                              <w:t xml:space="preserve"> </w:t>
                            </w:r>
                          </w:p>
                        </w:tc>
                        <w:tc>
                          <w:tcPr>
                            <w:tcW w:w="674" w:type="dxa"/>
                            <w:shd w:val="clear" w:color="auto" w:fill="auto"/>
                            <w:noWrap/>
                            <w:vAlign w:val="center"/>
                            <w:hideMark/>
                          </w:tcPr>
                          <w:p w14:paraId="700C428A"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28.22</w:t>
                            </w:r>
                            <w:r w:rsidRPr="008D19C2">
                              <w:rPr>
                                <w:rFonts w:ascii="標楷體" w:eastAsia="標楷體" w:hAnsi="標楷體"/>
                                <w:sz w:val="20"/>
                              </w:rPr>
                              <w:t xml:space="preserve"> </w:t>
                            </w:r>
                          </w:p>
                        </w:tc>
                        <w:tc>
                          <w:tcPr>
                            <w:tcW w:w="1312" w:type="dxa"/>
                            <w:shd w:val="clear" w:color="auto" w:fill="auto"/>
                            <w:noWrap/>
                            <w:vAlign w:val="center"/>
                            <w:hideMark/>
                          </w:tcPr>
                          <w:p w14:paraId="21619AED" w14:textId="77777777" w:rsidR="00CE57F9" w:rsidRPr="008D19C2" w:rsidRDefault="00CE57F9" w:rsidP="004514EB">
                            <w:pPr>
                              <w:wordWrap w:val="0"/>
                              <w:snapToGrid w:val="0"/>
                              <w:ind w:leftChars="-40" w:left="-96" w:rightChars="-52" w:right="-125"/>
                              <w:contextualSpacing/>
                              <w:jc w:val="right"/>
                              <w:rPr>
                                <w:rFonts w:ascii="標楷體" w:eastAsia="標楷體" w:hAnsi="標楷體"/>
                                <w:sz w:val="20"/>
                              </w:rPr>
                            </w:pPr>
                            <w:r w:rsidRPr="008D19C2">
                              <w:rPr>
                                <w:rFonts w:ascii="標楷體" w:eastAsia="標楷體" w:hAnsi="標楷體" w:hint="eastAsia"/>
                                <w:sz w:val="20"/>
                              </w:rPr>
                              <w:t>8.52</w:t>
                            </w:r>
                            <w:r w:rsidRPr="008D19C2">
                              <w:rPr>
                                <w:rFonts w:ascii="標楷體" w:eastAsia="標楷體" w:hAnsi="標楷體"/>
                                <w:sz w:val="20"/>
                              </w:rPr>
                              <w:t xml:space="preserve"> </w:t>
                            </w:r>
                          </w:p>
                        </w:tc>
                      </w:tr>
                    </w:tbl>
                    <w:p w14:paraId="4FB72BF8" w14:textId="77777777" w:rsidR="00CE57F9" w:rsidRPr="00A018A0" w:rsidRDefault="00CE57F9" w:rsidP="006E2403">
                      <w:pPr>
                        <w:snapToGrid w:val="0"/>
                        <w:ind w:leftChars="20" w:left="588" w:rightChars="-52" w:right="-125" w:hangingChars="300" w:hanging="540"/>
                        <w:contextualSpacing/>
                        <w:jc w:val="both"/>
                        <w:rPr>
                          <w:rFonts w:ascii="標楷體" w:eastAsia="標楷體" w:hAnsi="標楷體"/>
                          <w:sz w:val="18"/>
                        </w:rPr>
                      </w:pPr>
                      <w:r w:rsidRPr="00A018A0">
                        <w:rPr>
                          <w:rFonts w:ascii="標楷體" w:eastAsia="標楷體" w:hAnsi="標楷體" w:hint="eastAsia"/>
                          <w:sz w:val="18"/>
                        </w:rPr>
                        <w:t>註：</w:t>
                      </w:r>
                      <w:r w:rsidRPr="00A90CFF">
                        <w:rPr>
                          <w:rFonts w:ascii="標楷體" w:eastAsia="標楷體" w:hAnsi="標楷體" w:hint="eastAsia"/>
                          <w:sz w:val="18"/>
                        </w:rPr>
                        <w:t>整理自警政署提供資料。</w:t>
                      </w:r>
                    </w:p>
                  </w:txbxContent>
                </v:textbox>
                <w10:wrap type="square" anchorx="margin"/>
              </v:shape>
            </w:pict>
          </mc:Fallback>
        </mc:AlternateContent>
      </w:r>
      <w:r w:rsidRPr="009D11AD">
        <w:rPr>
          <w:rFonts w:ascii="標楷體" w:eastAsia="標楷體" w:hAnsi="標楷體" w:hint="eastAsia"/>
          <w:szCs w:val="24"/>
        </w:rPr>
        <w:t>識高風險族群進行教育宣導與輔導介入，並加強勞政、社政與衛政之資源挹注與連結；（3）</w:t>
      </w:r>
      <w:r w:rsidRPr="00BD4ACF">
        <w:rPr>
          <w:rFonts w:ascii="標楷體" w:eastAsia="標楷體" w:hAnsi="標楷體" w:hint="eastAsia"/>
          <w:szCs w:val="24"/>
        </w:rPr>
        <w:t>據</w:t>
      </w:r>
      <w:r w:rsidR="00FB1795" w:rsidRPr="00BD4ACF">
        <w:rPr>
          <w:rFonts w:ascii="標楷體" w:eastAsia="標楷體" w:hAnsi="標楷體" w:hint="eastAsia"/>
          <w:szCs w:val="24"/>
        </w:rPr>
        <w:t>衛生福利部</w:t>
      </w:r>
      <w:r w:rsidRPr="00BD4ACF">
        <w:rPr>
          <w:rFonts w:ascii="標楷體" w:eastAsia="標楷體" w:hAnsi="標楷體" w:hint="eastAsia"/>
          <w:szCs w:val="24"/>
        </w:rPr>
        <w:t>統計</w:t>
      </w:r>
      <w:r w:rsidRPr="00BD4ACF">
        <w:rPr>
          <w:rFonts w:ascii="標楷體" w:eastAsia="標楷體" w:hAnsi="標楷體"/>
          <w:szCs w:val="24"/>
        </w:rPr>
        <w:t>110年度各醫療院所通報藥物濫用者之首次用藥年齡</w:t>
      </w:r>
      <w:r w:rsidRPr="00BD4ACF">
        <w:rPr>
          <w:rFonts w:ascii="標楷體" w:eastAsia="標楷體" w:hAnsi="標楷體" w:hint="eastAsia"/>
          <w:szCs w:val="24"/>
        </w:rPr>
        <w:t>，高達2成左右為19歲以下少年。再據教育部1</w:t>
      </w:r>
      <w:r w:rsidRPr="009D11AD">
        <w:rPr>
          <w:rFonts w:ascii="標楷體" w:eastAsia="標楷體" w:hAnsi="標楷體" w:hint="eastAsia"/>
          <w:szCs w:val="24"/>
        </w:rPr>
        <w:t>10年度藥物濫用防制認知檢測問卷資料統計分析計畫期末報告，學生常見以免費提供、不會被驗出、沒有刑責、不會成癮、遭誘騙誤用等5種誘騙手法而</w:t>
      </w:r>
      <w:r w:rsidRPr="009D11AD">
        <w:rPr>
          <w:rFonts w:ascii="標楷體" w:eastAsia="標楷體" w:hAnsi="標楷體" w:hint="eastAsia"/>
          <w:szCs w:val="24"/>
        </w:rPr>
        <w:lastRenderedPageBreak/>
        <w:t>接觸非法藥物，且逾3成曾經用藥學生表示未獲教導反毒、戒毒協助資訊，均顯示仍待提升青少年及學生藥</w:t>
      </w:r>
      <w:r w:rsidR="00FB1795" w:rsidRPr="009D11AD">
        <w:rPr>
          <w:rFonts w:ascii="標楷體" w:eastAsia="標楷體" w:hAnsi="標楷體" w:hint="eastAsia"/>
          <w:szCs w:val="24"/>
        </w:rPr>
        <w:t>物濫用防制教育與宣導，惟教育部與所屬</w:t>
      </w:r>
      <w:r w:rsidRPr="009D11AD">
        <w:rPr>
          <w:rFonts w:ascii="標楷體" w:eastAsia="標楷體" w:hAnsi="標楷體" w:hint="eastAsia"/>
          <w:szCs w:val="24"/>
        </w:rPr>
        <w:t>國</w:t>
      </w:r>
      <w:r w:rsidR="00FB1795" w:rsidRPr="009D11AD">
        <w:rPr>
          <w:rFonts w:ascii="標楷體" w:eastAsia="標楷體" w:hAnsi="標楷體" w:hint="eastAsia"/>
          <w:szCs w:val="24"/>
        </w:rPr>
        <w:t>民及學前</w:t>
      </w:r>
      <w:r w:rsidRPr="009D11AD">
        <w:rPr>
          <w:rFonts w:ascii="標楷體" w:eastAsia="標楷體" w:hAnsi="標楷體" w:hint="eastAsia"/>
          <w:szCs w:val="24"/>
        </w:rPr>
        <w:t>教</w:t>
      </w:r>
      <w:r w:rsidR="00FB1795" w:rsidRPr="009D11AD">
        <w:rPr>
          <w:rFonts w:ascii="標楷體" w:eastAsia="標楷體" w:hAnsi="標楷體" w:hint="eastAsia"/>
          <w:szCs w:val="24"/>
        </w:rPr>
        <w:t>育</w:t>
      </w:r>
      <w:r w:rsidRPr="009D11AD">
        <w:rPr>
          <w:rFonts w:ascii="標楷體" w:eastAsia="標楷體" w:hAnsi="標楷體" w:hint="eastAsia"/>
          <w:szCs w:val="24"/>
        </w:rPr>
        <w:t>署已接續</w:t>
      </w:r>
      <w:r w:rsidRPr="009D11AD">
        <w:rPr>
          <w:rFonts w:ascii="標楷體" w:eastAsia="標楷體" w:hAnsi="標楷體"/>
          <w:szCs w:val="24"/>
        </w:rPr>
        <w:t>2</w:t>
      </w:r>
      <w:r w:rsidRPr="009D11AD">
        <w:rPr>
          <w:rFonts w:ascii="標楷體" w:eastAsia="標楷體" w:hAnsi="標楷體" w:hint="eastAsia"/>
          <w:szCs w:val="24"/>
        </w:rPr>
        <w:t>年</w:t>
      </w:r>
      <w:r w:rsidRPr="009D11AD">
        <w:rPr>
          <w:rFonts w:ascii="標楷體" w:eastAsia="標楷體" w:hAnsi="標楷體"/>
          <w:szCs w:val="24"/>
        </w:rPr>
        <w:t>（111</w:t>
      </w:r>
      <w:r w:rsidRPr="009D11AD">
        <w:rPr>
          <w:rFonts w:ascii="標楷體" w:eastAsia="標楷體" w:hAnsi="標楷體" w:hint="eastAsia"/>
          <w:szCs w:val="24"/>
        </w:rPr>
        <w:t>至</w:t>
      </w:r>
      <w:r w:rsidRPr="009D11AD">
        <w:rPr>
          <w:rFonts w:ascii="標楷體" w:eastAsia="標楷體" w:hAnsi="標楷體"/>
          <w:szCs w:val="24"/>
        </w:rPr>
        <w:t>112</w:t>
      </w:r>
      <w:r w:rsidRPr="009D11AD">
        <w:rPr>
          <w:rFonts w:ascii="標楷體" w:eastAsia="標楷體" w:hAnsi="標楷體" w:hint="eastAsia"/>
          <w:szCs w:val="24"/>
        </w:rPr>
        <w:t>年度</w:t>
      </w:r>
      <w:r w:rsidRPr="009D11AD">
        <w:rPr>
          <w:rFonts w:ascii="標楷體" w:eastAsia="標楷體" w:hAnsi="標楷體"/>
          <w:szCs w:val="24"/>
        </w:rPr>
        <w:t>）</w:t>
      </w:r>
      <w:r w:rsidRPr="009D11AD">
        <w:rPr>
          <w:rFonts w:ascii="標楷體" w:eastAsia="標楷體" w:hAnsi="標楷體" w:hint="eastAsia"/>
          <w:szCs w:val="24"/>
        </w:rPr>
        <w:t>減少毒品防制教育與宣導預算，未能彰顯對反毒工作之重視，允宜寬籌預算，加強毒品防制之教育與宣導，俾強化學生及青少年族群拒絕毒品誘惑之知識及觀念，發揮預防勝於治療之效果；（4）</w:t>
      </w:r>
      <w:r w:rsidRPr="00BD4ACF">
        <w:rPr>
          <w:rFonts w:ascii="標楷體" w:eastAsia="標楷體" w:hAnsi="標楷體" w:hint="eastAsia"/>
          <w:szCs w:val="24"/>
        </w:rPr>
        <w:t>政府自</w:t>
      </w:r>
      <w:r w:rsidRPr="00BD4ACF">
        <w:rPr>
          <w:rFonts w:ascii="標楷體" w:eastAsia="標楷體" w:hAnsi="標楷體"/>
          <w:szCs w:val="24"/>
        </w:rPr>
        <w:t>108年成立毒品防制基金</w:t>
      </w:r>
      <w:r w:rsidRPr="00BD4ACF">
        <w:rPr>
          <w:rFonts w:ascii="標楷體" w:eastAsia="標楷體" w:hAnsi="標楷體" w:hint="eastAsia"/>
          <w:szCs w:val="24"/>
        </w:rPr>
        <w:t>，協助推動各項毒品防制業務，惟用於反毒宣導經費有限。基於緩起訴處分金與認罪協商金補助款收支運用及監督管理辦法</w:t>
      </w:r>
      <w:r w:rsidRPr="009D11AD">
        <w:rPr>
          <w:rFonts w:ascii="標楷體" w:eastAsia="標楷體" w:hAnsi="標楷體" w:hint="eastAsia"/>
          <w:szCs w:val="24"/>
        </w:rPr>
        <w:t>規定，緩起訴處分金可用於辦理毒品防制相關業務，允宜研酌由緩起訴處分金分配一定金額予毒品防制基金辦理毒品防制宣導業務，增加政府防毒宣導量能</w:t>
      </w:r>
      <w:r w:rsidR="00C126E8" w:rsidRPr="009D11AD">
        <w:rPr>
          <w:rFonts w:ascii="標楷體" w:eastAsia="標楷體" w:hAnsi="標楷體" w:hint="eastAsia"/>
          <w:color w:val="000000" w:themeColor="text1"/>
          <w:szCs w:val="24"/>
        </w:rPr>
        <w:t>等情事</w:t>
      </w:r>
      <w:r w:rsidRPr="009D11AD">
        <w:rPr>
          <w:rFonts w:ascii="標楷體" w:eastAsia="標楷體" w:hAnsi="標楷體" w:hint="eastAsia"/>
          <w:szCs w:val="24"/>
        </w:rPr>
        <w:t>。</w:t>
      </w:r>
      <w:r w:rsidRPr="009D11AD">
        <w:rPr>
          <w:rFonts w:ascii="標楷體" w:eastAsia="標楷體" w:hAnsi="標楷體" w:hint="eastAsia"/>
          <w:color w:val="000000" w:themeColor="text1"/>
          <w:szCs w:val="24"/>
        </w:rPr>
        <w:t>經函請行政院督促權責機關檢討改善。</w:t>
      </w:r>
      <w:r w:rsidRPr="00DA2751">
        <w:rPr>
          <w:rFonts w:ascii="標楷體" w:eastAsia="標楷體" w:hAnsi="標楷體" w:hint="eastAsia"/>
          <w:color w:val="000000" w:themeColor="text1"/>
          <w:szCs w:val="24"/>
        </w:rPr>
        <w:t>據復</w:t>
      </w:r>
      <w:r w:rsidRPr="00273503">
        <w:rPr>
          <w:rFonts w:ascii="標楷體" w:eastAsia="標楷體" w:hAnsi="標楷體" w:hint="eastAsia"/>
          <w:color w:val="000000" w:themeColor="text1"/>
          <w:szCs w:val="24"/>
        </w:rPr>
        <w:t>：</w:t>
      </w:r>
      <w:r w:rsidR="00273503" w:rsidRPr="00CE57F9">
        <w:rPr>
          <w:rFonts w:ascii="標楷體" w:eastAsia="標楷體" w:hAnsi="標楷體" w:hint="eastAsia"/>
          <w:color w:val="000000" w:themeColor="text1"/>
          <w:szCs w:val="24"/>
        </w:rPr>
        <w:t>（</w:t>
      </w:r>
      <w:r w:rsidR="00273503" w:rsidRPr="00CE57F9">
        <w:rPr>
          <w:rFonts w:ascii="標楷體" w:eastAsia="標楷體" w:hAnsi="標楷體"/>
          <w:color w:val="000000" w:themeColor="text1"/>
          <w:szCs w:val="24"/>
        </w:rPr>
        <w:t>1）將持續強化跨部會合作推動反毒宣導工作，互相提供宣導資源，拓展觸及群眾；（2）將加強特定受眾族群</w:t>
      </w:r>
      <w:r w:rsidR="0023329C" w:rsidRPr="00CE57F9">
        <w:rPr>
          <w:rFonts w:ascii="標楷體" w:eastAsia="標楷體" w:hAnsi="標楷體"/>
          <w:color w:val="000000" w:themeColor="text1"/>
          <w:szCs w:val="24"/>
        </w:rPr>
        <w:t>（</w:t>
      </w:r>
      <w:r w:rsidR="00273503" w:rsidRPr="00CE57F9">
        <w:rPr>
          <w:rFonts w:ascii="標楷體" w:eastAsia="標楷體" w:hAnsi="標楷體"/>
          <w:color w:val="000000" w:themeColor="text1"/>
          <w:szCs w:val="24"/>
        </w:rPr>
        <w:t>如電競、宮廟、網路等</w:t>
      </w:r>
      <w:r w:rsidR="0023329C" w:rsidRPr="00CE57F9">
        <w:rPr>
          <w:rFonts w:ascii="標楷體" w:eastAsia="標楷體" w:hAnsi="標楷體"/>
          <w:color w:val="000000" w:themeColor="text1"/>
          <w:szCs w:val="24"/>
        </w:rPr>
        <w:t>）</w:t>
      </w:r>
      <w:r w:rsidR="00273503" w:rsidRPr="00CE57F9">
        <w:rPr>
          <w:rFonts w:ascii="標楷體" w:eastAsia="標楷體" w:hAnsi="標楷體"/>
          <w:color w:val="000000" w:themeColor="text1"/>
          <w:szCs w:val="24"/>
        </w:rPr>
        <w:t>及失業者等族群毒品防制宣導工作；（3）將視各項反毒教育與宣導情形之實際需求，於以後年度適時寬列預算；（4）除毒品防制基金外，相關機關每年均依職責於公務預算編列相關經費，辦理反毒宣導工作，爾後年度仍將由各部會持續挹注資源辦理</w:t>
      </w:r>
      <w:r w:rsidRPr="00CE57F9">
        <w:rPr>
          <w:rFonts w:ascii="標楷體" w:eastAsia="標楷體" w:hAnsi="標楷體" w:hint="eastAsia"/>
          <w:color w:val="000000" w:themeColor="text1"/>
          <w:szCs w:val="24"/>
        </w:rPr>
        <w:t>。</w:t>
      </w:r>
    </w:p>
    <w:p w14:paraId="3DA91235" w14:textId="749E7D5B" w:rsidR="00E9787B" w:rsidRPr="009D11AD" w:rsidRDefault="006E2403" w:rsidP="00DA2751">
      <w:pPr>
        <w:overflowPunct w:val="0"/>
        <w:snapToGrid w:val="0"/>
        <w:spacing w:line="440" w:lineRule="exact"/>
        <w:ind w:firstLineChars="450" w:firstLine="1080"/>
        <w:jc w:val="both"/>
        <w:rPr>
          <w:rFonts w:ascii="標楷體" w:eastAsia="標楷體" w:hAnsi="標楷體"/>
          <w:color w:val="000000" w:themeColor="text1"/>
          <w:szCs w:val="24"/>
        </w:rPr>
      </w:pPr>
      <w:r w:rsidRPr="009D11AD">
        <w:rPr>
          <w:rFonts w:ascii="標楷體" w:eastAsia="標楷體" w:hAnsi="標楷體"/>
          <w:noProof/>
          <w:szCs w:val="24"/>
        </w:rPr>
        <mc:AlternateContent>
          <mc:Choice Requires="wps">
            <w:drawing>
              <wp:anchor distT="45720" distB="45720" distL="114300" distR="114300" simplePos="0" relativeHeight="251665920" behindDoc="0" locked="0" layoutInCell="1" allowOverlap="1" wp14:anchorId="4F58849B" wp14:editId="2807C912">
                <wp:simplePos x="0" y="0"/>
                <wp:positionH relativeFrom="margin">
                  <wp:posOffset>2628265</wp:posOffset>
                </wp:positionH>
                <wp:positionV relativeFrom="paragraph">
                  <wp:posOffset>3420745</wp:posOffset>
                </wp:positionV>
                <wp:extent cx="3654000" cy="1926000"/>
                <wp:effectExtent l="0" t="0" r="3810" b="0"/>
                <wp:wrapSquare wrapText="bothSides"/>
                <wp:docPr id="42" name="文字方塊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4000" cy="1926000"/>
                        </a:xfrm>
                        <a:prstGeom prst="rect">
                          <a:avLst/>
                        </a:prstGeom>
                        <a:solidFill>
                          <a:srgbClr val="FFFFFF"/>
                        </a:solidFill>
                        <a:ln w="9525">
                          <a:noFill/>
                          <a:miter lim="800000"/>
                          <a:headEnd/>
                          <a:tailEnd/>
                        </a:ln>
                      </wps:spPr>
                      <wps:txbx>
                        <w:txbxContent>
                          <w:p w14:paraId="113EAFA5" w14:textId="77777777" w:rsidR="00CE57F9" w:rsidRPr="002924C4" w:rsidRDefault="00CE57F9" w:rsidP="006E2403">
                            <w:pPr>
                              <w:snapToGrid w:val="0"/>
                              <w:ind w:left="673" w:hangingChars="280" w:hanging="673"/>
                              <w:contextualSpacing/>
                              <w:jc w:val="center"/>
                              <w:rPr>
                                <w:rFonts w:ascii="標楷體" w:eastAsia="標楷體" w:hAnsi="標楷體"/>
                                <w:b/>
                              </w:rPr>
                            </w:pPr>
                            <w:r w:rsidRPr="002924C4">
                              <w:rPr>
                                <w:rFonts w:ascii="標楷體" w:eastAsia="標楷體" w:hAnsi="標楷體" w:hint="eastAsia"/>
                                <w:b/>
                              </w:rPr>
                              <w:t>表</w:t>
                            </w:r>
                            <w:r w:rsidRPr="002924C4">
                              <w:rPr>
                                <w:rFonts w:ascii="標楷體" w:eastAsia="標楷體" w:hAnsi="標楷體"/>
                                <w:b/>
                              </w:rPr>
                              <w:t>5</w:t>
                            </w:r>
                            <w:r>
                              <w:rPr>
                                <w:rFonts w:ascii="標楷體" w:eastAsia="標楷體" w:hAnsi="標楷體" w:hint="eastAsia"/>
                                <w:b/>
                              </w:rPr>
                              <w:t xml:space="preserve">　</w:t>
                            </w:r>
                            <w:r w:rsidRPr="002924C4">
                              <w:rPr>
                                <w:rFonts w:ascii="標楷體" w:eastAsia="標楷體" w:hAnsi="標楷體" w:hint="eastAsia"/>
                                <w:b/>
                              </w:rPr>
                              <w:t>施用毒品兒少被通報情形</w:t>
                            </w:r>
                          </w:p>
                          <w:p w14:paraId="2CE4F721" w14:textId="77777777" w:rsidR="00CE57F9" w:rsidRDefault="00CE57F9" w:rsidP="006E2403">
                            <w:pPr>
                              <w:snapToGrid w:val="0"/>
                              <w:ind w:left="616" w:rightChars="-24" w:right="-58" w:hangingChars="280" w:hanging="616"/>
                              <w:contextualSpacing/>
                              <w:jc w:val="right"/>
                              <w:rPr>
                                <w:kern w:val="0"/>
                                <w:sz w:val="20"/>
                              </w:rPr>
                            </w:pPr>
                            <w:r w:rsidRPr="00A90CFF">
                              <w:rPr>
                                <w:rFonts w:ascii="標楷體" w:eastAsia="標楷體" w:hAnsi="標楷體" w:hint="eastAsia"/>
                                <w:sz w:val="22"/>
                              </w:rPr>
                              <w:t>單位：</w:t>
                            </w:r>
                            <w:r>
                              <w:rPr>
                                <w:rFonts w:ascii="標楷體" w:eastAsia="標楷體" w:hAnsi="標楷體" w:hint="eastAsia"/>
                                <w:sz w:val="22"/>
                              </w:rPr>
                              <w:t>人、％</w:t>
                            </w:r>
                          </w:p>
                          <w:tbl>
                            <w:tblPr>
                              <w:tblW w:w="5529" w:type="dxa"/>
                              <w:tblCellMar>
                                <w:left w:w="28" w:type="dxa"/>
                                <w:right w:w="28" w:type="dxa"/>
                              </w:tblCellMar>
                              <w:tblLook w:val="04A0" w:firstRow="1" w:lastRow="0" w:firstColumn="1" w:lastColumn="0" w:noHBand="0" w:noVBand="1"/>
                            </w:tblPr>
                            <w:tblGrid>
                              <w:gridCol w:w="595"/>
                              <w:gridCol w:w="567"/>
                              <w:gridCol w:w="595"/>
                              <w:gridCol w:w="596"/>
                              <w:gridCol w:w="596"/>
                              <w:gridCol w:w="596"/>
                              <w:gridCol w:w="992"/>
                              <w:gridCol w:w="992"/>
                            </w:tblGrid>
                            <w:tr w:rsidR="00CE57F9" w:rsidRPr="006E3F74" w14:paraId="6233FC8C" w14:textId="77777777" w:rsidTr="00E9787B">
                              <w:trPr>
                                <w:trHeight w:val="324"/>
                              </w:trPr>
                              <w:tc>
                                <w:tcPr>
                                  <w:tcW w:w="59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6E96A94"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年度</w:t>
                                  </w:r>
                                </w:p>
                              </w:tc>
                              <w:tc>
                                <w:tcPr>
                                  <w:tcW w:w="4934" w:type="dxa"/>
                                  <w:gridSpan w:val="7"/>
                                  <w:tcBorders>
                                    <w:top w:val="single" w:sz="4" w:space="0" w:color="auto"/>
                                    <w:left w:val="single" w:sz="4" w:space="0" w:color="auto"/>
                                    <w:right w:val="single" w:sz="4" w:space="0" w:color="auto"/>
                                  </w:tcBorders>
                                  <w:shd w:val="clear" w:color="auto" w:fill="auto"/>
                                  <w:noWrap/>
                                  <w:vAlign w:val="center"/>
                                </w:tcPr>
                                <w:p w14:paraId="23AA9572"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施用毒品兒少被通報人</w:t>
                                  </w:r>
                                  <w:r>
                                    <w:rPr>
                                      <w:rFonts w:ascii="標楷體" w:eastAsia="標楷體" w:hAnsi="標楷體" w:cs="新細明體" w:hint="eastAsia"/>
                                      <w:color w:val="000000"/>
                                      <w:kern w:val="0"/>
                                      <w:sz w:val="20"/>
                                    </w:rPr>
                                    <w:t>（</w:t>
                                  </w:r>
                                  <w:r w:rsidRPr="006E3F74">
                                    <w:rPr>
                                      <w:rFonts w:ascii="標楷體" w:eastAsia="標楷體" w:hAnsi="標楷體" w:cs="新細明體" w:hint="eastAsia"/>
                                      <w:color w:val="000000"/>
                                      <w:kern w:val="0"/>
                                      <w:sz w:val="20"/>
                                    </w:rPr>
                                    <w:t>A</w:t>
                                  </w:r>
                                  <w:r>
                                    <w:rPr>
                                      <w:rFonts w:ascii="標楷體" w:eastAsia="標楷體" w:hAnsi="標楷體" w:cs="新細明體" w:hint="eastAsia"/>
                                      <w:color w:val="000000"/>
                                      <w:kern w:val="0"/>
                                      <w:sz w:val="20"/>
                                    </w:rPr>
                                    <w:t>）</w:t>
                                  </w:r>
                                </w:p>
                              </w:tc>
                            </w:tr>
                            <w:tr w:rsidR="00CE57F9" w:rsidRPr="006E3F74" w14:paraId="647353CB" w14:textId="77777777" w:rsidTr="00E9787B">
                              <w:trPr>
                                <w:trHeight w:val="324"/>
                              </w:trPr>
                              <w:tc>
                                <w:tcPr>
                                  <w:tcW w:w="595"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7F6C614B" w14:textId="77777777" w:rsidR="00CE57F9" w:rsidRPr="006E3F74" w:rsidRDefault="00CE57F9" w:rsidP="00850571">
                                  <w:pPr>
                                    <w:widowControl/>
                                    <w:jc w:val="center"/>
                                    <w:rPr>
                                      <w:rFonts w:ascii="標楷體" w:eastAsia="標楷體" w:hAnsi="標楷體" w:cs="新細明體"/>
                                      <w:color w:val="000000"/>
                                      <w:kern w:val="0"/>
                                      <w:sz w:val="20"/>
                                    </w:rPr>
                                  </w:pPr>
                                </w:p>
                              </w:tc>
                              <w:tc>
                                <w:tcPr>
                                  <w:tcW w:w="567" w:type="dxa"/>
                                  <w:vMerge w:val="restart"/>
                                  <w:tcBorders>
                                    <w:left w:val="single" w:sz="4" w:space="0" w:color="auto"/>
                                    <w:right w:val="single" w:sz="4" w:space="0" w:color="auto"/>
                                  </w:tcBorders>
                                  <w:shd w:val="clear" w:color="auto" w:fill="auto"/>
                                  <w:noWrap/>
                                  <w:vAlign w:val="center"/>
                                </w:tcPr>
                                <w:p w14:paraId="7BDD83A9" w14:textId="77777777" w:rsidR="00CE57F9" w:rsidRPr="006E3F74" w:rsidRDefault="00CE57F9" w:rsidP="00850571">
                                  <w:pPr>
                                    <w:widowControl/>
                                    <w:jc w:val="right"/>
                                    <w:rPr>
                                      <w:rFonts w:ascii="標楷體" w:eastAsia="標楷體" w:hAnsi="標楷體" w:cs="新細明體"/>
                                      <w:color w:val="000000"/>
                                      <w:kern w:val="0"/>
                                      <w:sz w:val="20"/>
                                    </w:rPr>
                                  </w:pPr>
                                </w:p>
                              </w:tc>
                              <w:tc>
                                <w:tcPr>
                                  <w:tcW w:w="1191" w:type="dxa"/>
                                  <w:gridSpan w:val="2"/>
                                  <w:tcBorders>
                                    <w:top w:val="single" w:sz="4" w:space="0" w:color="auto"/>
                                    <w:left w:val="nil"/>
                                    <w:bottom w:val="single" w:sz="4" w:space="0" w:color="auto"/>
                                    <w:right w:val="single" w:sz="4" w:space="0" w:color="auto"/>
                                  </w:tcBorders>
                                  <w:shd w:val="clear" w:color="auto" w:fill="auto"/>
                                  <w:vAlign w:val="center"/>
                                </w:tcPr>
                                <w:p w14:paraId="7C10EFB0"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在學</w:t>
                                  </w:r>
                                </w:p>
                              </w:tc>
                              <w:tc>
                                <w:tcPr>
                                  <w:tcW w:w="1192" w:type="dxa"/>
                                  <w:gridSpan w:val="2"/>
                                  <w:tcBorders>
                                    <w:top w:val="single" w:sz="4" w:space="0" w:color="auto"/>
                                    <w:left w:val="nil"/>
                                    <w:bottom w:val="single" w:sz="4" w:space="0" w:color="auto"/>
                                    <w:right w:val="double" w:sz="4" w:space="0" w:color="auto"/>
                                  </w:tcBorders>
                                  <w:shd w:val="clear" w:color="auto" w:fill="auto"/>
                                  <w:vAlign w:val="center"/>
                                </w:tcPr>
                                <w:p w14:paraId="30C83889"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非在學</w:t>
                                  </w:r>
                                </w:p>
                              </w:tc>
                              <w:tc>
                                <w:tcPr>
                                  <w:tcW w:w="992" w:type="dxa"/>
                                  <w:vMerge w:val="restart"/>
                                  <w:tcBorders>
                                    <w:top w:val="single" w:sz="4" w:space="0" w:color="auto"/>
                                    <w:left w:val="double" w:sz="4" w:space="0" w:color="auto"/>
                                    <w:right w:val="single" w:sz="4" w:space="0" w:color="auto"/>
                                  </w:tcBorders>
                                  <w:shd w:val="clear" w:color="auto" w:fill="auto"/>
                                  <w:noWrap/>
                                  <w:vAlign w:val="center"/>
                                </w:tcPr>
                                <w:p w14:paraId="0C2DB484" w14:textId="77777777" w:rsidR="00CE57F9" w:rsidRPr="006E3F74" w:rsidRDefault="00CE57F9" w:rsidP="00860D54">
                                  <w:pPr>
                                    <w:widowControl/>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屬脆弱家庭人數（</w:t>
                                  </w:r>
                                  <w:r>
                                    <w:rPr>
                                      <w:rFonts w:ascii="標楷體" w:eastAsia="標楷體" w:hAnsi="標楷體" w:cs="新細明體" w:hint="eastAsia"/>
                                      <w:color w:val="000000"/>
                                      <w:kern w:val="0"/>
                                      <w:sz w:val="20"/>
                                    </w:rPr>
                                    <w:t>B</w:t>
                                  </w:r>
                                  <w:r w:rsidRPr="006E3F74">
                                    <w:rPr>
                                      <w:rFonts w:ascii="標楷體" w:eastAsia="標楷體" w:hAnsi="標楷體" w:cs="新細明體" w:hint="eastAsia"/>
                                      <w:color w:val="000000"/>
                                      <w:kern w:val="0"/>
                                      <w:sz w:val="20"/>
                                    </w:rPr>
                                    <w:t>）</w:t>
                                  </w:r>
                                </w:p>
                              </w:tc>
                              <w:tc>
                                <w:tcPr>
                                  <w:tcW w:w="992" w:type="dxa"/>
                                  <w:vMerge w:val="restart"/>
                                  <w:tcBorders>
                                    <w:top w:val="single" w:sz="4" w:space="0" w:color="auto"/>
                                    <w:left w:val="nil"/>
                                    <w:right w:val="single" w:sz="4" w:space="0" w:color="auto"/>
                                  </w:tcBorders>
                                  <w:shd w:val="clear" w:color="auto" w:fill="auto"/>
                                  <w:noWrap/>
                                  <w:vAlign w:val="center"/>
                                </w:tcPr>
                                <w:p w14:paraId="5072F023"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占比</w:t>
                                  </w:r>
                                  <w:r>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B</w:t>
                                  </w:r>
                                  <w:r>
                                    <w:rPr>
                                      <w:rFonts w:ascii="標楷體" w:eastAsia="標楷體" w:hAnsi="標楷體" w:cs="新細明體" w:hint="eastAsia"/>
                                      <w:color w:val="000000"/>
                                      <w:kern w:val="0"/>
                                      <w:sz w:val="20"/>
                                    </w:rPr>
                                    <w:t>/A</w:t>
                                  </w:r>
                                  <w:r w:rsidRPr="00601FE1">
                                    <w:rPr>
                                      <w:rFonts w:ascii="標楷體" w:eastAsia="標楷體" w:hAnsi="標楷體" w:cs="標楷體" w:hint="eastAsia"/>
                                      <w:color w:val="000000"/>
                                      <w:sz w:val="20"/>
                                    </w:rPr>
                                    <w:t>×</w:t>
                                  </w:r>
                                  <w:r w:rsidRPr="006E3F74">
                                    <w:rPr>
                                      <w:rFonts w:ascii="標楷體" w:eastAsia="標楷體" w:hAnsi="標楷體" w:cs="新細明體" w:hint="eastAsia"/>
                                      <w:color w:val="000000"/>
                                      <w:kern w:val="0"/>
                                      <w:sz w:val="20"/>
                                    </w:rPr>
                                    <w:t>100</w:t>
                                  </w:r>
                                  <w:r>
                                    <w:rPr>
                                      <w:rFonts w:ascii="標楷體" w:eastAsia="標楷體" w:hAnsi="標楷體" w:cs="新細明體" w:hint="eastAsia"/>
                                      <w:color w:val="000000"/>
                                      <w:kern w:val="0"/>
                                      <w:sz w:val="20"/>
                                    </w:rPr>
                                    <w:t>）</w:t>
                                  </w:r>
                                </w:p>
                              </w:tc>
                            </w:tr>
                            <w:tr w:rsidR="00CE57F9" w:rsidRPr="006E3F74" w14:paraId="56E0E152" w14:textId="77777777" w:rsidTr="00E9787B">
                              <w:trPr>
                                <w:trHeight w:val="324"/>
                              </w:trPr>
                              <w:tc>
                                <w:tcPr>
                                  <w:tcW w:w="595"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626DDC" w14:textId="77777777" w:rsidR="00CE57F9" w:rsidRPr="006E3F74" w:rsidRDefault="00CE57F9" w:rsidP="00850571">
                                  <w:pPr>
                                    <w:widowControl/>
                                    <w:jc w:val="center"/>
                                    <w:rPr>
                                      <w:rFonts w:ascii="標楷體" w:eastAsia="標楷體" w:hAnsi="標楷體" w:cs="新細明體"/>
                                      <w:color w:val="000000"/>
                                      <w:kern w:val="0"/>
                                      <w:sz w:val="20"/>
                                    </w:rPr>
                                  </w:pPr>
                                </w:p>
                              </w:tc>
                              <w:tc>
                                <w:tcPr>
                                  <w:tcW w:w="567" w:type="dxa"/>
                                  <w:vMerge/>
                                  <w:tcBorders>
                                    <w:left w:val="single" w:sz="4" w:space="0" w:color="auto"/>
                                    <w:bottom w:val="single" w:sz="4" w:space="0" w:color="auto"/>
                                    <w:right w:val="single" w:sz="4" w:space="0" w:color="auto"/>
                                  </w:tcBorders>
                                  <w:shd w:val="clear" w:color="auto" w:fill="auto"/>
                                  <w:noWrap/>
                                  <w:vAlign w:val="center"/>
                                </w:tcPr>
                                <w:p w14:paraId="561D65F7" w14:textId="77777777" w:rsidR="00CE57F9" w:rsidRPr="006E3F74" w:rsidRDefault="00CE57F9" w:rsidP="00850571">
                                  <w:pPr>
                                    <w:widowControl/>
                                    <w:jc w:val="right"/>
                                    <w:rPr>
                                      <w:rFonts w:ascii="標楷體" w:eastAsia="標楷體" w:hAnsi="標楷體" w:cs="新細明體"/>
                                      <w:color w:val="000000"/>
                                      <w:kern w:val="0"/>
                                      <w:sz w:val="20"/>
                                    </w:rPr>
                                  </w:pPr>
                                </w:p>
                              </w:tc>
                              <w:tc>
                                <w:tcPr>
                                  <w:tcW w:w="595" w:type="dxa"/>
                                  <w:tcBorders>
                                    <w:top w:val="nil"/>
                                    <w:left w:val="nil"/>
                                    <w:bottom w:val="single" w:sz="4" w:space="0" w:color="auto"/>
                                    <w:right w:val="single" w:sz="4" w:space="0" w:color="auto"/>
                                  </w:tcBorders>
                                  <w:shd w:val="clear" w:color="auto" w:fill="auto"/>
                                  <w:vAlign w:val="center"/>
                                </w:tcPr>
                                <w:p w14:paraId="40DD94CA"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人數</w:t>
                                  </w:r>
                                </w:p>
                              </w:tc>
                              <w:tc>
                                <w:tcPr>
                                  <w:tcW w:w="596" w:type="dxa"/>
                                  <w:tcBorders>
                                    <w:top w:val="nil"/>
                                    <w:left w:val="nil"/>
                                    <w:bottom w:val="single" w:sz="4" w:space="0" w:color="auto"/>
                                    <w:right w:val="single" w:sz="4" w:space="0" w:color="auto"/>
                                  </w:tcBorders>
                                  <w:shd w:val="clear" w:color="auto" w:fill="auto"/>
                                  <w:vAlign w:val="center"/>
                                </w:tcPr>
                                <w:p w14:paraId="0FA1DDFB"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占比</w:t>
                                  </w:r>
                                </w:p>
                              </w:tc>
                              <w:tc>
                                <w:tcPr>
                                  <w:tcW w:w="596" w:type="dxa"/>
                                  <w:tcBorders>
                                    <w:top w:val="nil"/>
                                    <w:left w:val="nil"/>
                                    <w:bottom w:val="single" w:sz="4" w:space="0" w:color="auto"/>
                                    <w:right w:val="single" w:sz="4" w:space="0" w:color="auto"/>
                                  </w:tcBorders>
                                  <w:shd w:val="clear" w:color="auto" w:fill="auto"/>
                                  <w:vAlign w:val="center"/>
                                </w:tcPr>
                                <w:p w14:paraId="4FCD9C6E"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人數</w:t>
                                  </w:r>
                                </w:p>
                              </w:tc>
                              <w:tc>
                                <w:tcPr>
                                  <w:tcW w:w="596" w:type="dxa"/>
                                  <w:tcBorders>
                                    <w:top w:val="nil"/>
                                    <w:left w:val="nil"/>
                                    <w:bottom w:val="single" w:sz="4" w:space="0" w:color="auto"/>
                                    <w:right w:val="double" w:sz="4" w:space="0" w:color="auto"/>
                                  </w:tcBorders>
                                  <w:shd w:val="clear" w:color="auto" w:fill="auto"/>
                                  <w:vAlign w:val="center"/>
                                </w:tcPr>
                                <w:p w14:paraId="1DF71549"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占比</w:t>
                                  </w:r>
                                </w:p>
                              </w:tc>
                              <w:tc>
                                <w:tcPr>
                                  <w:tcW w:w="992" w:type="dxa"/>
                                  <w:vMerge/>
                                  <w:tcBorders>
                                    <w:top w:val="single" w:sz="4" w:space="0" w:color="auto"/>
                                    <w:left w:val="double" w:sz="4" w:space="0" w:color="auto"/>
                                    <w:bottom w:val="single" w:sz="4" w:space="0" w:color="auto"/>
                                    <w:right w:val="single" w:sz="4" w:space="0" w:color="auto"/>
                                  </w:tcBorders>
                                  <w:shd w:val="clear" w:color="auto" w:fill="auto"/>
                                  <w:noWrap/>
                                  <w:vAlign w:val="center"/>
                                </w:tcPr>
                                <w:p w14:paraId="2AF84585" w14:textId="77777777" w:rsidR="00CE57F9" w:rsidRPr="006E3F74" w:rsidRDefault="00CE57F9" w:rsidP="00850571">
                                  <w:pPr>
                                    <w:widowControl/>
                                    <w:rPr>
                                      <w:rFonts w:ascii="標楷體" w:eastAsia="標楷體" w:hAnsi="標楷體" w:cs="新細明體"/>
                                      <w:color w:val="000000"/>
                                      <w:kern w:val="0"/>
                                      <w:sz w:val="20"/>
                                    </w:rPr>
                                  </w:pPr>
                                </w:p>
                              </w:tc>
                              <w:tc>
                                <w:tcPr>
                                  <w:tcW w:w="992" w:type="dxa"/>
                                  <w:vMerge/>
                                  <w:tcBorders>
                                    <w:top w:val="single" w:sz="4" w:space="0" w:color="auto"/>
                                    <w:left w:val="nil"/>
                                    <w:bottom w:val="single" w:sz="4" w:space="0" w:color="auto"/>
                                    <w:right w:val="single" w:sz="4" w:space="0" w:color="auto"/>
                                  </w:tcBorders>
                                  <w:shd w:val="clear" w:color="auto" w:fill="auto"/>
                                  <w:noWrap/>
                                  <w:vAlign w:val="center"/>
                                </w:tcPr>
                                <w:p w14:paraId="118FDB68" w14:textId="77777777" w:rsidR="00CE57F9" w:rsidRPr="006E3F74" w:rsidRDefault="00CE57F9" w:rsidP="00850571">
                                  <w:pPr>
                                    <w:widowControl/>
                                    <w:rPr>
                                      <w:rFonts w:ascii="標楷體" w:eastAsia="標楷體" w:hAnsi="標楷體" w:cs="新細明體"/>
                                      <w:color w:val="000000"/>
                                      <w:kern w:val="0"/>
                                      <w:sz w:val="20"/>
                                    </w:rPr>
                                  </w:pPr>
                                </w:p>
                              </w:tc>
                            </w:tr>
                            <w:tr w:rsidR="00CE57F9" w:rsidRPr="006E3F74" w14:paraId="705B0D4D" w14:textId="77777777" w:rsidTr="00E9787B">
                              <w:trPr>
                                <w:trHeight w:val="324"/>
                              </w:trPr>
                              <w:tc>
                                <w:tcPr>
                                  <w:tcW w:w="5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30FE01"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109</w:t>
                                  </w:r>
                                </w:p>
                              </w:tc>
                              <w:tc>
                                <w:tcPr>
                                  <w:tcW w:w="567" w:type="dxa"/>
                                  <w:tcBorders>
                                    <w:top w:val="nil"/>
                                    <w:left w:val="nil"/>
                                    <w:bottom w:val="single" w:sz="4" w:space="0" w:color="auto"/>
                                    <w:right w:val="single" w:sz="4" w:space="0" w:color="auto"/>
                                  </w:tcBorders>
                                  <w:shd w:val="clear" w:color="auto" w:fill="auto"/>
                                  <w:noWrap/>
                                  <w:vAlign w:val="center"/>
                                  <w:hideMark/>
                                </w:tcPr>
                                <w:p w14:paraId="4E8D1F77"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891</w:t>
                                  </w:r>
                                </w:p>
                              </w:tc>
                              <w:tc>
                                <w:tcPr>
                                  <w:tcW w:w="595" w:type="dxa"/>
                                  <w:tcBorders>
                                    <w:top w:val="nil"/>
                                    <w:left w:val="nil"/>
                                    <w:bottom w:val="single" w:sz="4" w:space="0" w:color="auto"/>
                                    <w:right w:val="single" w:sz="4" w:space="0" w:color="auto"/>
                                  </w:tcBorders>
                                  <w:shd w:val="clear" w:color="auto" w:fill="auto"/>
                                  <w:vAlign w:val="center"/>
                                  <w:hideMark/>
                                </w:tcPr>
                                <w:p w14:paraId="16FCED6D"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377</w:t>
                                  </w:r>
                                </w:p>
                              </w:tc>
                              <w:tc>
                                <w:tcPr>
                                  <w:tcW w:w="596" w:type="dxa"/>
                                  <w:tcBorders>
                                    <w:top w:val="nil"/>
                                    <w:left w:val="nil"/>
                                    <w:bottom w:val="single" w:sz="4" w:space="0" w:color="auto"/>
                                    <w:right w:val="single" w:sz="4" w:space="0" w:color="auto"/>
                                  </w:tcBorders>
                                  <w:shd w:val="clear" w:color="auto" w:fill="auto"/>
                                  <w:vAlign w:val="center"/>
                                  <w:hideMark/>
                                </w:tcPr>
                                <w:p w14:paraId="002D363C"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 xml:space="preserve">42.31 </w:t>
                                  </w:r>
                                </w:p>
                              </w:tc>
                              <w:tc>
                                <w:tcPr>
                                  <w:tcW w:w="596" w:type="dxa"/>
                                  <w:tcBorders>
                                    <w:top w:val="nil"/>
                                    <w:left w:val="nil"/>
                                    <w:bottom w:val="single" w:sz="4" w:space="0" w:color="auto"/>
                                    <w:right w:val="single" w:sz="4" w:space="0" w:color="auto"/>
                                  </w:tcBorders>
                                  <w:shd w:val="clear" w:color="auto" w:fill="auto"/>
                                  <w:vAlign w:val="center"/>
                                  <w:hideMark/>
                                </w:tcPr>
                                <w:p w14:paraId="618641C9"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514</w:t>
                                  </w:r>
                                </w:p>
                              </w:tc>
                              <w:tc>
                                <w:tcPr>
                                  <w:tcW w:w="596" w:type="dxa"/>
                                  <w:tcBorders>
                                    <w:top w:val="nil"/>
                                    <w:left w:val="nil"/>
                                    <w:bottom w:val="single" w:sz="4" w:space="0" w:color="auto"/>
                                    <w:right w:val="double" w:sz="4" w:space="0" w:color="auto"/>
                                  </w:tcBorders>
                                  <w:shd w:val="clear" w:color="auto" w:fill="auto"/>
                                  <w:vAlign w:val="center"/>
                                  <w:hideMark/>
                                </w:tcPr>
                                <w:p w14:paraId="76969961"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 xml:space="preserve">57.69 </w:t>
                                  </w:r>
                                </w:p>
                              </w:tc>
                              <w:tc>
                                <w:tcPr>
                                  <w:tcW w:w="992"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0A8712E8"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217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AECFAB6"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 xml:space="preserve">24.35 </w:t>
                                  </w:r>
                                </w:p>
                              </w:tc>
                            </w:tr>
                            <w:tr w:rsidR="00CE57F9" w:rsidRPr="006E3F74" w14:paraId="5D25559E" w14:textId="77777777" w:rsidTr="00E9787B">
                              <w:trPr>
                                <w:trHeight w:val="324"/>
                              </w:trPr>
                              <w:tc>
                                <w:tcPr>
                                  <w:tcW w:w="595" w:type="dxa"/>
                                  <w:tcBorders>
                                    <w:top w:val="nil"/>
                                    <w:left w:val="single" w:sz="4" w:space="0" w:color="auto"/>
                                    <w:bottom w:val="single" w:sz="4" w:space="0" w:color="auto"/>
                                    <w:right w:val="single" w:sz="4" w:space="0" w:color="auto"/>
                                  </w:tcBorders>
                                  <w:shd w:val="clear" w:color="auto" w:fill="auto"/>
                                  <w:noWrap/>
                                  <w:vAlign w:val="center"/>
                                  <w:hideMark/>
                                </w:tcPr>
                                <w:p w14:paraId="701A4678"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110</w:t>
                                  </w:r>
                                </w:p>
                              </w:tc>
                              <w:tc>
                                <w:tcPr>
                                  <w:tcW w:w="567" w:type="dxa"/>
                                  <w:tcBorders>
                                    <w:top w:val="nil"/>
                                    <w:left w:val="nil"/>
                                    <w:bottom w:val="single" w:sz="4" w:space="0" w:color="auto"/>
                                    <w:right w:val="single" w:sz="4" w:space="0" w:color="auto"/>
                                  </w:tcBorders>
                                  <w:shd w:val="clear" w:color="auto" w:fill="auto"/>
                                  <w:noWrap/>
                                  <w:vAlign w:val="center"/>
                                  <w:hideMark/>
                                </w:tcPr>
                                <w:p w14:paraId="3B0E6168"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729</w:t>
                                  </w:r>
                                </w:p>
                              </w:tc>
                              <w:tc>
                                <w:tcPr>
                                  <w:tcW w:w="595" w:type="dxa"/>
                                  <w:tcBorders>
                                    <w:top w:val="nil"/>
                                    <w:left w:val="nil"/>
                                    <w:bottom w:val="single" w:sz="4" w:space="0" w:color="auto"/>
                                    <w:right w:val="single" w:sz="4" w:space="0" w:color="auto"/>
                                  </w:tcBorders>
                                  <w:shd w:val="clear" w:color="auto" w:fill="auto"/>
                                  <w:vAlign w:val="center"/>
                                  <w:hideMark/>
                                </w:tcPr>
                                <w:p w14:paraId="31BB9758"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311</w:t>
                                  </w:r>
                                </w:p>
                              </w:tc>
                              <w:tc>
                                <w:tcPr>
                                  <w:tcW w:w="596" w:type="dxa"/>
                                  <w:tcBorders>
                                    <w:top w:val="nil"/>
                                    <w:left w:val="nil"/>
                                    <w:bottom w:val="single" w:sz="4" w:space="0" w:color="auto"/>
                                    <w:right w:val="single" w:sz="4" w:space="0" w:color="auto"/>
                                  </w:tcBorders>
                                  <w:shd w:val="clear" w:color="auto" w:fill="auto"/>
                                  <w:vAlign w:val="center"/>
                                  <w:hideMark/>
                                </w:tcPr>
                                <w:p w14:paraId="04A9C62B"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 xml:space="preserve">42.66 </w:t>
                                  </w:r>
                                </w:p>
                              </w:tc>
                              <w:tc>
                                <w:tcPr>
                                  <w:tcW w:w="596" w:type="dxa"/>
                                  <w:tcBorders>
                                    <w:top w:val="nil"/>
                                    <w:left w:val="nil"/>
                                    <w:bottom w:val="single" w:sz="4" w:space="0" w:color="auto"/>
                                    <w:right w:val="single" w:sz="4" w:space="0" w:color="auto"/>
                                  </w:tcBorders>
                                  <w:shd w:val="clear" w:color="auto" w:fill="auto"/>
                                  <w:vAlign w:val="center"/>
                                  <w:hideMark/>
                                </w:tcPr>
                                <w:p w14:paraId="0023FFC5"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418</w:t>
                                  </w:r>
                                </w:p>
                              </w:tc>
                              <w:tc>
                                <w:tcPr>
                                  <w:tcW w:w="596" w:type="dxa"/>
                                  <w:tcBorders>
                                    <w:top w:val="nil"/>
                                    <w:left w:val="nil"/>
                                    <w:bottom w:val="single" w:sz="4" w:space="0" w:color="auto"/>
                                    <w:right w:val="double" w:sz="4" w:space="0" w:color="auto"/>
                                  </w:tcBorders>
                                  <w:shd w:val="clear" w:color="auto" w:fill="auto"/>
                                  <w:vAlign w:val="center"/>
                                  <w:hideMark/>
                                </w:tcPr>
                                <w:p w14:paraId="0017D920"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 xml:space="preserve">57.34 </w:t>
                                  </w:r>
                                </w:p>
                              </w:tc>
                              <w:tc>
                                <w:tcPr>
                                  <w:tcW w:w="992"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2DF148B7"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242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C7F5D27"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 xml:space="preserve">33.20 </w:t>
                                  </w:r>
                                </w:p>
                              </w:tc>
                            </w:tr>
                            <w:tr w:rsidR="00CE57F9" w:rsidRPr="006E3F74" w14:paraId="5112E67D" w14:textId="77777777" w:rsidTr="00E9787B">
                              <w:trPr>
                                <w:trHeight w:val="324"/>
                              </w:trPr>
                              <w:tc>
                                <w:tcPr>
                                  <w:tcW w:w="595" w:type="dxa"/>
                                  <w:tcBorders>
                                    <w:top w:val="nil"/>
                                    <w:left w:val="single" w:sz="4" w:space="0" w:color="auto"/>
                                    <w:bottom w:val="single" w:sz="4" w:space="0" w:color="auto"/>
                                    <w:right w:val="single" w:sz="4" w:space="0" w:color="auto"/>
                                  </w:tcBorders>
                                  <w:shd w:val="clear" w:color="auto" w:fill="auto"/>
                                  <w:noWrap/>
                                  <w:vAlign w:val="center"/>
                                  <w:hideMark/>
                                </w:tcPr>
                                <w:p w14:paraId="7C526DEE"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111</w:t>
                                  </w:r>
                                </w:p>
                              </w:tc>
                              <w:tc>
                                <w:tcPr>
                                  <w:tcW w:w="567" w:type="dxa"/>
                                  <w:tcBorders>
                                    <w:top w:val="nil"/>
                                    <w:left w:val="nil"/>
                                    <w:bottom w:val="single" w:sz="4" w:space="0" w:color="auto"/>
                                    <w:right w:val="single" w:sz="4" w:space="0" w:color="auto"/>
                                  </w:tcBorders>
                                  <w:shd w:val="clear" w:color="auto" w:fill="auto"/>
                                  <w:noWrap/>
                                  <w:vAlign w:val="center"/>
                                  <w:hideMark/>
                                </w:tcPr>
                                <w:p w14:paraId="01503402"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630</w:t>
                                  </w:r>
                                </w:p>
                              </w:tc>
                              <w:tc>
                                <w:tcPr>
                                  <w:tcW w:w="595" w:type="dxa"/>
                                  <w:tcBorders>
                                    <w:top w:val="nil"/>
                                    <w:left w:val="nil"/>
                                    <w:bottom w:val="single" w:sz="4" w:space="0" w:color="auto"/>
                                    <w:right w:val="single" w:sz="4" w:space="0" w:color="auto"/>
                                  </w:tcBorders>
                                  <w:shd w:val="clear" w:color="auto" w:fill="auto"/>
                                  <w:vAlign w:val="center"/>
                                  <w:hideMark/>
                                </w:tcPr>
                                <w:p w14:paraId="7CE7DD9B"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257</w:t>
                                  </w:r>
                                </w:p>
                              </w:tc>
                              <w:tc>
                                <w:tcPr>
                                  <w:tcW w:w="596" w:type="dxa"/>
                                  <w:tcBorders>
                                    <w:top w:val="nil"/>
                                    <w:left w:val="nil"/>
                                    <w:bottom w:val="single" w:sz="4" w:space="0" w:color="auto"/>
                                    <w:right w:val="single" w:sz="4" w:space="0" w:color="auto"/>
                                  </w:tcBorders>
                                  <w:shd w:val="clear" w:color="auto" w:fill="auto"/>
                                  <w:vAlign w:val="center"/>
                                  <w:hideMark/>
                                </w:tcPr>
                                <w:p w14:paraId="662D7BF1"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 xml:space="preserve">40.79 </w:t>
                                  </w:r>
                                </w:p>
                              </w:tc>
                              <w:tc>
                                <w:tcPr>
                                  <w:tcW w:w="596" w:type="dxa"/>
                                  <w:tcBorders>
                                    <w:top w:val="nil"/>
                                    <w:left w:val="nil"/>
                                    <w:bottom w:val="single" w:sz="4" w:space="0" w:color="auto"/>
                                    <w:right w:val="single" w:sz="4" w:space="0" w:color="auto"/>
                                  </w:tcBorders>
                                  <w:shd w:val="clear" w:color="auto" w:fill="auto"/>
                                  <w:vAlign w:val="center"/>
                                  <w:hideMark/>
                                </w:tcPr>
                                <w:p w14:paraId="79F8C2DC"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373</w:t>
                                  </w:r>
                                </w:p>
                              </w:tc>
                              <w:tc>
                                <w:tcPr>
                                  <w:tcW w:w="596" w:type="dxa"/>
                                  <w:tcBorders>
                                    <w:top w:val="nil"/>
                                    <w:left w:val="nil"/>
                                    <w:bottom w:val="single" w:sz="4" w:space="0" w:color="auto"/>
                                    <w:right w:val="double" w:sz="4" w:space="0" w:color="auto"/>
                                  </w:tcBorders>
                                  <w:shd w:val="clear" w:color="auto" w:fill="auto"/>
                                  <w:vAlign w:val="center"/>
                                  <w:hideMark/>
                                </w:tcPr>
                                <w:p w14:paraId="57586ADB"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 xml:space="preserve">59.21 </w:t>
                                  </w:r>
                                </w:p>
                              </w:tc>
                              <w:tc>
                                <w:tcPr>
                                  <w:tcW w:w="992"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760833FD"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212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3BF6859"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 xml:space="preserve">33.65 </w:t>
                                  </w:r>
                                </w:p>
                              </w:tc>
                            </w:tr>
                          </w:tbl>
                          <w:p w14:paraId="5D21202D" w14:textId="77777777" w:rsidR="00CE57F9" w:rsidRPr="00A018A0" w:rsidRDefault="00CE57F9" w:rsidP="00DA2751">
                            <w:pPr>
                              <w:snapToGrid w:val="0"/>
                              <w:ind w:left="540" w:rightChars="-52" w:right="-125" w:hangingChars="300" w:hanging="540"/>
                              <w:contextualSpacing/>
                              <w:jc w:val="both"/>
                              <w:rPr>
                                <w:rFonts w:ascii="標楷體" w:eastAsia="標楷體" w:hAnsi="標楷體"/>
                                <w:sz w:val="18"/>
                              </w:rPr>
                            </w:pPr>
                            <w:r w:rsidRPr="00A018A0">
                              <w:rPr>
                                <w:rFonts w:ascii="標楷體" w:eastAsia="標楷體" w:hAnsi="標楷體" w:hint="eastAsia"/>
                                <w:sz w:val="18"/>
                              </w:rPr>
                              <w:t>註：</w:t>
                            </w:r>
                            <w:r w:rsidRPr="00A90CFF">
                              <w:rPr>
                                <w:rFonts w:ascii="標楷體" w:eastAsia="標楷體" w:hAnsi="標楷體" w:hint="eastAsia"/>
                                <w:sz w:val="18"/>
                              </w:rPr>
                              <w:t>整理自</w:t>
                            </w:r>
                            <w:r w:rsidRPr="00EA58B2">
                              <w:rPr>
                                <w:rFonts w:ascii="標楷體" w:eastAsia="標楷體" w:hAnsi="標楷體" w:hint="eastAsia"/>
                                <w:sz w:val="18"/>
                              </w:rPr>
                              <w:t>衛</w:t>
                            </w:r>
                            <w:r>
                              <w:rPr>
                                <w:rFonts w:ascii="標楷體" w:eastAsia="標楷體" w:hAnsi="標楷體" w:hint="eastAsia"/>
                                <w:sz w:val="18"/>
                              </w:rPr>
                              <w:t>生</w:t>
                            </w:r>
                            <w:r w:rsidRPr="00EA58B2">
                              <w:rPr>
                                <w:rFonts w:ascii="標楷體" w:eastAsia="標楷體" w:hAnsi="標楷體" w:hint="eastAsia"/>
                                <w:sz w:val="18"/>
                              </w:rPr>
                              <w:t>福</w:t>
                            </w:r>
                            <w:r>
                              <w:rPr>
                                <w:rFonts w:ascii="標楷體" w:eastAsia="標楷體" w:hAnsi="標楷體" w:hint="eastAsia"/>
                                <w:sz w:val="18"/>
                              </w:rPr>
                              <w:t>利</w:t>
                            </w:r>
                            <w:r w:rsidRPr="00EA58B2">
                              <w:rPr>
                                <w:rFonts w:ascii="標楷體" w:eastAsia="標楷體" w:hAnsi="標楷體" w:hint="eastAsia"/>
                                <w:sz w:val="18"/>
                              </w:rPr>
                              <w:t>部</w:t>
                            </w:r>
                            <w:r w:rsidRPr="00A90CFF">
                              <w:rPr>
                                <w:rFonts w:ascii="標楷體" w:eastAsia="標楷體" w:hAnsi="標楷體" w:hint="eastAsia"/>
                                <w:sz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58849B" id="文字方塊 42" o:spid="_x0000_s1033" type="#_x0000_t202" style="position:absolute;left:0;text-align:left;margin-left:206.95pt;margin-top:269.35pt;width:287.7pt;height:151.65pt;z-index:2516659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" stroked="f">
                <v:textbox>
                  <w:txbxContent>
                    <w:p w14:paraId="113EAFA5" w14:textId="77777777" w:rsidR="00CE57F9" w:rsidRPr="002924C4" w:rsidRDefault="00CE57F9" w:rsidP="006E2403">
                      <w:pPr>
                        <w:snapToGrid w:val="0"/>
                        <w:ind w:left="673" w:hangingChars="280" w:hanging="673"/>
                        <w:contextualSpacing/>
                        <w:jc w:val="center"/>
                        <w:rPr>
                          <w:rFonts w:ascii="標楷體" w:eastAsia="標楷體" w:hAnsi="標楷體"/>
                          <w:b/>
                        </w:rPr>
                      </w:pPr>
                      <w:r w:rsidRPr="002924C4">
                        <w:rPr>
                          <w:rFonts w:ascii="標楷體" w:eastAsia="標楷體" w:hAnsi="標楷體" w:hint="eastAsia"/>
                          <w:b/>
                        </w:rPr>
                        <w:t>表</w:t>
                      </w:r>
                      <w:r w:rsidRPr="002924C4">
                        <w:rPr>
                          <w:rFonts w:ascii="標楷體" w:eastAsia="標楷體" w:hAnsi="標楷體"/>
                          <w:b/>
                        </w:rPr>
                        <w:t>5</w:t>
                      </w:r>
                      <w:r>
                        <w:rPr>
                          <w:rFonts w:ascii="標楷體" w:eastAsia="標楷體" w:hAnsi="標楷體" w:hint="eastAsia"/>
                          <w:b/>
                        </w:rPr>
                        <w:t xml:space="preserve">　</w:t>
                      </w:r>
                      <w:r w:rsidRPr="002924C4">
                        <w:rPr>
                          <w:rFonts w:ascii="標楷體" w:eastAsia="標楷體" w:hAnsi="標楷體" w:hint="eastAsia"/>
                          <w:b/>
                        </w:rPr>
                        <w:t>施用毒品兒少被通報情形</w:t>
                      </w:r>
                    </w:p>
                    <w:p w14:paraId="2CE4F721" w14:textId="77777777" w:rsidR="00CE57F9" w:rsidRDefault="00CE57F9" w:rsidP="006E2403">
                      <w:pPr>
                        <w:snapToGrid w:val="0"/>
                        <w:ind w:left="616" w:rightChars="-24" w:right="-58" w:hangingChars="280" w:hanging="616"/>
                        <w:contextualSpacing/>
                        <w:jc w:val="right"/>
                        <w:rPr>
                          <w:kern w:val="0"/>
                          <w:sz w:val="20"/>
                        </w:rPr>
                      </w:pPr>
                      <w:r w:rsidRPr="00A90CFF">
                        <w:rPr>
                          <w:rFonts w:ascii="標楷體" w:eastAsia="標楷體" w:hAnsi="標楷體" w:hint="eastAsia"/>
                          <w:sz w:val="22"/>
                        </w:rPr>
                        <w:t>單位：</w:t>
                      </w:r>
                      <w:r>
                        <w:rPr>
                          <w:rFonts w:ascii="標楷體" w:eastAsia="標楷體" w:hAnsi="標楷體" w:hint="eastAsia"/>
                          <w:sz w:val="22"/>
                        </w:rPr>
                        <w:t>人、％</w:t>
                      </w:r>
                    </w:p>
                    <w:tbl>
                      <w:tblPr>
                        <w:tblW w:w="5529" w:type="dxa"/>
                        <w:tblCellMar>
                          <w:left w:w="28" w:type="dxa"/>
                          <w:right w:w="28" w:type="dxa"/>
                        </w:tblCellMar>
                        <w:tblLook w:val="04A0" w:firstRow="1" w:lastRow="0" w:firstColumn="1" w:lastColumn="0" w:noHBand="0" w:noVBand="1"/>
                      </w:tblPr>
                      <w:tblGrid>
                        <w:gridCol w:w="595"/>
                        <w:gridCol w:w="567"/>
                        <w:gridCol w:w="595"/>
                        <w:gridCol w:w="596"/>
                        <w:gridCol w:w="596"/>
                        <w:gridCol w:w="596"/>
                        <w:gridCol w:w="992"/>
                        <w:gridCol w:w="992"/>
                      </w:tblGrid>
                      <w:tr w:rsidR="00CE57F9" w:rsidRPr="006E3F74" w14:paraId="6233FC8C" w14:textId="77777777" w:rsidTr="00E9787B">
                        <w:trPr>
                          <w:trHeight w:val="324"/>
                        </w:trPr>
                        <w:tc>
                          <w:tcPr>
                            <w:tcW w:w="59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6E96A94"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年度</w:t>
                            </w:r>
                          </w:p>
                        </w:tc>
                        <w:tc>
                          <w:tcPr>
                            <w:tcW w:w="4934" w:type="dxa"/>
                            <w:gridSpan w:val="7"/>
                            <w:tcBorders>
                              <w:top w:val="single" w:sz="4" w:space="0" w:color="auto"/>
                              <w:left w:val="single" w:sz="4" w:space="0" w:color="auto"/>
                              <w:right w:val="single" w:sz="4" w:space="0" w:color="auto"/>
                            </w:tcBorders>
                            <w:shd w:val="clear" w:color="auto" w:fill="auto"/>
                            <w:noWrap/>
                            <w:vAlign w:val="center"/>
                          </w:tcPr>
                          <w:p w14:paraId="23AA9572"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施用毒品兒少被通報人</w:t>
                            </w:r>
                            <w:r>
                              <w:rPr>
                                <w:rFonts w:ascii="標楷體" w:eastAsia="標楷體" w:hAnsi="標楷體" w:cs="新細明體" w:hint="eastAsia"/>
                                <w:color w:val="000000"/>
                                <w:kern w:val="0"/>
                                <w:sz w:val="20"/>
                              </w:rPr>
                              <w:t>（</w:t>
                            </w:r>
                            <w:r w:rsidRPr="006E3F74">
                              <w:rPr>
                                <w:rFonts w:ascii="標楷體" w:eastAsia="標楷體" w:hAnsi="標楷體" w:cs="新細明體" w:hint="eastAsia"/>
                                <w:color w:val="000000"/>
                                <w:kern w:val="0"/>
                                <w:sz w:val="20"/>
                              </w:rPr>
                              <w:t>A</w:t>
                            </w:r>
                            <w:r>
                              <w:rPr>
                                <w:rFonts w:ascii="標楷體" w:eastAsia="標楷體" w:hAnsi="標楷體" w:cs="新細明體" w:hint="eastAsia"/>
                                <w:color w:val="000000"/>
                                <w:kern w:val="0"/>
                                <w:sz w:val="20"/>
                              </w:rPr>
                              <w:t>）</w:t>
                            </w:r>
                          </w:p>
                        </w:tc>
                      </w:tr>
                      <w:tr w:rsidR="00CE57F9" w:rsidRPr="006E3F74" w14:paraId="647353CB" w14:textId="77777777" w:rsidTr="00E9787B">
                        <w:trPr>
                          <w:trHeight w:val="324"/>
                        </w:trPr>
                        <w:tc>
                          <w:tcPr>
                            <w:tcW w:w="595"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7F6C614B" w14:textId="77777777" w:rsidR="00CE57F9" w:rsidRPr="006E3F74" w:rsidRDefault="00CE57F9" w:rsidP="00850571">
                            <w:pPr>
                              <w:widowControl/>
                              <w:jc w:val="center"/>
                              <w:rPr>
                                <w:rFonts w:ascii="標楷體" w:eastAsia="標楷體" w:hAnsi="標楷體" w:cs="新細明體"/>
                                <w:color w:val="000000"/>
                                <w:kern w:val="0"/>
                                <w:sz w:val="20"/>
                              </w:rPr>
                            </w:pPr>
                          </w:p>
                        </w:tc>
                        <w:tc>
                          <w:tcPr>
                            <w:tcW w:w="567" w:type="dxa"/>
                            <w:vMerge w:val="restart"/>
                            <w:tcBorders>
                              <w:left w:val="single" w:sz="4" w:space="0" w:color="auto"/>
                              <w:right w:val="single" w:sz="4" w:space="0" w:color="auto"/>
                            </w:tcBorders>
                            <w:shd w:val="clear" w:color="auto" w:fill="auto"/>
                            <w:noWrap/>
                            <w:vAlign w:val="center"/>
                          </w:tcPr>
                          <w:p w14:paraId="7BDD83A9" w14:textId="77777777" w:rsidR="00CE57F9" w:rsidRPr="006E3F74" w:rsidRDefault="00CE57F9" w:rsidP="00850571">
                            <w:pPr>
                              <w:widowControl/>
                              <w:jc w:val="right"/>
                              <w:rPr>
                                <w:rFonts w:ascii="標楷體" w:eastAsia="標楷體" w:hAnsi="標楷體" w:cs="新細明體"/>
                                <w:color w:val="000000"/>
                                <w:kern w:val="0"/>
                                <w:sz w:val="20"/>
                              </w:rPr>
                            </w:pPr>
                          </w:p>
                        </w:tc>
                        <w:tc>
                          <w:tcPr>
                            <w:tcW w:w="1191" w:type="dxa"/>
                            <w:gridSpan w:val="2"/>
                            <w:tcBorders>
                              <w:top w:val="single" w:sz="4" w:space="0" w:color="auto"/>
                              <w:left w:val="nil"/>
                              <w:bottom w:val="single" w:sz="4" w:space="0" w:color="auto"/>
                              <w:right w:val="single" w:sz="4" w:space="0" w:color="auto"/>
                            </w:tcBorders>
                            <w:shd w:val="clear" w:color="auto" w:fill="auto"/>
                            <w:vAlign w:val="center"/>
                          </w:tcPr>
                          <w:p w14:paraId="7C10EFB0"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在學</w:t>
                            </w:r>
                          </w:p>
                        </w:tc>
                        <w:tc>
                          <w:tcPr>
                            <w:tcW w:w="1192" w:type="dxa"/>
                            <w:gridSpan w:val="2"/>
                            <w:tcBorders>
                              <w:top w:val="single" w:sz="4" w:space="0" w:color="auto"/>
                              <w:left w:val="nil"/>
                              <w:bottom w:val="single" w:sz="4" w:space="0" w:color="auto"/>
                              <w:right w:val="double" w:sz="4" w:space="0" w:color="auto"/>
                            </w:tcBorders>
                            <w:shd w:val="clear" w:color="auto" w:fill="auto"/>
                            <w:vAlign w:val="center"/>
                          </w:tcPr>
                          <w:p w14:paraId="30C83889"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非在學</w:t>
                            </w:r>
                          </w:p>
                        </w:tc>
                        <w:tc>
                          <w:tcPr>
                            <w:tcW w:w="992" w:type="dxa"/>
                            <w:vMerge w:val="restart"/>
                            <w:tcBorders>
                              <w:top w:val="single" w:sz="4" w:space="0" w:color="auto"/>
                              <w:left w:val="double" w:sz="4" w:space="0" w:color="auto"/>
                              <w:right w:val="single" w:sz="4" w:space="0" w:color="auto"/>
                            </w:tcBorders>
                            <w:shd w:val="clear" w:color="auto" w:fill="auto"/>
                            <w:noWrap/>
                            <w:vAlign w:val="center"/>
                          </w:tcPr>
                          <w:p w14:paraId="0C2DB484" w14:textId="77777777" w:rsidR="00CE57F9" w:rsidRPr="006E3F74" w:rsidRDefault="00CE57F9" w:rsidP="00860D54">
                            <w:pPr>
                              <w:widowControl/>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屬脆弱家庭人數（</w:t>
                            </w:r>
                            <w:r>
                              <w:rPr>
                                <w:rFonts w:ascii="標楷體" w:eastAsia="標楷體" w:hAnsi="標楷體" w:cs="新細明體" w:hint="eastAsia"/>
                                <w:color w:val="000000"/>
                                <w:kern w:val="0"/>
                                <w:sz w:val="20"/>
                              </w:rPr>
                              <w:t>B</w:t>
                            </w:r>
                            <w:r w:rsidRPr="006E3F74">
                              <w:rPr>
                                <w:rFonts w:ascii="標楷體" w:eastAsia="標楷體" w:hAnsi="標楷體" w:cs="新細明體" w:hint="eastAsia"/>
                                <w:color w:val="000000"/>
                                <w:kern w:val="0"/>
                                <w:sz w:val="20"/>
                              </w:rPr>
                              <w:t>）</w:t>
                            </w:r>
                          </w:p>
                        </w:tc>
                        <w:tc>
                          <w:tcPr>
                            <w:tcW w:w="992" w:type="dxa"/>
                            <w:vMerge w:val="restart"/>
                            <w:tcBorders>
                              <w:top w:val="single" w:sz="4" w:space="0" w:color="auto"/>
                              <w:left w:val="nil"/>
                              <w:right w:val="single" w:sz="4" w:space="0" w:color="auto"/>
                            </w:tcBorders>
                            <w:shd w:val="clear" w:color="auto" w:fill="auto"/>
                            <w:noWrap/>
                            <w:vAlign w:val="center"/>
                          </w:tcPr>
                          <w:p w14:paraId="5072F023"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占比</w:t>
                            </w:r>
                            <w:r>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B</w:t>
                            </w:r>
                            <w:r>
                              <w:rPr>
                                <w:rFonts w:ascii="標楷體" w:eastAsia="標楷體" w:hAnsi="標楷體" w:cs="新細明體" w:hint="eastAsia"/>
                                <w:color w:val="000000"/>
                                <w:kern w:val="0"/>
                                <w:sz w:val="20"/>
                              </w:rPr>
                              <w:t>/A</w:t>
                            </w:r>
                            <w:r w:rsidRPr="00601FE1">
                              <w:rPr>
                                <w:rFonts w:ascii="標楷體" w:eastAsia="標楷體" w:hAnsi="標楷體" w:cs="標楷體" w:hint="eastAsia"/>
                                <w:color w:val="000000"/>
                                <w:sz w:val="20"/>
                              </w:rPr>
                              <w:t>×</w:t>
                            </w:r>
                            <w:r w:rsidRPr="006E3F74">
                              <w:rPr>
                                <w:rFonts w:ascii="標楷體" w:eastAsia="標楷體" w:hAnsi="標楷體" w:cs="新細明體" w:hint="eastAsia"/>
                                <w:color w:val="000000"/>
                                <w:kern w:val="0"/>
                                <w:sz w:val="20"/>
                              </w:rPr>
                              <w:t>100</w:t>
                            </w:r>
                            <w:r>
                              <w:rPr>
                                <w:rFonts w:ascii="標楷體" w:eastAsia="標楷體" w:hAnsi="標楷體" w:cs="新細明體" w:hint="eastAsia"/>
                                <w:color w:val="000000"/>
                                <w:kern w:val="0"/>
                                <w:sz w:val="20"/>
                              </w:rPr>
                              <w:t>）</w:t>
                            </w:r>
                          </w:p>
                        </w:tc>
                      </w:tr>
                      <w:tr w:rsidR="00CE57F9" w:rsidRPr="006E3F74" w14:paraId="56E0E152" w14:textId="77777777" w:rsidTr="00E9787B">
                        <w:trPr>
                          <w:trHeight w:val="324"/>
                        </w:trPr>
                        <w:tc>
                          <w:tcPr>
                            <w:tcW w:w="595"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626DDC" w14:textId="77777777" w:rsidR="00CE57F9" w:rsidRPr="006E3F74" w:rsidRDefault="00CE57F9" w:rsidP="00850571">
                            <w:pPr>
                              <w:widowControl/>
                              <w:jc w:val="center"/>
                              <w:rPr>
                                <w:rFonts w:ascii="標楷體" w:eastAsia="標楷體" w:hAnsi="標楷體" w:cs="新細明體"/>
                                <w:color w:val="000000"/>
                                <w:kern w:val="0"/>
                                <w:sz w:val="20"/>
                              </w:rPr>
                            </w:pPr>
                          </w:p>
                        </w:tc>
                        <w:tc>
                          <w:tcPr>
                            <w:tcW w:w="567" w:type="dxa"/>
                            <w:vMerge/>
                            <w:tcBorders>
                              <w:left w:val="single" w:sz="4" w:space="0" w:color="auto"/>
                              <w:bottom w:val="single" w:sz="4" w:space="0" w:color="auto"/>
                              <w:right w:val="single" w:sz="4" w:space="0" w:color="auto"/>
                            </w:tcBorders>
                            <w:shd w:val="clear" w:color="auto" w:fill="auto"/>
                            <w:noWrap/>
                            <w:vAlign w:val="center"/>
                          </w:tcPr>
                          <w:p w14:paraId="561D65F7" w14:textId="77777777" w:rsidR="00CE57F9" w:rsidRPr="006E3F74" w:rsidRDefault="00CE57F9" w:rsidP="00850571">
                            <w:pPr>
                              <w:widowControl/>
                              <w:jc w:val="right"/>
                              <w:rPr>
                                <w:rFonts w:ascii="標楷體" w:eastAsia="標楷體" w:hAnsi="標楷體" w:cs="新細明體"/>
                                <w:color w:val="000000"/>
                                <w:kern w:val="0"/>
                                <w:sz w:val="20"/>
                              </w:rPr>
                            </w:pPr>
                          </w:p>
                        </w:tc>
                        <w:tc>
                          <w:tcPr>
                            <w:tcW w:w="595" w:type="dxa"/>
                            <w:tcBorders>
                              <w:top w:val="nil"/>
                              <w:left w:val="nil"/>
                              <w:bottom w:val="single" w:sz="4" w:space="0" w:color="auto"/>
                              <w:right w:val="single" w:sz="4" w:space="0" w:color="auto"/>
                            </w:tcBorders>
                            <w:shd w:val="clear" w:color="auto" w:fill="auto"/>
                            <w:vAlign w:val="center"/>
                          </w:tcPr>
                          <w:p w14:paraId="40DD94CA"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人數</w:t>
                            </w:r>
                          </w:p>
                        </w:tc>
                        <w:tc>
                          <w:tcPr>
                            <w:tcW w:w="596" w:type="dxa"/>
                            <w:tcBorders>
                              <w:top w:val="nil"/>
                              <w:left w:val="nil"/>
                              <w:bottom w:val="single" w:sz="4" w:space="0" w:color="auto"/>
                              <w:right w:val="single" w:sz="4" w:space="0" w:color="auto"/>
                            </w:tcBorders>
                            <w:shd w:val="clear" w:color="auto" w:fill="auto"/>
                            <w:vAlign w:val="center"/>
                          </w:tcPr>
                          <w:p w14:paraId="0FA1DDFB"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占比</w:t>
                            </w:r>
                          </w:p>
                        </w:tc>
                        <w:tc>
                          <w:tcPr>
                            <w:tcW w:w="596" w:type="dxa"/>
                            <w:tcBorders>
                              <w:top w:val="nil"/>
                              <w:left w:val="nil"/>
                              <w:bottom w:val="single" w:sz="4" w:space="0" w:color="auto"/>
                              <w:right w:val="single" w:sz="4" w:space="0" w:color="auto"/>
                            </w:tcBorders>
                            <w:shd w:val="clear" w:color="auto" w:fill="auto"/>
                            <w:vAlign w:val="center"/>
                          </w:tcPr>
                          <w:p w14:paraId="4FCD9C6E"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人數</w:t>
                            </w:r>
                          </w:p>
                        </w:tc>
                        <w:tc>
                          <w:tcPr>
                            <w:tcW w:w="596" w:type="dxa"/>
                            <w:tcBorders>
                              <w:top w:val="nil"/>
                              <w:left w:val="nil"/>
                              <w:bottom w:val="single" w:sz="4" w:space="0" w:color="auto"/>
                              <w:right w:val="double" w:sz="4" w:space="0" w:color="auto"/>
                            </w:tcBorders>
                            <w:shd w:val="clear" w:color="auto" w:fill="auto"/>
                            <w:vAlign w:val="center"/>
                          </w:tcPr>
                          <w:p w14:paraId="1DF71549"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占比</w:t>
                            </w:r>
                          </w:p>
                        </w:tc>
                        <w:tc>
                          <w:tcPr>
                            <w:tcW w:w="992" w:type="dxa"/>
                            <w:vMerge/>
                            <w:tcBorders>
                              <w:top w:val="single" w:sz="4" w:space="0" w:color="auto"/>
                              <w:left w:val="double" w:sz="4" w:space="0" w:color="auto"/>
                              <w:bottom w:val="single" w:sz="4" w:space="0" w:color="auto"/>
                              <w:right w:val="single" w:sz="4" w:space="0" w:color="auto"/>
                            </w:tcBorders>
                            <w:shd w:val="clear" w:color="auto" w:fill="auto"/>
                            <w:noWrap/>
                            <w:vAlign w:val="center"/>
                          </w:tcPr>
                          <w:p w14:paraId="2AF84585" w14:textId="77777777" w:rsidR="00CE57F9" w:rsidRPr="006E3F74" w:rsidRDefault="00CE57F9" w:rsidP="00850571">
                            <w:pPr>
                              <w:widowControl/>
                              <w:rPr>
                                <w:rFonts w:ascii="標楷體" w:eastAsia="標楷體" w:hAnsi="標楷體" w:cs="新細明體"/>
                                <w:color w:val="000000"/>
                                <w:kern w:val="0"/>
                                <w:sz w:val="20"/>
                              </w:rPr>
                            </w:pPr>
                          </w:p>
                        </w:tc>
                        <w:tc>
                          <w:tcPr>
                            <w:tcW w:w="992" w:type="dxa"/>
                            <w:vMerge/>
                            <w:tcBorders>
                              <w:top w:val="single" w:sz="4" w:space="0" w:color="auto"/>
                              <w:left w:val="nil"/>
                              <w:bottom w:val="single" w:sz="4" w:space="0" w:color="auto"/>
                              <w:right w:val="single" w:sz="4" w:space="0" w:color="auto"/>
                            </w:tcBorders>
                            <w:shd w:val="clear" w:color="auto" w:fill="auto"/>
                            <w:noWrap/>
                            <w:vAlign w:val="center"/>
                          </w:tcPr>
                          <w:p w14:paraId="118FDB68" w14:textId="77777777" w:rsidR="00CE57F9" w:rsidRPr="006E3F74" w:rsidRDefault="00CE57F9" w:rsidP="00850571">
                            <w:pPr>
                              <w:widowControl/>
                              <w:rPr>
                                <w:rFonts w:ascii="標楷體" w:eastAsia="標楷體" w:hAnsi="標楷體" w:cs="新細明體"/>
                                <w:color w:val="000000"/>
                                <w:kern w:val="0"/>
                                <w:sz w:val="20"/>
                              </w:rPr>
                            </w:pPr>
                          </w:p>
                        </w:tc>
                      </w:tr>
                      <w:tr w:rsidR="00CE57F9" w:rsidRPr="006E3F74" w14:paraId="705B0D4D" w14:textId="77777777" w:rsidTr="00E9787B">
                        <w:trPr>
                          <w:trHeight w:val="324"/>
                        </w:trPr>
                        <w:tc>
                          <w:tcPr>
                            <w:tcW w:w="5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30FE01"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109</w:t>
                            </w:r>
                          </w:p>
                        </w:tc>
                        <w:tc>
                          <w:tcPr>
                            <w:tcW w:w="567" w:type="dxa"/>
                            <w:tcBorders>
                              <w:top w:val="nil"/>
                              <w:left w:val="nil"/>
                              <w:bottom w:val="single" w:sz="4" w:space="0" w:color="auto"/>
                              <w:right w:val="single" w:sz="4" w:space="0" w:color="auto"/>
                            </w:tcBorders>
                            <w:shd w:val="clear" w:color="auto" w:fill="auto"/>
                            <w:noWrap/>
                            <w:vAlign w:val="center"/>
                            <w:hideMark/>
                          </w:tcPr>
                          <w:p w14:paraId="4E8D1F77"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891</w:t>
                            </w:r>
                          </w:p>
                        </w:tc>
                        <w:tc>
                          <w:tcPr>
                            <w:tcW w:w="595" w:type="dxa"/>
                            <w:tcBorders>
                              <w:top w:val="nil"/>
                              <w:left w:val="nil"/>
                              <w:bottom w:val="single" w:sz="4" w:space="0" w:color="auto"/>
                              <w:right w:val="single" w:sz="4" w:space="0" w:color="auto"/>
                            </w:tcBorders>
                            <w:shd w:val="clear" w:color="auto" w:fill="auto"/>
                            <w:vAlign w:val="center"/>
                            <w:hideMark/>
                          </w:tcPr>
                          <w:p w14:paraId="16FCED6D"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377</w:t>
                            </w:r>
                          </w:p>
                        </w:tc>
                        <w:tc>
                          <w:tcPr>
                            <w:tcW w:w="596" w:type="dxa"/>
                            <w:tcBorders>
                              <w:top w:val="nil"/>
                              <w:left w:val="nil"/>
                              <w:bottom w:val="single" w:sz="4" w:space="0" w:color="auto"/>
                              <w:right w:val="single" w:sz="4" w:space="0" w:color="auto"/>
                            </w:tcBorders>
                            <w:shd w:val="clear" w:color="auto" w:fill="auto"/>
                            <w:vAlign w:val="center"/>
                            <w:hideMark/>
                          </w:tcPr>
                          <w:p w14:paraId="002D363C"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 xml:space="preserve">42.31 </w:t>
                            </w:r>
                          </w:p>
                        </w:tc>
                        <w:tc>
                          <w:tcPr>
                            <w:tcW w:w="596" w:type="dxa"/>
                            <w:tcBorders>
                              <w:top w:val="nil"/>
                              <w:left w:val="nil"/>
                              <w:bottom w:val="single" w:sz="4" w:space="0" w:color="auto"/>
                              <w:right w:val="single" w:sz="4" w:space="0" w:color="auto"/>
                            </w:tcBorders>
                            <w:shd w:val="clear" w:color="auto" w:fill="auto"/>
                            <w:vAlign w:val="center"/>
                            <w:hideMark/>
                          </w:tcPr>
                          <w:p w14:paraId="618641C9"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514</w:t>
                            </w:r>
                          </w:p>
                        </w:tc>
                        <w:tc>
                          <w:tcPr>
                            <w:tcW w:w="596" w:type="dxa"/>
                            <w:tcBorders>
                              <w:top w:val="nil"/>
                              <w:left w:val="nil"/>
                              <w:bottom w:val="single" w:sz="4" w:space="0" w:color="auto"/>
                              <w:right w:val="double" w:sz="4" w:space="0" w:color="auto"/>
                            </w:tcBorders>
                            <w:shd w:val="clear" w:color="auto" w:fill="auto"/>
                            <w:vAlign w:val="center"/>
                            <w:hideMark/>
                          </w:tcPr>
                          <w:p w14:paraId="76969961"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 xml:space="preserve">57.69 </w:t>
                            </w:r>
                          </w:p>
                        </w:tc>
                        <w:tc>
                          <w:tcPr>
                            <w:tcW w:w="992"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0A8712E8"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217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AECFAB6"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 xml:space="preserve">24.35 </w:t>
                            </w:r>
                          </w:p>
                        </w:tc>
                      </w:tr>
                      <w:tr w:rsidR="00CE57F9" w:rsidRPr="006E3F74" w14:paraId="5D25559E" w14:textId="77777777" w:rsidTr="00E9787B">
                        <w:trPr>
                          <w:trHeight w:val="324"/>
                        </w:trPr>
                        <w:tc>
                          <w:tcPr>
                            <w:tcW w:w="595" w:type="dxa"/>
                            <w:tcBorders>
                              <w:top w:val="nil"/>
                              <w:left w:val="single" w:sz="4" w:space="0" w:color="auto"/>
                              <w:bottom w:val="single" w:sz="4" w:space="0" w:color="auto"/>
                              <w:right w:val="single" w:sz="4" w:space="0" w:color="auto"/>
                            </w:tcBorders>
                            <w:shd w:val="clear" w:color="auto" w:fill="auto"/>
                            <w:noWrap/>
                            <w:vAlign w:val="center"/>
                            <w:hideMark/>
                          </w:tcPr>
                          <w:p w14:paraId="701A4678"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110</w:t>
                            </w:r>
                          </w:p>
                        </w:tc>
                        <w:tc>
                          <w:tcPr>
                            <w:tcW w:w="567" w:type="dxa"/>
                            <w:tcBorders>
                              <w:top w:val="nil"/>
                              <w:left w:val="nil"/>
                              <w:bottom w:val="single" w:sz="4" w:space="0" w:color="auto"/>
                              <w:right w:val="single" w:sz="4" w:space="0" w:color="auto"/>
                            </w:tcBorders>
                            <w:shd w:val="clear" w:color="auto" w:fill="auto"/>
                            <w:noWrap/>
                            <w:vAlign w:val="center"/>
                            <w:hideMark/>
                          </w:tcPr>
                          <w:p w14:paraId="3B0E6168"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729</w:t>
                            </w:r>
                          </w:p>
                        </w:tc>
                        <w:tc>
                          <w:tcPr>
                            <w:tcW w:w="595" w:type="dxa"/>
                            <w:tcBorders>
                              <w:top w:val="nil"/>
                              <w:left w:val="nil"/>
                              <w:bottom w:val="single" w:sz="4" w:space="0" w:color="auto"/>
                              <w:right w:val="single" w:sz="4" w:space="0" w:color="auto"/>
                            </w:tcBorders>
                            <w:shd w:val="clear" w:color="auto" w:fill="auto"/>
                            <w:vAlign w:val="center"/>
                            <w:hideMark/>
                          </w:tcPr>
                          <w:p w14:paraId="31BB9758"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311</w:t>
                            </w:r>
                          </w:p>
                        </w:tc>
                        <w:tc>
                          <w:tcPr>
                            <w:tcW w:w="596" w:type="dxa"/>
                            <w:tcBorders>
                              <w:top w:val="nil"/>
                              <w:left w:val="nil"/>
                              <w:bottom w:val="single" w:sz="4" w:space="0" w:color="auto"/>
                              <w:right w:val="single" w:sz="4" w:space="0" w:color="auto"/>
                            </w:tcBorders>
                            <w:shd w:val="clear" w:color="auto" w:fill="auto"/>
                            <w:vAlign w:val="center"/>
                            <w:hideMark/>
                          </w:tcPr>
                          <w:p w14:paraId="04A9C62B"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 xml:space="preserve">42.66 </w:t>
                            </w:r>
                          </w:p>
                        </w:tc>
                        <w:tc>
                          <w:tcPr>
                            <w:tcW w:w="596" w:type="dxa"/>
                            <w:tcBorders>
                              <w:top w:val="nil"/>
                              <w:left w:val="nil"/>
                              <w:bottom w:val="single" w:sz="4" w:space="0" w:color="auto"/>
                              <w:right w:val="single" w:sz="4" w:space="0" w:color="auto"/>
                            </w:tcBorders>
                            <w:shd w:val="clear" w:color="auto" w:fill="auto"/>
                            <w:vAlign w:val="center"/>
                            <w:hideMark/>
                          </w:tcPr>
                          <w:p w14:paraId="0023FFC5"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418</w:t>
                            </w:r>
                          </w:p>
                        </w:tc>
                        <w:tc>
                          <w:tcPr>
                            <w:tcW w:w="596" w:type="dxa"/>
                            <w:tcBorders>
                              <w:top w:val="nil"/>
                              <w:left w:val="nil"/>
                              <w:bottom w:val="single" w:sz="4" w:space="0" w:color="auto"/>
                              <w:right w:val="double" w:sz="4" w:space="0" w:color="auto"/>
                            </w:tcBorders>
                            <w:shd w:val="clear" w:color="auto" w:fill="auto"/>
                            <w:vAlign w:val="center"/>
                            <w:hideMark/>
                          </w:tcPr>
                          <w:p w14:paraId="0017D920"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 xml:space="preserve">57.34 </w:t>
                            </w:r>
                          </w:p>
                        </w:tc>
                        <w:tc>
                          <w:tcPr>
                            <w:tcW w:w="992"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2DF148B7"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242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C7F5D27"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 xml:space="preserve">33.20 </w:t>
                            </w:r>
                          </w:p>
                        </w:tc>
                      </w:tr>
                      <w:tr w:rsidR="00CE57F9" w:rsidRPr="006E3F74" w14:paraId="5112E67D" w14:textId="77777777" w:rsidTr="00E9787B">
                        <w:trPr>
                          <w:trHeight w:val="324"/>
                        </w:trPr>
                        <w:tc>
                          <w:tcPr>
                            <w:tcW w:w="595" w:type="dxa"/>
                            <w:tcBorders>
                              <w:top w:val="nil"/>
                              <w:left w:val="single" w:sz="4" w:space="0" w:color="auto"/>
                              <w:bottom w:val="single" w:sz="4" w:space="0" w:color="auto"/>
                              <w:right w:val="single" w:sz="4" w:space="0" w:color="auto"/>
                            </w:tcBorders>
                            <w:shd w:val="clear" w:color="auto" w:fill="auto"/>
                            <w:noWrap/>
                            <w:vAlign w:val="center"/>
                            <w:hideMark/>
                          </w:tcPr>
                          <w:p w14:paraId="7C526DEE" w14:textId="77777777" w:rsidR="00CE57F9" w:rsidRPr="006E3F74" w:rsidRDefault="00CE57F9" w:rsidP="00850571">
                            <w:pPr>
                              <w:widowControl/>
                              <w:jc w:val="center"/>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111</w:t>
                            </w:r>
                          </w:p>
                        </w:tc>
                        <w:tc>
                          <w:tcPr>
                            <w:tcW w:w="567" w:type="dxa"/>
                            <w:tcBorders>
                              <w:top w:val="nil"/>
                              <w:left w:val="nil"/>
                              <w:bottom w:val="single" w:sz="4" w:space="0" w:color="auto"/>
                              <w:right w:val="single" w:sz="4" w:space="0" w:color="auto"/>
                            </w:tcBorders>
                            <w:shd w:val="clear" w:color="auto" w:fill="auto"/>
                            <w:noWrap/>
                            <w:vAlign w:val="center"/>
                            <w:hideMark/>
                          </w:tcPr>
                          <w:p w14:paraId="01503402"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630</w:t>
                            </w:r>
                          </w:p>
                        </w:tc>
                        <w:tc>
                          <w:tcPr>
                            <w:tcW w:w="595" w:type="dxa"/>
                            <w:tcBorders>
                              <w:top w:val="nil"/>
                              <w:left w:val="nil"/>
                              <w:bottom w:val="single" w:sz="4" w:space="0" w:color="auto"/>
                              <w:right w:val="single" w:sz="4" w:space="0" w:color="auto"/>
                            </w:tcBorders>
                            <w:shd w:val="clear" w:color="auto" w:fill="auto"/>
                            <w:vAlign w:val="center"/>
                            <w:hideMark/>
                          </w:tcPr>
                          <w:p w14:paraId="7CE7DD9B"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257</w:t>
                            </w:r>
                          </w:p>
                        </w:tc>
                        <w:tc>
                          <w:tcPr>
                            <w:tcW w:w="596" w:type="dxa"/>
                            <w:tcBorders>
                              <w:top w:val="nil"/>
                              <w:left w:val="nil"/>
                              <w:bottom w:val="single" w:sz="4" w:space="0" w:color="auto"/>
                              <w:right w:val="single" w:sz="4" w:space="0" w:color="auto"/>
                            </w:tcBorders>
                            <w:shd w:val="clear" w:color="auto" w:fill="auto"/>
                            <w:vAlign w:val="center"/>
                            <w:hideMark/>
                          </w:tcPr>
                          <w:p w14:paraId="662D7BF1"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 xml:space="preserve">40.79 </w:t>
                            </w:r>
                          </w:p>
                        </w:tc>
                        <w:tc>
                          <w:tcPr>
                            <w:tcW w:w="596" w:type="dxa"/>
                            <w:tcBorders>
                              <w:top w:val="nil"/>
                              <w:left w:val="nil"/>
                              <w:bottom w:val="single" w:sz="4" w:space="0" w:color="auto"/>
                              <w:right w:val="single" w:sz="4" w:space="0" w:color="auto"/>
                            </w:tcBorders>
                            <w:shd w:val="clear" w:color="auto" w:fill="auto"/>
                            <w:vAlign w:val="center"/>
                            <w:hideMark/>
                          </w:tcPr>
                          <w:p w14:paraId="79F8C2DC"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373</w:t>
                            </w:r>
                          </w:p>
                        </w:tc>
                        <w:tc>
                          <w:tcPr>
                            <w:tcW w:w="596" w:type="dxa"/>
                            <w:tcBorders>
                              <w:top w:val="nil"/>
                              <w:left w:val="nil"/>
                              <w:bottom w:val="single" w:sz="4" w:space="0" w:color="auto"/>
                              <w:right w:val="double" w:sz="4" w:space="0" w:color="auto"/>
                            </w:tcBorders>
                            <w:shd w:val="clear" w:color="auto" w:fill="auto"/>
                            <w:vAlign w:val="center"/>
                            <w:hideMark/>
                          </w:tcPr>
                          <w:p w14:paraId="57586ADB"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 xml:space="preserve">59.21 </w:t>
                            </w:r>
                          </w:p>
                        </w:tc>
                        <w:tc>
                          <w:tcPr>
                            <w:tcW w:w="992"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760833FD"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212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3BF6859" w14:textId="77777777" w:rsidR="00CE57F9" w:rsidRPr="006E3F74" w:rsidRDefault="00CE57F9" w:rsidP="00850571">
                            <w:pPr>
                              <w:widowControl/>
                              <w:jc w:val="right"/>
                              <w:rPr>
                                <w:rFonts w:ascii="標楷體" w:eastAsia="標楷體" w:hAnsi="標楷體" w:cs="新細明體"/>
                                <w:color w:val="000000"/>
                                <w:kern w:val="0"/>
                                <w:sz w:val="20"/>
                              </w:rPr>
                            </w:pPr>
                            <w:r w:rsidRPr="006E3F74">
                              <w:rPr>
                                <w:rFonts w:ascii="標楷體" w:eastAsia="標楷體" w:hAnsi="標楷體" w:cs="新細明體" w:hint="eastAsia"/>
                                <w:color w:val="000000"/>
                                <w:kern w:val="0"/>
                                <w:sz w:val="20"/>
                              </w:rPr>
                              <w:t xml:space="preserve">33.65 </w:t>
                            </w:r>
                          </w:p>
                        </w:tc>
                      </w:tr>
                    </w:tbl>
                    <w:p w14:paraId="5D21202D" w14:textId="77777777" w:rsidR="00CE57F9" w:rsidRPr="00A018A0" w:rsidRDefault="00CE57F9" w:rsidP="00DA2751">
                      <w:pPr>
                        <w:snapToGrid w:val="0"/>
                        <w:ind w:left="540" w:rightChars="-52" w:right="-125" w:hangingChars="300" w:hanging="540"/>
                        <w:contextualSpacing/>
                        <w:jc w:val="both"/>
                        <w:rPr>
                          <w:rFonts w:ascii="標楷體" w:eastAsia="標楷體" w:hAnsi="標楷體"/>
                          <w:sz w:val="18"/>
                        </w:rPr>
                      </w:pPr>
                      <w:r w:rsidRPr="00A018A0">
                        <w:rPr>
                          <w:rFonts w:ascii="標楷體" w:eastAsia="標楷體" w:hAnsi="標楷體" w:hint="eastAsia"/>
                          <w:sz w:val="18"/>
                        </w:rPr>
                        <w:t>註：</w:t>
                      </w:r>
                      <w:r w:rsidRPr="00A90CFF">
                        <w:rPr>
                          <w:rFonts w:ascii="標楷體" w:eastAsia="標楷體" w:hAnsi="標楷體" w:hint="eastAsia"/>
                          <w:sz w:val="18"/>
                        </w:rPr>
                        <w:t>整理自</w:t>
                      </w:r>
                      <w:r w:rsidRPr="00EA58B2">
                        <w:rPr>
                          <w:rFonts w:ascii="標楷體" w:eastAsia="標楷體" w:hAnsi="標楷體" w:hint="eastAsia"/>
                          <w:sz w:val="18"/>
                        </w:rPr>
                        <w:t>衛</w:t>
                      </w:r>
                      <w:r>
                        <w:rPr>
                          <w:rFonts w:ascii="標楷體" w:eastAsia="標楷體" w:hAnsi="標楷體" w:hint="eastAsia"/>
                          <w:sz w:val="18"/>
                        </w:rPr>
                        <w:t>生</w:t>
                      </w:r>
                      <w:r w:rsidRPr="00EA58B2">
                        <w:rPr>
                          <w:rFonts w:ascii="標楷體" w:eastAsia="標楷體" w:hAnsi="標楷體" w:hint="eastAsia"/>
                          <w:sz w:val="18"/>
                        </w:rPr>
                        <w:t>福</w:t>
                      </w:r>
                      <w:r>
                        <w:rPr>
                          <w:rFonts w:ascii="標楷體" w:eastAsia="標楷體" w:hAnsi="標楷體" w:hint="eastAsia"/>
                          <w:sz w:val="18"/>
                        </w:rPr>
                        <w:t>利</w:t>
                      </w:r>
                      <w:r w:rsidRPr="00EA58B2">
                        <w:rPr>
                          <w:rFonts w:ascii="標楷體" w:eastAsia="標楷體" w:hAnsi="標楷體" w:hint="eastAsia"/>
                          <w:sz w:val="18"/>
                        </w:rPr>
                        <w:t>部</w:t>
                      </w:r>
                      <w:r w:rsidRPr="00A90CFF">
                        <w:rPr>
                          <w:rFonts w:ascii="標楷體" w:eastAsia="標楷體" w:hAnsi="標楷體" w:hint="eastAsia"/>
                          <w:sz w:val="18"/>
                        </w:rPr>
                        <w:t>提供資料。</w:t>
                      </w:r>
                    </w:p>
                  </w:txbxContent>
                </v:textbox>
                <w10:wrap type="square" anchorx="margin"/>
              </v:shape>
            </w:pict>
          </mc:Fallback>
        </mc:AlternateContent>
      </w:r>
      <w:r w:rsidR="00E9787B" w:rsidRPr="009D11AD">
        <w:rPr>
          <w:rFonts w:ascii="標楷體" w:eastAsia="標楷體" w:hAnsi="標楷體" w:hint="eastAsia"/>
          <w:b/>
          <w:color w:val="000000" w:themeColor="text1"/>
          <w:szCs w:val="24"/>
        </w:rPr>
        <w:t>3.</w:t>
      </w:r>
      <w:r w:rsidR="0056587F" w:rsidRPr="009D11AD">
        <w:rPr>
          <w:rFonts w:ascii="標楷體" w:eastAsia="標楷體" w:hAnsi="標楷體" w:hint="eastAsia"/>
          <w:b/>
          <w:szCs w:val="24"/>
        </w:rPr>
        <w:t xml:space="preserve">　</w:t>
      </w:r>
      <w:r w:rsidR="00E9787B" w:rsidRPr="009D11AD">
        <w:rPr>
          <w:rFonts w:ascii="標楷體" w:eastAsia="標楷體" w:hAnsi="標楷體" w:hint="eastAsia"/>
          <w:b/>
          <w:color w:val="000000" w:themeColor="text1"/>
          <w:szCs w:val="24"/>
        </w:rPr>
        <w:t>兒少毒品防制與其家庭環境及就學情況息息相關，允宜跨域整合輔導脆弱家庭及兒少回歸校園等工作，積極落實外展服務，主動發掘可能個案，並強化與司法院合作勾稽兒少事件機制，綿密高關懷兒少預防協處輔導網絡，以建立完整兒少保護機制：</w:t>
      </w:r>
      <w:r w:rsidR="00E9787B" w:rsidRPr="009D11AD">
        <w:rPr>
          <w:rFonts w:ascii="標楷體" w:eastAsia="標楷體" w:hAnsi="標楷體" w:hint="eastAsia"/>
          <w:color w:val="000000" w:themeColor="text1"/>
          <w:szCs w:val="24"/>
        </w:rPr>
        <w:t>行政院鑑於兒童</w:t>
      </w:r>
      <w:r w:rsidR="00E9787B" w:rsidRPr="009D11AD">
        <w:rPr>
          <w:rFonts w:ascii="標楷體" w:eastAsia="標楷體" w:hAnsi="標楷體" w:hint="eastAsia"/>
          <w:szCs w:val="24"/>
        </w:rPr>
        <w:t>（指未滿12歲之人）</w:t>
      </w:r>
      <w:r w:rsidR="00E9787B" w:rsidRPr="009D11AD">
        <w:rPr>
          <w:rFonts w:ascii="標楷體" w:eastAsia="標楷體" w:hAnsi="標楷體" w:hint="eastAsia"/>
          <w:color w:val="000000" w:themeColor="text1"/>
          <w:szCs w:val="24"/>
        </w:rPr>
        <w:t>及少年</w:t>
      </w:r>
      <w:r w:rsidR="00E9787B" w:rsidRPr="009D11AD">
        <w:rPr>
          <w:rFonts w:ascii="標楷體" w:eastAsia="標楷體" w:hAnsi="標楷體" w:hint="eastAsia"/>
          <w:szCs w:val="24"/>
        </w:rPr>
        <w:t>（指12歲以上未滿18歲之人）</w:t>
      </w:r>
      <w:r w:rsidR="00E9787B" w:rsidRPr="009D11AD">
        <w:rPr>
          <w:rFonts w:ascii="標楷體" w:eastAsia="標楷體" w:hAnsi="標楷體" w:hint="eastAsia"/>
          <w:color w:val="000000" w:themeColor="text1"/>
          <w:szCs w:val="24"/>
        </w:rPr>
        <w:t>成長時期是影響未來身心及社會關係發展之重要階段，於此階段接觸高危險或不利健康之行為，對其身心發展有嚴重不利之後果，爰於新世代反毒策略行動綱領（第二期110</w:t>
      </w:r>
      <w:r w:rsidR="00860D54" w:rsidRPr="009D11AD">
        <w:rPr>
          <w:rFonts w:ascii="標楷體" w:eastAsia="標楷體" w:hAnsi="標楷體" w:hint="eastAsia"/>
          <w:color w:val="000000" w:themeColor="text1"/>
          <w:szCs w:val="24"/>
        </w:rPr>
        <w:t>－</w:t>
      </w:r>
      <w:r w:rsidR="00E9787B" w:rsidRPr="009D11AD">
        <w:rPr>
          <w:rFonts w:ascii="標楷體" w:eastAsia="標楷體" w:hAnsi="標楷體" w:hint="eastAsia"/>
          <w:color w:val="000000" w:themeColor="text1"/>
          <w:szCs w:val="24"/>
        </w:rPr>
        <w:t>113年）訂定「強化未在學涉毒兒少輔導及家長親職教育」，由</w:t>
      </w:r>
      <w:r w:rsidR="00FB1795" w:rsidRPr="009D11AD">
        <w:rPr>
          <w:rFonts w:ascii="標楷體" w:eastAsia="標楷體" w:hAnsi="標楷體" w:hint="eastAsia"/>
          <w:color w:val="000000" w:themeColor="text1"/>
          <w:szCs w:val="24"/>
        </w:rPr>
        <w:t>衛生福利部</w:t>
      </w:r>
      <w:r w:rsidR="00E9787B" w:rsidRPr="009D11AD">
        <w:rPr>
          <w:rFonts w:ascii="標楷體" w:eastAsia="標楷體" w:hAnsi="標楷體" w:hint="eastAsia"/>
          <w:color w:val="000000" w:themeColor="text1"/>
          <w:szCs w:val="24"/>
        </w:rPr>
        <w:t>輔導地方政府辦理未在學兒少施用毒品個案追蹤輔導，及提供施用毒品兒少家長親職教育；另於</w:t>
      </w:r>
      <w:r w:rsidR="00860D54" w:rsidRPr="009D11AD">
        <w:rPr>
          <w:rFonts w:ascii="標楷體" w:eastAsia="標楷體" w:hAnsi="標楷體" w:hint="eastAsia"/>
          <w:color w:val="000000" w:themeColor="text1"/>
          <w:szCs w:val="24"/>
        </w:rPr>
        <w:t>「</w:t>
      </w:r>
      <w:r w:rsidR="00E9787B" w:rsidRPr="009D11AD">
        <w:rPr>
          <w:rFonts w:ascii="標楷體" w:eastAsia="標楷體" w:hAnsi="標楷體" w:hint="eastAsia"/>
          <w:color w:val="000000" w:themeColor="text1"/>
          <w:szCs w:val="24"/>
        </w:rPr>
        <w:t>施用毒品者再犯防止推進計畫（111年至113年）</w:t>
      </w:r>
      <w:r w:rsidR="00860D54" w:rsidRPr="009D11AD">
        <w:rPr>
          <w:rFonts w:ascii="標楷體" w:eastAsia="標楷體" w:hAnsi="標楷體" w:hint="eastAsia"/>
          <w:color w:val="000000" w:themeColor="text1"/>
          <w:szCs w:val="24"/>
        </w:rPr>
        <w:t>」</w:t>
      </w:r>
      <w:r w:rsidR="00E9787B" w:rsidRPr="009D11AD">
        <w:rPr>
          <w:rFonts w:ascii="標楷體" w:eastAsia="標楷體" w:hAnsi="標楷體" w:hint="eastAsia"/>
          <w:color w:val="000000" w:themeColor="text1"/>
          <w:szCs w:val="24"/>
        </w:rPr>
        <w:t>訂定兒少防護網絡策略，包括強化行政、司法之聯繫合作，由行政機關（教育部、</w:t>
      </w:r>
      <w:r w:rsidR="00FB1795" w:rsidRPr="009D11AD">
        <w:rPr>
          <w:rFonts w:ascii="標楷體" w:eastAsia="標楷體" w:hAnsi="標楷體" w:hint="eastAsia"/>
          <w:color w:val="000000" w:themeColor="text1"/>
          <w:szCs w:val="24"/>
        </w:rPr>
        <w:t>衛生福利部</w:t>
      </w:r>
      <w:r w:rsidR="00E9787B" w:rsidRPr="009D11AD">
        <w:rPr>
          <w:rFonts w:ascii="標楷體" w:eastAsia="標楷體" w:hAnsi="標楷體" w:hint="eastAsia"/>
          <w:color w:val="000000" w:themeColor="text1"/>
          <w:szCs w:val="24"/>
        </w:rPr>
        <w:t>、警政署）定期提供涉毒兒少名單予司法院勾稽少年事件審理結果，並將勾稽結果回饋行政機關。經查各地方政府111年度未在學兒少施用毒品個案追蹤輔導比率達9成，施用毒品兒少家長親職教育比率83.20％，均已達當年度目標，至於改善兒少毒品問題整體執行情形，核有：</w:t>
      </w:r>
      <w:r w:rsidR="00E9787B" w:rsidRPr="009D11AD">
        <w:rPr>
          <w:rFonts w:ascii="標楷體" w:eastAsia="標楷體" w:hAnsi="標楷體" w:hint="eastAsia"/>
          <w:szCs w:val="24"/>
        </w:rPr>
        <w:t>（1）</w:t>
      </w:r>
      <w:r w:rsidR="00E9787B" w:rsidRPr="006873D7">
        <w:rPr>
          <w:rFonts w:ascii="標楷體" w:eastAsia="標楷體" w:hAnsi="標楷體" w:hint="eastAsia"/>
          <w:szCs w:val="24"/>
        </w:rPr>
        <w:t>近</w:t>
      </w:r>
      <w:r w:rsidR="00E9787B" w:rsidRPr="006873D7">
        <w:rPr>
          <w:rFonts w:ascii="標楷體" w:eastAsia="標楷體" w:hAnsi="標楷體"/>
          <w:szCs w:val="24"/>
        </w:rPr>
        <w:t>3</w:t>
      </w:r>
      <w:r w:rsidR="00E9787B" w:rsidRPr="006873D7">
        <w:rPr>
          <w:rFonts w:ascii="標楷體" w:eastAsia="標楷體" w:hAnsi="標楷體" w:hint="eastAsia"/>
          <w:szCs w:val="24"/>
        </w:rPr>
        <w:t>年度（</w:t>
      </w:r>
      <w:r w:rsidR="00E9787B" w:rsidRPr="006873D7">
        <w:rPr>
          <w:rFonts w:ascii="標楷體" w:eastAsia="標楷體" w:hAnsi="標楷體"/>
          <w:szCs w:val="24"/>
        </w:rPr>
        <w:t>109</w:t>
      </w:r>
      <w:r w:rsidR="00E9787B" w:rsidRPr="006873D7">
        <w:rPr>
          <w:rFonts w:ascii="標楷體" w:eastAsia="標楷體" w:hAnsi="標楷體" w:hint="eastAsia"/>
          <w:szCs w:val="24"/>
        </w:rPr>
        <w:t>至</w:t>
      </w:r>
      <w:r w:rsidR="00E9787B" w:rsidRPr="006873D7">
        <w:rPr>
          <w:rFonts w:ascii="標楷體" w:eastAsia="標楷體" w:hAnsi="標楷體"/>
          <w:szCs w:val="24"/>
        </w:rPr>
        <w:t>111年度）全國兒童及少年施用毒品通報人數</w:t>
      </w:r>
      <w:r w:rsidR="00E9787B" w:rsidRPr="006873D7">
        <w:rPr>
          <w:rFonts w:ascii="標楷體" w:eastAsia="標楷體" w:hAnsi="標楷體" w:hint="eastAsia"/>
          <w:szCs w:val="24"/>
        </w:rPr>
        <w:t>，已</w:t>
      </w:r>
      <w:r w:rsidR="00E9787B" w:rsidRPr="009D11AD">
        <w:rPr>
          <w:rFonts w:ascii="標楷體" w:eastAsia="標楷體" w:hAnsi="標楷體" w:hint="eastAsia"/>
          <w:szCs w:val="24"/>
        </w:rPr>
        <w:t>自10</w:t>
      </w:r>
      <w:r w:rsidR="00E9787B" w:rsidRPr="009D11AD">
        <w:rPr>
          <w:rFonts w:ascii="標楷體" w:eastAsia="標楷體" w:hAnsi="標楷體"/>
          <w:szCs w:val="24"/>
        </w:rPr>
        <w:t>9</w:t>
      </w:r>
      <w:r w:rsidR="00E9787B" w:rsidRPr="009D11AD">
        <w:rPr>
          <w:rFonts w:ascii="標楷體" w:eastAsia="標楷體" w:hAnsi="標楷體" w:hint="eastAsia"/>
          <w:szCs w:val="24"/>
        </w:rPr>
        <w:t>年度之</w:t>
      </w:r>
      <w:r w:rsidR="00E9787B" w:rsidRPr="009D11AD">
        <w:rPr>
          <w:rFonts w:ascii="標楷體" w:eastAsia="標楷體" w:hAnsi="標楷體"/>
          <w:szCs w:val="24"/>
        </w:rPr>
        <w:t>891</w:t>
      </w:r>
      <w:r w:rsidR="00E9787B" w:rsidRPr="009D11AD">
        <w:rPr>
          <w:rFonts w:ascii="標楷體" w:eastAsia="標楷體" w:hAnsi="標楷體" w:hint="eastAsia"/>
          <w:szCs w:val="24"/>
        </w:rPr>
        <w:t>人，下降至111年度之630人，惟其中近6成為非在學兒少，且其占比自10</w:t>
      </w:r>
      <w:r w:rsidR="00E9787B" w:rsidRPr="009D11AD">
        <w:rPr>
          <w:rFonts w:ascii="標楷體" w:eastAsia="標楷體" w:hAnsi="標楷體"/>
          <w:szCs w:val="24"/>
        </w:rPr>
        <w:t>9</w:t>
      </w:r>
      <w:r w:rsidR="00E9787B" w:rsidRPr="009D11AD">
        <w:rPr>
          <w:rFonts w:ascii="標楷體" w:eastAsia="標楷體" w:hAnsi="標楷體" w:hint="eastAsia"/>
          <w:szCs w:val="24"/>
        </w:rPr>
        <w:t>年度之57.</w:t>
      </w:r>
      <w:r w:rsidR="00E9787B" w:rsidRPr="009D11AD">
        <w:rPr>
          <w:rFonts w:ascii="標楷體" w:eastAsia="標楷體" w:hAnsi="標楷體"/>
          <w:szCs w:val="24"/>
        </w:rPr>
        <w:t>69</w:t>
      </w:r>
      <w:r w:rsidR="00E9787B" w:rsidRPr="009D11AD">
        <w:rPr>
          <w:rFonts w:ascii="標楷體" w:eastAsia="標楷體" w:hAnsi="標楷體" w:hint="eastAsia"/>
          <w:szCs w:val="24"/>
        </w:rPr>
        <w:t>％，上升至111年度之59.21％（</w:t>
      </w:r>
      <w:r w:rsidR="00E9787B" w:rsidRPr="00CE57F9">
        <w:rPr>
          <w:rFonts w:ascii="標楷體" w:eastAsia="標楷體" w:hAnsi="標楷體" w:hint="eastAsia"/>
          <w:szCs w:val="24"/>
        </w:rPr>
        <w:t>表</w:t>
      </w:r>
      <w:r w:rsidR="0056587F" w:rsidRPr="00CE57F9">
        <w:rPr>
          <w:rFonts w:ascii="標楷體" w:eastAsia="標楷體" w:hAnsi="標楷體" w:hint="eastAsia"/>
          <w:szCs w:val="24"/>
        </w:rPr>
        <w:t>5</w:t>
      </w:r>
      <w:r w:rsidR="00E9787B" w:rsidRPr="00CE57F9">
        <w:rPr>
          <w:rFonts w:ascii="標楷體" w:eastAsia="標楷體" w:hAnsi="標楷體" w:hint="eastAsia"/>
          <w:szCs w:val="24"/>
        </w:rPr>
        <w:t>）</w:t>
      </w:r>
      <w:r w:rsidR="00E9787B" w:rsidRPr="009D11AD">
        <w:rPr>
          <w:rFonts w:ascii="標楷體" w:eastAsia="標楷體" w:hAnsi="標楷體" w:hint="eastAsia"/>
          <w:szCs w:val="24"/>
        </w:rPr>
        <w:t>，顯示非在學兒少於校外接觸、施用毒品之風險逐年上升。</w:t>
      </w:r>
      <w:r w:rsidR="00FB1795" w:rsidRPr="009D11AD">
        <w:rPr>
          <w:rFonts w:ascii="標楷體" w:eastAsia="標楷體" w:hAnsi="標楷體" w:hint="eastAsia"/>
          <w:szCs w:val="24"/>
        </w:rPr>
        <w:lastRenderedPageBreak/>
        <w:t>衛生福利部</w:t>
      </w:r>
      <w:r w:rsidR="00E9787B" w:rsidRPr="009D11AD">
        <w:rPr>
          <w:rFonts w:ascii="標楷體" w:eastAsia="標楷體" w:hAnsi="標楷體" w:hint="eastAsia"/>
          <w:szCs w:val="24"/>
        </w:rPr>
        <w:t>為改善兒少毒品問題，分別於109、110及111年度律</w:t>
      </w:r>
      <w:r w:rsidR="00D95F90">
        <w:rPr>
          <w:rFonts w:ascii="標楷體" w:eastAsia="標楷體" w:hAnsi="標楷體" w:hint="eastAsia"/>
          <w:szCs w:val="24"/>
        </w:rPr>
        <w:t>定</w:t>
      </w:r>
      <w:r w:rsidR="00E9787B" w:rsidRPr="009D11AD">
        <w:rPr>
          <w:rFonts w:ascii="標楷體" w:eastAsia="標楷體" w:hAnsi="標楷體" w:hint="eastAsia"/>
          <w:szCs w:val="24"/>
        </w:rPr>
        <w:t>市縣政府辦理兒少施用毒品家長實際接受親職教育比率，以80％為目標。執行結果，分別為86.08％、86.56％、83.20％，已達目標值，惟111年度比率較前2年度下降，並有部分市縣未達目標值（</w:t>
      </w:r>
      <w:r w:rsidR="00E9787B" w:rsidRPr="00CE57F9">
        <w:rPr>
          <w:rFonts w:ascii="標楷體" w:eastAsia="標楷體" w:hAnsi="標楷體" w:hint="eastAsia"/>
          <w:szCs w:val="24"/>
        </w:rPr>
        <w:t>表</w:t>
      </w:r>
      <w:r w:rsidR="0056587F" w:rsidRPr="00CE57F9">
        <w:rPr>
          <w:rFonts w:ascii="標楷體" w:eastAsia="標楷體" w:hAnsi="標楷體" w:hint="eastAsia"/>
          <w:szCs w:val="24"/>
        </w:rPr>
        <w:t>6</w:t>
      </w:r>
      <w:r w:rsidR="00E9787B" w:rsidRPr="009D11AD">
        <w:rPr>
          <w:rFonts w:ascii="標楷體" w:eastAsia="標楷體" w:hAnsi="標楷體" w:hint="eastAsia"/>
          <w:szCs w:val="24"/>
        </w:rPr>
        <w:t>），不利及時提升家</w:t>
      </w:r>
      <w:r w:rsidR="00E9787B" w:rsidRPr="006873D7">
        <w:rPr>
          <w:rFonts w:ascii="標楷體" w:eastAsia="標楷體" w:hAnsi="標楷體" w:hint="eastAsia"/>
          <w:szCs w:val="24"/>
        </w:rPr>
        <w:t>長教養知能，有待督促加強辦理，以達年度目標值；（</w:t>
      </w:r>
      <w:r w:rsidR="00E9787B" w:rsidRPr="006873D7">
        <w:rPr>
          <w:rFonts w:ascii="標楷體" w:eastAsia="標楷體" w:hAnsi="標楷體"/>
          <w:szCs w:val="24"/>
        </w:rPr>
        <w:t>2</w:t>
      </w:r>
      <w:r w:rsidR="00E9787B" w:rsidRPr="006873D7">
        <w:rPr>
          <w:rFonts w:ascii="標楷體" w:eastAsia="標楷體" w:hAnsi="標楷體" w:hint="eastAsia"/>
          <w:szCs w:val="24"/>
        </w:rPr>
        <w:t>）</w:t>
      </w:r>
      <w:r w:rsidR="00FB1795" w:rsidRPr="006873D7">
        <w:rPr>
          <w:rFonts w:ascii="標楷體" w:eastAsia="標楷體" w:hAnsi="標楷體" w:hint="eastAsia"/>
          <w:szCs w:val="24"/>
        </w:rPr>
        <w:t>衛生福利部</w:t>
      </w:r>
      <w:r w:rsidR="00E9787B" w:rsidRPr="006873D7">
        <w:rPr>
          <w:rFonts w:ascii="標楷體" w:eastAsia="標楷體" w:hAnsi="標楷體" w:hint="eastAsia"/>
          <w:szCs w:val="24"/>
        </w:rPr>
        <w:t>為推動強化社會安全網計畫</w:t>
      </w:r>
      <w:r w:rsidR="00E9787B" w:rsidRPr="009D11AD">
        <w:rPr>
          <w:rFonts w:ascii="標楷體" w:eastAsia="標楷體" w:hAnsi="標楷體" w:hint="eastAsia"/>
          <w:szCs w:val="24"/>
        </w:rPr>
        <w:t>，已訂定脆弱家</w:t>
      </w:r>
      <w:r w:rsidRPr="00DA2751">
        <w:rPr>
          <w:rFonts w:ascii="標楷體" w:eastAsia="標楷體" w:hAnsi="標楷體"/>
          <w:noProof/>
          <w:color w:val="000000" w:themeColor="text1"/>
          <w:szCs w:val="24"/>
        </w:rPr>
        <mc:AlternateContent>
          <mc:Choice Requires="wps">
            <w:drawing>
              <wp:anchor distT="45720" distB="45720" distL="114300" distR="114300" simplePos="0" relativeHeight="251663872" behindDoc="0" locked="0" layoutInCell="1" allowOverlap="1" wp14:anchorId="745A9E94" wp14:editId="4DB97D86">
                <wp:simplePos x="0" y="0"/>
                <wp:positionH relativeFrom="margin">
                  <wp:posOffset>3813175</wp:posOffset>
                </wp:positionH>
                <wp:positionV relativeFrom="paragraph">
                  <wp:posOffset>-13335</wp:posOffset>
                </wp:positionV>
                <wp:extent cx="2483485" cy="2224405"/>
                <wp:effectExtent l="0" t="0" r="0" b="4445"/>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3485" cy="2224405"/>
                        </a:xfrm>
                        <a:prstGeom prst="rect">
                          <a:avLst/>
                        </a:prstGeom>
                        <a:solidFill>
                          <a:srgbClr val="FFFFFF"/>
                        </a:solidFill>
                        <a:ln w="9525">
                          <a:noFill/>
                          <a:miter lim="800000"/>
                          <a:headEnd/>
                          <a:tailEnd/>
                        </a:ln>
                      </wps:spPr>
                      <wps:txbx>
                        <w:txbxContent>
                          <w:p w14:paraId="7CD7D17A" w14:textId="065CACB6" w:rsidR="00CE57F9" w:rsidRPr="002924C4" w:rsidRDefault="00CE57F9" w:rsidP="00CF55F1">
                            <w:pPr>
                              <w:snapToGrid w:val="0"/>
                              <w:ind w:left="721" w:rightChars="-19" w:right="-46" w:hangingChars="300" w:hanging="721"/>
                              <w:contextualSpacing/>
                              <w:jc w:val="both"/>
                              <w:rPr>
                                <w:rFonts w:ascii="標楷體" w:eastAsia="標楷體" w:hAnsi="標楷體"/>
                                <w:b/>
                              </w:rPr>
                            </w:pPr>
                            <w:r w:rsidRPr="002924C4">
                              <w:rPr>
                                <w:rFonts w:ascii="標楷體" w:eastAsia="標楷體" w:hAnsi="標楷體" w:hint="eastAsia"/>
                                <w:b/>
                              </w:rPr>
                              <w:t>表</w:t>
                            </w:r>
                            <w:r w:rsidRPr="002924C4">
                              <w:rPr>
                                <w:rFonts w:ascii="標楷體" w:eastAsia="標楷體" w:hAnsi="標楷體"/>
                                <w:b/>
                              </w:rPr>
                              <w:t>6</w:t>
                            </w:r>
                            <w:r>
                              <w:rPr>
                                <w:rFonts w:ascii="標楷體" w:eastAsia="標楷體" w:hAnsi="標楷體" w:hint="eastAsia"/>
                                <w:b/>
                              </w:rPr>
                              <w:t xml:space="preserve">　</w:t>
                            </w:r>
                            <w:r w:rsidRPr="002924C4">
                              <w:rPr>
                                <w:rFonts w:ascii="標楷體" w:eastAsia="標楷體" w:hAnsi="標楷體" w:hint="eastAsia"/>
                                <w:b/>
                              </w:rPr>
                              <w:t>市縣政府辦理兒少施用毒品家長親職教育比率未達80％（目標值）</w:t>
                            </w:r>
                          </w:p>
                          <w:p w14:paraId="7E8C31FF" w14:textId="77777777" w:rsidR="00CE57F9" w:rsidRPr="00BA7D5B" w:rsidRDefault="00CE57F9" w:rsidP="00DA2751">
                            <w:pPr>
                              <w:snapToGrid w:val="0"/>
                              <w:ind w:left="560" w:hangingChars="280" w:hanging="560"/>
                              <w:contextualSpacing/>
                              <w:jc w:val="right"/>
                              <w:rPr>
                                <w:rFonts w:ascii="標楷體" w:eastAsia="標楷體" w:hAnsi="標楷體"/>
                                <w:sz w:val="20"/>
                              </w:rPr>
                            </w:pPr>
                            <w:r w:rsidRPr="00BA7D5B">
                              <w:rPr>
                                <w:rFonts w:ascii="標楷體" w:eastAsia="標楷體" w:hAnsi="標楷體" w:hint="eastAsia"/>
                                <w:sz w:val="20"/>
                              </w:rPr>
                              <w:t>單位：％</w:t>
                            </w:r>
                          </w:p>
                          <w:tbl>
                            <w:tblPr>
                              <w:tblStyle w:val="83"/>
                              <w:tblW w:w="3652" w:type="dxa"/>
                              <w:jc w:val="center"/>
                              <w:tblLook w:val="04A0" w:firstRow="1" w:lastRow="0" w:firstColumn="1" w:lastColumn="0" w:noHBand="0" w:noVBand="1"/>
                            </w:tblPr>
                            <w:tblGrid>
                              <w:gridCol w:w="1217"/>
                              <w:gridCol w:w="1217"/>
                              <w:gridCol w:w="1218"/>
                            </w:tblGrid>
                            <w:tr w:rsidR="00CE57F9" w:rsidRPr="00BA7D5B" w14:paraId="14D3CAA6" w14:textId="77777777" w:rsidTr="00DA2751">
                              <w:trPr>
                                <w:jc w:val="center"/>
                              </w:trPr>
                              <w:tc>
                                <w:tcPr>
                                  <w:tcW w:w="1217" w:type="dxa"/>
                                  <w:shd w:val="clear" w:color="auto" w:fill="auto"/>
                                </w:tcPr>
                                <w:p w14:paraId="63670D6E"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年度</w:t>
                                  </w:r>
                                </w:p>
                              </w:tc>
                              <w:tc>
                                <w:tcPr>
                                  <w:tcW w:w="1217" w:type="dxa"/>
                                  <w:shd w:val="clear" w:color="auto" w:fill="auto"/>
                                </w:tcPr>
                                <w:p w14:paraId="037B104D"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市縣別</w:t>
                                  </w:r>
                                </w:p>
                              </w:tc>
                              <w:tc>
                                <w:tcPr>
                                  <w:tcW w:w="1218" w:type="dxa"/>
                                  <w:shd w:val="clear" w:color="auto" w:fill="auto"/>
                                </w:tcPr>
                                <w:p w14:paraId="232D1D8F"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執行率</w:t>
                                  </w:r>
                                </w:p>
                              </w:tc>
                            </w:tr>
                            <w:tr w:rsidR="00CE57F9" w:rsidRPr="00BA7D5B" w14:paraId="28FE0D81" w14:textId="77777777" w:rsidTr="00DA2751">
                              <w:trPr>
                                <w:jc w:val="center"/>
                              </w:trPr>
                              <w:tc>
                                <w:tcPr>
                                  <w:tcW w:w="1217" w:type="dxa"/>
                                  <w:vMerge w:val="restart"/>
                                  <w:vAlign w:val="center"/>
                                </w:tcPr>
                                <w:p w14:paraId="1C11F1A9"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109</w:t>
                                  </w:r>
                                </w:p>
                              </w:tc>
                              <w:tc>
                                <w:tcPr>
                                  <w:tcW w:w="1217" w:type="dxa"/>
                                  <w:vAlign w:val="center"/>
                                </w:tcPr>
                                <w:p w14:paraId="7770B270"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臺南市</w:t>
                                  </w:r>
                                </w:p>
                              </w:tc>
                              <w:tc>
                                <w:tcPr>
                                  <w:tcW w:w="1218" w:type="dxa"/>
                                  <w:vAlign w:val="center"/>
                                </w:tcPr>
                                <w:p w14:paraId="397A6EEB" w14:textId="77777777" w:rsidR="00CE57F9" w:rsidRPr="00BA7D5B" w:rsidRDefault="00CE57F9" w:rsidP="00BA7D5B">
                                  <w:pPr>
                                    <w:jc w:val="right"/>
                                    <w:rPr>
                                      <w:rFonts w:ascii="標楷體" w:eastAsia="標楷體" w:hAnsi="標楷體"/>
                                      <w:kern w:val="0"/>
                                      <w:sz w:val="20"/>
                                    </w:rPr>
                                  </w:pPr>
                                  <w:r w:rsidRPr="00BA7D5B">
                                    <w:rPr>
                                      <w:rFonts w:ascii="標楷體" w:eastAsia="標楷體" w:hAnsi="標楷體" w:hint="eastAsia"/>
                                      <w:kern w:val="0"/>
                                      <w:sz w:val="20"/>
                                    </w:rPr>
                                    <w:t>64.58</w:t>
                                  </w:r>
                                </w:p>
                              </w:tc>
                            </w:tr>
                            <w:tr w:rsidR="00CE57F9" w:rsidRPr="00BA7D5B" w14:paraId="0B2596C8" w14:textId="77777777" w:rsidTr="00DA2751">
                              <w:trPr>
                                <w:jc w:val="center"/>
                              </w:trPr>
                              <w:tc>
                                <w:tcPr>
                                  <w:tcW w:w="1217" w:type="dxa"/>
                                  <w:vMerge/>
                                  <w:vAlign w:val="center"/>
                                </w:tcPr>
                                <w:p w14:paraId="3558E96D" w14:textId="77777777" w:rsidR="00CE57F9" w:rsidRPr="00BA7D5B" w:rsidRDefault="00CE57F9" w:rsidP="00BA7D5B">
                                  <w:pPr>
                                    <w:jc w:val="center"/>
                                    <w:rPr>
                                      <w:rFonts w:ascii="標楷體" w:eastAsia="標楷體" w:hAnsi="標楷體"/>
                                      <w:kern w:val="0"/>
                                      <w:sz w:val="20"/>
                                    </w:rPr>
                                  </w:pPr>
                                </w:p>
                              </w:tc>
                              <w:tc>
                                <w:tcPr>
                                  <w:tcW w:w="1217" w:type="dxa"/>
                                  <w:vAlign w:val="center"/>
                                </w:tcPr>
                                <w:p w14:paraId="2EFFD317"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新竹市</w:t>
                                  </w:r>
                                </w:p>
                              </w:tc>
                              <w:tc>
                                <w:tcPr>
                                  <w:tcW w:w="1218" w:type="dxa"/>
                                  <w:vAlign w:val="center"/>
                                </w:tcPr>
                                <w:p w14:paraId="2751E0B0" w14:textId="77777777" w:rsidR="00CE57F9" w:rsidRPr="00BA7D5B" w:rsidRDefault="00CE57F9" w:rsidP="00BA7D5B">
                                  <w:pPr>
                                    <w:jc w:val="right"/>
                                    <w:rPr>
                                      <w:rFonts w:ascii="標楷體" w:eastAsia="標楷體" w:hAnsi="標楷體"/>
                                      <w:kern w:val="0"/>
                                      <w:sz w:val="20"/>
                                    </w:rPr>
                                  </w:pPr>
                                  <w:r w:rsidRPr="00BA7D5B">
                                    <w:rPr>
                                      <w:rFonts w:ascii="標楷體" w:eastAsia="標楷體" w:hAnsi="標楷體" w:hint="eastAsia"/>
                                      <w:kern w:val="0"/>
                                      <w:sz w:val="20"/>
                                    </w:rPr>
                                    <w:t>57.89</w:t>
                                  </w:r>
                                </w:p>
                              </w:tc>
                            </w:tr>
                            <w:tr w:rsidR="00CE57F9" w:rsidRPr="00BA7D5B" w14:paraId="16244468" w14:textId="77777777" w:rsidTr="00DA2751">
                              <w:trPr>
                                <w:jc w:val="center"/>
                              </w:trPr>
                              <w:tc>
                                <w:tcPr>
                                  <w:tcW w:w="1217" w:type="dxa"/>
                                  <w:vMerge w:val="restart"/>
                                  <w:vAlign w:val="center"/>
                                </w:tcPr>
                                <w:p w14:paraId="3C163E23"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110</w:t>
                                  </w:r>
                                </w:p>
                              </w:tc>
                              <w:tc>
                                <w:tcPr>
                                  <w:tcW w:w="1217" w:type="dxa"/>
                                  <w:vAlign w:val="center"/>
                                </w:tcPr>
                                <w:p w14:paraId="3C5AA97E"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基隆市</w:t>
                                  </w:r>
                                </w:p>
                              </w:tc>
                              <w:tc>
                                <w:tcPr>
                                  <w:tcW w:w="1218" w:type="dxa"/>
                                  <w:vAlign w:val="center"/>
                                </w:tcPr>
                                <w:p w14:paraId="7D252C5F" w14:textId="77777777" w:rsidR="00CE57F9" w:rsidRPr="00BA7D5B" w:rsidRDefault="00CE57F9" w:rsidP="00BA7D5B">
                                  <w:pPr>
                                    <w:jc w:val="right"/>
                                    <w:rPr>
                                      <w:rFonts w:ascii="標楷體" w:eastAsia="標楷體" w:hAnsi="標楷體"/>
                                      <w:kern w:val="0"/>
                                      <w:sz w:val="20"/>
                                    </w:rPr>
                                  </w:pPr>
                                  <w:r w:rsidRPr="00BA7D5B">
                                    <w:rPr>
                                      <w:rFonts w:ascii="標楷體" w:eastAsia="標楷體" w:hAnsi="標楷體" w:hint="eastAsia"/>
                                      <w:kern w:val="0"/>
                                      <w:sz w:val="20"/>
                                    </w:rPr>
                                    <w:t>53.85</w:t>
                                  </w:r>
                                </w:p>
                              </w:tc>
                            </w:tr>
                            <w:tr w:rsidR="00CE57F9" w:rsidRPr="00BA7D5B" w14:paraId="6E67CADD" w14:textId="77777777" w:rsidTr="00DA2751">
                              <w:trPr>
                                <w:jc w:val="center"/>
                              </w:trPr>
                              <w:tc>
                                <w:tcPr>
                                  <w:tcW w:w="1217" w:type="dxa"/>
                                  <w:vMerge/>
                                  <w:vAlign w:val="center"/>
                                </w:tcPr>
                                <w:p w14:paraId="0861020E" w14:textId="77777777" w:rsidR="00CE57F9" w:rsidRPr="00BA7D5B" w:rsidRDefault="00CE57F9" w:rsidP="00BA7D5B">
                                  <w:pPr>
                                    <w:jc w:val="center"/>
                                    <w:rPr>
                                      <w:rFonts w:ascii="標楷體" w:eastAsia="標楷體" w:hAnsi="標楷體"/>
                                      <w:kern w:val="0"/>
                                      <w:sz w:val="20"/>
                                    </w:rPr>
                                  </w:pPr>
                                </w:p>
                              </w:tc>
                              <w:tc>
                                <w:tcPr>
                                  <w:tcW w:w="1217" w:type="dxa"/>
                                  <w:vAlign w:val="center"/>
                                </w:tcPr>
                                <w:p w14:paraId="0C989660"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新竹市</w:t>
                                  </w:r>
                                </w:p>
                              </w:tc>
                              <w:tc>
                                <w:tcPr>
                                  <w:tcW w:w="1218" w:type="dxa"/>
                                  <w:vAlign w:val="center"/>
                                </w:tcPr>
                                <w:p w14:paraId="54CD98B2" w14:textId="77777777" w:rsidR="00CE57F9" w:rsidRPr="00BA7D5B" w:rsidRDefault="00CE57F9" w:rsidP="00BA7D5B">
                                  <w:pPr>
                                    <w:jc w:val="right"/>
                                    <w:rPr>
                                      <w:rFonts w:ascii="標楷體" w:eastAsia="標楷體" w:hAnsi="標楷體"/>
                                      <w:kern w:val="0"/>
                                      <w:sz w:val="20"/>
                                    </w:rPr>
                                  </w:pPr>
                                  <w:r w:rsidRPr="00BA7D5B">
                                    <w:rPr>
                                      <w:rFonts w:ascii="標楷體" w:eastAsia="標楷體" w:hAnsi="標楷體" w:hint="eastAsia"/>
                                      <w:kern w:val="0"/>
                                      <w:sz w:val="20"/>
                                    </w:rPr>
                                    <w:t>55.56</w:t>
                                  </w:r>
                                </w:p>
                              </w:tc>
                            </w:tr>
                            <w:tr w:rsidR="00CE57F9" w:rsidRPr="00BA7D5B" w14:paraId="5D3DF6CA" w14:textId="77777777" w:rsidTr="00DA2751">
                              <w:trPr>
                                <w:jc w:val="center"/>
                              </w:trPr>
                              <w:tc>
                                <w:tcPr>
                                  <w:tcW w:w="1217" w:type="dxa"/>
                                  <w:vMerge/>
                                  <w:vAlign w:val="center"/>
                                </w:tcPr>
                                <w:p w14:paraId="1EDE7733" w14:textId="77777777" w:rsidR="00CE57F9" w:rsidRPr="00BA7D5B" w:rsidRDefault="00CE57F9" w:rsidP="00BA7D5B">
                                  <w:pPr>
                                    <w:jc w:val="center"/>
                                    <w:rPr>
                                      <w:rFonts w:ascii="標楷體" w:eastAsia="標楷體" w:hAnsi="標楷體"/>
                                      <w:kern w:val="0"/>
                                      <w:sz w:val="20"/>
                                    </w:rPr>
                                  </w:pPr>
                                </w:p>
                              </w:tc>
                              <w:tc>
                                <w:tcPr>
                                  <w:tcW w:w="1217" w:type="dxa"/>
                                  <w:vAlign w:val="center"/>
                                </w:tcPr>
                                <w:p w14:paraId="578F9D31"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嘉義市</w:t>
                                  </w:r>
                                </w:p>
                              </w:tc>
                              <w:tc>
                                <w:tcPr>
                                  <w:tcW w:w="1218" w:type="dxa"/>
                                  <w:vAlign w:val="center"/>
                                </w:tcPr>
                                <w:p w14:paraId="3B8E4D73" w14:textId="77777777" w:rsidR="00CE57F9" w:rsidRPr="00BA7D5B" w:rsidRDefault="00CE57F9" w:rsidP="00BA7D5B">
                                  <w:pPr>
                                    <w:jc w:val="right"/>
                                    <w:rPr>
                                      <w:rFonts w:ascii="標楷體" w:eastAsia="標楷體" w:hAnsi="標楷體"/>
                                      <w:kern w:val="0"/>
                                      <w:sz w:val="20"/>
                                    </w:rPr>
                                  </w:pPr>
                                  <w:r w:rsidRPr="00BA7D5B">
                                    <w:rPr>
                                      <w:rFonts w:ascii="標楷體" w:eastAsia="標楷體" w:hAnsi="標楷體" w:hint="eastAsia"/>
                                      <w:kern w:val="0"/>
                                      <w:sz w:val="20"/>
                                    </w:rPr>
                                    <w:t>50.00</w:t>
                                  </w:r>
                                </w:p>
                              </w:tc>
                            </w:tr>
                            <w:tr w:rsidR="00CE57F9" w:rsidRPr="00BA7D5B" w14:paraId="6ED44859" w14:textId="77777777" w:rsidTr="00DA2751">
                              <w:trPr>
                                <w:jc w:val="center"/>
                              </w:trPr>
                              <w:tc>
                                <w:tcPr>
                                  <w:tcW w:w="1217" w:type="dxa"/>
                                </w:tcPr>
                                <w:p w14:paraId="2D317E33"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111</w:t>
                                  </w:r>
                                </w:p>
                              </w:tc>
                              <w:tc>
                                <w:tcPr>
                                  <w:tcW w:w="1217" w:type="dxa"/>
                                  <w:vAlign w:val="center"/>
                                </w:tcPr>
                                <w:p w14:paraId="5EC323B2"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彰化縣</w:t>
                                  </w:r>
                                </w:p>
                              </w:tc>
                              <w:tc>
                                <w:tcPr>
                                  <w:tcW w:w="1218" w:type="dxa"/>
                                  <w:vAlign w:val="center"/>
                                </w:tcPr>
                                <w:p w14:paraId="7F3D5434" w14:textId="77777777" w:rsidR="00CE57F9" w:rsidRPr="00BA7D5B" w:rsidRDefault="00CE57F9" w:rsidP="00BA7D5B">
                                  <w:pPr>
                                    <w:jc w:val="right"/>
                                    <w:rPr>
                                      <w:rFonts w:ascii="標楷體" w:eastAsia="標楷體" w:hAnsi="標楷體"/>
                                      <w:kern w:val="0"/>
                                      <w:sz w:val="20"/>
                                    </w:rPr>
                                  </w:pPr>
                                  <w:r w:rsidRPr="00BA7D5B">
                                    <w:rPr>
                                      <w:rFonts w:ascii="標楷體" w:eastAsia="標楷體" w:hAnsi="標楷體" w:hint="eastAsia"/>
                                      <w:kern w:val="0"/>
                                      <w:sz w:val="20"/>
                                    </w:rPr>
                                    <w:t>50.00</w:t>
                                  </w:r>
                                </w:p>
                              </w:tc>
                            </w:tr>
                          </w:tbl>
                          <w:p w14:paraId="60E8691A" w14:textId="77777777" w:rsidR="00CE57F9" w:rsidRPr="00A018A0" w:rsidRDefault="00CE57F9" w:rsidP="00DA2751">
                            <w:pPr>
                              <w:snapToGrid w:val="0"/>
                              <w:ind w:left="540" w:rightChars="-52" w:right="-125" w:hangingChars="300" w:hanging="540"/>
                              <w:contextualSpacing/>
                              <w:jc w:val="both"/>
                              <w:rPr>
                                <w:rFonts w:ascii="標楷體" w:eastAsia="標楷體" w:hAnsi="標楷體"/>
                                <w:sz w:val="18"/>
                              </w:rPr>
                            </w:pPr>
                            <w:r w:rsidRPr="00A018A0">
                              <w:rPr>
                                <w:rFonts w:ascii="標楷體" w:eastAsia="標楷體" w:hAnsi="標楷體" w:hint="eastAsia"/>
                                <w:sz w:val="18"/>
                              </w:rPr>
                              <w:t>註：整理自</w:t>
                            </w:r>
                            <w:r>
                              <w:rPr>
                                <w:rFonts w:ascii="標楷體" w:eastAsia="標楷體" w:hAnsi="標楷體" w:hint="eastAsia"/>
                                <w:sz w:val="18"/>
                              </w:rPr>
                              <w:t>各市縣政府</w:t>
                            </w:r>
                            <w:r w:rsidRPr="00A018A0">
                              <w:rPr>
                                <w:rFonts w:ascii="標楷體" w:eastAsia="標楷體" w:hAnsi="標楷體" w:hint="eastAsia"/>
                                <w:sz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5A9E94" id="_x0000_s1034" type="#_x0000_t202" style="position:absolute;left:0;text-align:left;margin-left:300.25pt;margin-top:-1.05pt;width:195.55pt;height:175.15pt;z-index:2516638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" stroked="f">
                <v:textbox>
                  <w:txbxContent>
                    <w:p w14:paraId="7CD7D17A" w14:textId="065CACB6" w:rsidR="00CE57F9" w:rsidRPr="002924C4" w:rsidRDefault="00CE57F9" w:rsidP="00CF55F1">
                      <w:pPr>
                        <w:snapToGrid w:val="0"/>
                        <w:ind w:left="721" w:rightChars="-19" w:right="-46" w:hangingChars="300" w:hanging="721"/>
                        <w:contextualSpacing/>
                        <w:jc w:val="both"/>
                        <w:rPr>
                          <w:rFonts w:ascii="標楷體" w:eastAsia="標楷體" w:hAnsi="標楷體"/>
                          <w:b/>
                        </w:rPr>
                      </w:pPr>
                      <w:r w:rsidRPr="002924C4">
                        <w:rPr>
                          <w:rFonts w:ascii="標楷體" w:eastAsia="標楷體" w:hAnsi="標楷體" w:hint="eastAsia"/>
                          <w:b/>
                        </w:rPr>
                        <w:t>表</w:t>
                      </w:r>
                      <w:r w:rsidRPr="002924C4">
                        <w:rPr>
                          <w:rFonts w:ascii="標楷體" w:eastAsia="標楷體" w:hAnsi="標楷體"/>
                          <w:b/>
                        </w:rPr>
                        <w:t>6</w:t>
                      </w:r>
                      <w:r>
                        <w:rPr>
                          <w:rFonts w:ascii="標楷體" w:eastAsia="標楷體" w:hAnsi="標楷體" w:hint="eastAsia"/>
                          <w:b/>
                        </w:rPr>
                        <w:t xml:space="preserve">　</w:t>
                      </w:r>
                      <w:r w:rsidRPr="002924C4">
                        <w:rPr>
                          <w:rFonts w:ascii="標楷體" w:eastAsia="標楷體" w:hAnsi="標楷體" w:hint="eastAsia"/>
                          <w:b/>
                        </w:rPr>
                        <w:t>市縣政府辦理兒少施用毒品家長親職教育比率未達80％（目標值）</w:t>
                      </w:r>
                    </w:p>
                    <w:p w14:paraId="7E8C31FF" w14:textId="77777777" w:rsidR="00CE57F9" w:rsidRPr="00BA7D5B" w:rsidRDefault="00CE57F9" w:rsidP="00DA2751">
                      <w:pPr>
                        <w:snapToGrid w:val="0"/>
                        <w:ind w:left="560" w:hangingChars="280" w:hanging="560"/>
                        <w:contextualSpacing/>
                        <w:jc w:val="right"/>
                        <w:rPr>
                          <w:rFonts w:ascii="標楷體" w:eastAsia="標楷體" w:hAnsi="標楷體"/>
                          <w:sz w:val="20"/>
                        </w:rPr>
                      </w:pPr>
                      <w:r w:rsidRPr="00BA7D5B">
                        <w:rPr>
                          <w:rFonts w:ascii="標楷體" w:eastAsia="標楷體" w:hAnsi="標楷體" w:hint="eastAsia"/>
                          <w:sz w:val="20"/>
                        </w:rPr>
                        <w:t>單位：％</w:t>
                      </w:r>
                    </w:p>
                    <w:tbl>
                      <w:tblPr>
                        <w:tblStyle w:val="83"/>
                        <w:tblW w:w="3652" w:type="dxa"/>
                        <w:jc w:val="center"/>
                        <w:tblLook w:val="04A0" w:firstRow="1" w:lastRow="0" w:firstColumn="1" w:lastColumn="0" w:noHBand="0" w:noVBand="1"/>
                      </w:tblPr>
                      <w:tblGrid>
                        <w:gridCol w:w="1217"/>
                        <w:gridCol w:w="1217"/>
                        <w:gridCol w:w="1218"/>
                      </w:tblGrid>
                      <w:tr w:rsidR="00CE57F9" w:rsidRPr="00BA7D5B" w14:paraId="14D3CAA6" w14:textId="77777777" w:rsidTr="00DA2751">
                        <w:trPr>
                          <w:jc w:val="center"/>
                        </w:trPr>
                        <w:tc>
                          <w:tcPr>
                            <w:tcW w:w="1217" w:type="dxa"/>
                            <w:shd w:val="clear" w:color="auto" w:fill="auto"/>
                          </w:tcPr>
                          <w:p w14:paraId="63670D6E"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年度</w:t>
                            </w:r>
                          </w:p>
                        </w:tc>
                        <w:tc>
                          <w:tcPr>
                            <w:tcW w:w="1217" w:type="dxa"/>
                            <w:shd w:val="clear" w:color="auto" w:fill="auto"/>
                          </w:tcPr>
                          <w:p w14:paraId="037B104D"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市縣別</w:t>
                            </w:r>
                          </w:p>
                        </w:tc>
                        <w:tc>
                          <w:tcPr>
                            <w:tcW w:w="1218" w:type="dxa"/>
                            <w:shd w:val="clear" w:color="auto" w:fill="auto"/>
                          </w:tcPr>
                          <w:p w14:paraId="232D1D8F"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執行率</w:t>
                            </w:r>
                          </w:p>
                        </w:tc>
                      </w:tr>
                      <w:tr w:rsidR="00CE57F9" w:rsidRPr="00BA7D5B" w14:paraId="28FE0D81" w14:textId="77777777" w:rsidTr="00DA2751">
                        <w:trPr>
                          <w:jc w:val="center"/>
                        </w:trPr>
                        <w:tc>
                          <w:tcPr>
                            <w:tcW w:w="1217" w:type="dxa"/>
                            <w:vMerge w:val="restart"/>
                            <w:vAlign w:val="center"/>
                          </w:tcPr>
                          <w:p w14:paraId="1C11F1A9"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109</w:t>
                            </w:r>
                          </w:p>
                        </w:tc>
                        <w:tc>
                          <w:tcPr>
                            <w:tcW w:w="1217" w:type="dxa"/>
                            <w:vAlign w:val="center"/>
                          </w:tcPr>
                          <w:p w14:paraId="7770B270"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臺南市</w:t>
                            </w:r>
                          </w:p>
                        </w:tc>
                        <w:tc>
                          <w:tcPr>
                            <w:tcW w:w="1218" w:type="dxa"/>
                            <w:vAlign w:val="center"/>
                          </w:tcPr>
                          <w:p w14:paraId="397A6EEB" w14:textId="77777777" w:rsidR="00CE57F9" w:rsidRPr="00BA7D5B" w:rsidRDefault="00CE57F9" w:rsidP="00BA7D5B">
                            <w:pPr>
                              <w:jc w:val="right"/>
                              <w:rPr>
                                <w:rFonts w:ascii="標楷體" w:eastAsia="標楷體" w:hAnsi="標楷體"/>
                                <w:kern w:val="0"/>
                                <w:sz w:val="20"/>
                              </w:rPr>
                            </w:pPr>
                            <w:r w:rsidRPr="00BA7D5B">
                              <w:rPr>
                                <w:rFonts w:ascii="標楷體" w:eastAsia="標楷體" w:hAnsi="標楷體" w:hint="eastAsia"/>
                                <w:kern w:val="0"/>
                                <w:sz w:val="20"/>
                              </w:rPr>
                              <w:t>64.58</w:t>
                            </w:r>
                          </w:p>
                        </w:tc>
                      </w:tr>
                      <w:tr w:rsidR="00CE57F9" w:rsidRPr="00BA7D5B" w14:paraId="0B2596C8" w14:textId="77777777" w:rsidTr="00DA2751">
                        <w:trPr>
                          <w:jc w:val="center"/>
                        </w:trPr>
                        <w:tc>
                          <w:tcPr>
                            <w:tcW w:w="1217" w:type="dxa"/>
                            <w:vMerge/>
                            <w:vAlign w:val="center"/>
                          </w:tcPr>
                          <w:p w14:paraId="3558E96D" w14:textId="77777777" w:rsidR="00CE57F9" w:rsidRPr="00BA7D5B" w:rsidRDefault="00CE57F9" w:rsidP="00BA7D5B">
                            <w:pPr>
                              <w:jc w:val="center"/>
                              <w:rPr>
                                <w:rFonts w:ascii="標楷體" w:eastAsia="標楷體" w:hAnsi="標楷體"/>
                                <w:kern w:val="0"/>
                                <w:sz w:val="20"/>
                              </w:rPr>
                            </w:pPr>
                          </w:p>
                        </w:tc>
                        <w:tc>
                          <w:tcPr>
                            <w:tcW w:w="1217" w:type="dxa"/>
                            <w:vAlign w:val="center"/>
                          </w:tcPr>
                          <w:p w14:paraId="2EFFD317"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新竹市</w:t>
                            </w:r>
                          </w:p>
                        </w:tc>
                        <w:tc>
                          <w:tcPr>
                            <w:tcW w:w="1218" w:type="dxa"/>
                            <w:vAlign w:val="center"/>
                          </w:tcPr>
                          <w:p w14:paraId="2751E0B0" w14:textId="77777777" w:rsidR="00CE57F9" w:rsidRPr="00BA7D5B" w:rsidRDefault="00CE57F9" w:rsidP="00BA7D5B">
                            <w:pPr>
                              <w:jc w:val="right"/>
                              <w:rPr>
                                <w:rFonts w:ascii="標楷體" w:eastAsia="標楷體" w:hAnsi="標楷體"/>
                                <w:kern w:val="0"/>
                                <w:sz w:val="20"/>
                              </w:rPr>
                            </w:pPr>
                            <w:r w:rsidRPr="00BA7D5B">
                              <w:rPr>
                                <w:rFonts w:ascii="標楷體" w:eastAsia="標楷體" w:hAnsi="標楷體" w:hint="eastAsia"/>
                                <w:kern w:val="0"/>
                                <w:sz w:val="20"/>
                              </w:rPr>
                              <w:t>57.89</w:t>
                            </w:r>
                          </w:p>
                        </w:tc>
                      </w:tr>
                      <w:tr w:rsidR="00CE57F9" w:rsidRPr="00BA7D5B" w14:paraId="16244468" w14:textId="77777777" w:rsidTr="00DA2751">
                        <w:trPr>
                          <w:jc w:val="center"/>
                        </w:trPr>
                        <w:tc>
                          <w:tcPr>
                            <w:tcW w:w="1217" w:type="dxa"/>
                            <w:vMerge w:val="restart"/>
                            <w:vAlign w:val="center"/>
                          </w:tcPr>
                          <w:p w14:paraId="3C163E23"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110</w:t>
                            </w:r>
                          </w:p>
                        </w:tc>
                        <w:tc>
                          <w:tcPr>
                            <w:tcW w:w="1217" w:type="dxa"/>
                            <w:vAlign w:val="center"/>
                          </w:tcPr>
                          <w:p w14:paraId="3C5AA97E"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基隆市</w:t>
                            </w:r>
                          </w:p>
                        </w:tc>
                        <w:tc>
                          <w:tcPr>
                            <w:tcW w:w="1218" w:type="dxa"/>
                            <w:vAlign w:val="center"/>
                          </w:tcPr>
                          <w:p w14:paraId="7D252C5F" w14:textId="77777777" w:rsidR="00CE57F9" w:rsidRPr="00BA7D5B" w:rsidRDefault="00CE57F9" w:rsidP="00BA7D5B">
                            <w:pPr>
                              <w:jc w:val="right"/>
                              <w:rPr>
                                <w:rFonts w:ascii="標楷體" w:eastAsia="標楷體" w:hAnsi="標楷體"/>
                                <w:kern w:val="0"/>
                                <w:sz w:val="20"/>
                              </w:rPr>
                            </w:pPr>
                            <w:r w:rsidRPr="00BA7D5B">
                              <w:rPr>
                                <w:rFonts w:ascii="標楷體" w:eastAsia="標楷體" w:hAnsi="標楷體" w:hint="eastAsia"/>
                                <w:kern w:val="0"/>
                                <w:sz w:val="20"/>
                              </w:rPr>
                              <w:t>53.85</w:t>
                            </w:r>
                          </w:p>
                        </w:tc>
                      </w:tr>
                      <w:tr w:rsidR="00CE57F9" w:rsidRPr="00BA7D5B" w14:paraId="6E67CADD" w14:textId="77777777" w:rsidTr="00DA2751">
                        <w:trPr>
                          <w:jc w:val="center"/>
                        </w:trPr>
                        <w:tc>
                          <w:tcPr>
                            <w:tcW w:w="1217" w:type="dxa"/>
                            <w:vMerge/>
                            <w:vAlign w:val="center"/>
                          </w:tcPr>
                          <w:p w14:paraId="0861020E" w14:textId="77777777" w:rsidR="00CE57F9" w:rsidRPr="00BA7D5B" w:rsidRDefault="00CE57F9" w:rsidP="00BA7D5B">
                            <w:pPr>
                              <w:jc w:val="center"/>
                              <w:rPr>
                                <w:rFonts w:ascii="標楷體" w:eastAsia="標楷體" w:hAnsi="標楷體"/>
                                <w:kern w:val="0"/>
                                <w:sz w:val="20"/>
                              </w:rPr>
                            </w:pPr>
                          </w:p>
                        </w:tc>
                        <w:tc>
                          <w:tcPr>
                            <w:tcW w:w="1217" w:type="dxa"/>
                            <w:vAlign w:val="center"/>
                          </w:tcPr>
                          <w:p w14:paraId="0C989660"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新竹市</w:t>
                            </w:r>
                          </w:p>
                        </w:tc>
                        <w:tc>
                          <w:tcPr>
                            <w:tcW w:w="1218" w:type="dxa"/>
                            <w:vAlign w:val="center"/>
                          </w:tcPr>
                          <w:p w14:paraId="54CD98B2" w14:textId="77777777" w:rsidR="00CE57F9" w:rsidRPr="00BA7D5B" w:rsidRDefault="00CE57F9" w:rsidP="00BA7D5B">
                            <w:pPr>
                              <w:jc w:val="right"/>
                              <w:rPr>
                                <w:rFonts w:ascii="標楷體" w:eastAsia="標楷體" w:hAnsi="標楷體"/>
                                <w:kern w:val="0"/>
                                <w:sz w:val="20"/>
                              </w:rPr>
                            </w:pPr>
                            <w:r w:rsidRPr="00BA7D5B">
                              <w:rPr>
                                <w:rFonts w:ascii="標楷體" w:eastAsia="標楷體" w:hAnsi="標楷體" w:hint="eastAsia"/>
                                <w:kern w:val="0"/>
                                <w:sz w:val="20"/>
                              </w:rPr>
                              <w:t>55.56</w:t>
                            </w:r>
                          </w:p>
                        </w:tc>
                      </w:tr>
                      <w:tr w:rsidR="00CE57F9" w:rsidRPr="00BA7D5B" w14:paraId="5D3DF6CA" w14:textId="77777777" w:rsidTr="00DA2751">
                        <w:trPr>
                          <w:jc w:val="center"/>
                        </w:trPr>
                        <w:tc>
                          <w:tcPr>
                            <w:tcW w:w="1217" w:type="dxa"/>
                            <w:vMerge/>
                            <w:vAlign w:val="center"/>
                          </w:tcPr>
                          <w:p w14:paraId="1EDE7733" w14:textId="77777777" w:rsidR="00CE57F9" w:rsidRPr="00BA7D5B" w:rsidRDefault="00CE57F9" w:rsidP="00BA7D5B">
                            <w:pPr>
                              <w:jc w:val="center"/>
                              <w:rPr>
                                <w:rFonts w:ascii="標楷體" w:eastAsia="標楷體" w:hAnsi="標楷體"/>
                                <w:kern w:val="0"/>
                                <w:sz w:val="20"/>
                              </w:rPr>
                            </w:pPr>
                          </w:p>
                        </w:tc>
                        <w:tc>
                          <w:tcPr>
                            <w:tcW w:w="1217" w:type="dxa"/>
                            <w:vAlign w:val="center"/>
                          </w:tcPr>
                          <w:p w14:paraId="578F9D31"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嘉義市</w:t>
                            </w:r>
                          </w:p>
                        </w:tc>
                        <w:tc>
                          <w:tcPr>
                            <w:tcW w:w="1218" w:type="dxa"/>
                            <w:vAlign w:val="center"/>
                          </w:tcPr>
                          <w:p w14:paraId="3B8E4D73" w14:textId="77777777" w:rsidR="00CE57F9" w:rsidRPr="00BA7D5B" w:rsidRDefault="00CE57F9" w:rsidP="00BA7D5B">
                            <w:pPr>
                              <w:jc w:val="right"/>
                              <w:rPr>
                                <w:rFonts w:ascii="標楷體" w:eastAsia="標楷體" w:hAnsi="標楷體"/>
                                <w:kern w:val="0"/>
                                <w:sz w:val="20"/>
                              </w:rPr>
                            </w:pPr>
                            <w:r w:rsidRPr="00BA7D5B">
                              <w:rPr>
                                <w:rFonts w:ascii="標楷體" w:eastAsia="標楷體" w:hAnsi="標楷體" w:hint="eastAsia"/>
                                <w:kern w:val="0"/>
                                <w:sz w:val="20"/>
                              </w:rPr>
                              <w:t>50.00</w:t>
                            </w:r>
                          </w:p>
                        </w:tc>
                      </w:tr>
                      <w:tr w:rsidR="00CE57F9" w:rsidRPr="00BA7D5B" w14:paraId="6ED44859" w14:textId="77777777" w:rsidTr="00DA2751">
                        <w:trPr>
                          <w:jc w:val="center"/>
                        </w:trPr>
                        <w:tc>
                          <w:tcPr>
                            <w:tcW w:w="1217" w:type="dxa"/>
                          </w:tcPr>
                          <w:p w14:paraId="2D317E33"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111</w:t>
                            </w:r>
                          </w:p>
                        </w:tc>
                        <w:tc>
                          <w:tcPr>
                            <w:tcW w:w="1217" w:type="dxa"/>
                            <w:vAlign w:val="center"/>
                          </w:tcPr>
                          <w:p w14:paraId="5EC323B2" w14:textId="77777777" w:rsidR="00CE57F9" w:rsidRPr="00BA7D5B" w:rsidRDefault="00CE57F9" w:rsidP="00BA7D5B">
                            <w:pPr>
                              <w:jc w:val="center"/>
                              <w:rPr>
                                <w:rFonts w:ascii="標楷體" w:eastAsia="標楷體" w:hAnsi="標楷體"/>
                                <w:kern w:val="0"/>
                                <w:sz w:val="20"/>
                              </w:rPr>
                            </w:pPr>
                            <w:r w:rsidRPr="00BA7D5B">
                              <w:rPr>
                                <w:rFonts w:ascii="標楷體" w:eastAsia="標楷體" w:hAnsi="標楷體" w:hint="eastAsia"/>
                                <w:kern w:val="0"/>
                                <w:sz w:val="20"/>
                              </w:rPr>
                              <w:t>彰化縣</w:t>
                            </w:r>
                          </w:p>
                        </w:tc>
                        <w:tc>
                          <w:tcPr>
                            <w:tcW w:w="1218" w:type="dxa"/>
                            <w:vAlign w:val="center"/>
                          </w:tcPr>
                          <w:p w14:paraId="7F3D5434" w14:textId="77777777" w:rsidR="00CE57F9" w:rsidRPr="00BA7D5B" w:rsidRDefault="00CE57F9" w:rsidP="00BA7D5B">
                            <w:pPr>
                              <w:jc w:val="right"/>
                              <w:rPr>
                                <w:rFonts w:ascii="標楷體" w:eastAsia="標楷體" w:hAnsi="標楷體"/>
                                <w:kern w:val="0"/>
                                <w:sz w:val="20"/>
                              </w:rPr>
                            </w:pPr>
                            <w:r w:rsidRPr="00BA7D5B">
                              <w:rPr>
                                <w:rFonts w:ascii="標楷體" w:eastAsia="標楷體" w:hAnsi="標楷體" w:hint="eastAsia"/>
                                <w:kern w:val="0"/>
                                <w:sz w:val="20"/>
                              </w:rPr>
                              <w:t>50.00</w:t>
                            </w:r>
                          </w:p>
                        </w:tc>
                      </w:tr>
                    </w:tbl>
                    <w:p w14:paraId="60E8691A" w14:textId="77777777" w:rsidR="00CE57F9" w:rsidRPr="00A018A0" w:rsidRDefault="00CE57F9" w:rsidP="00DA2751">
                      <w:pPr>
                        <w:snapToGrid w:val="0"/>
                        <w:ind w:left="540" w:rightChars="-52" w:right="-125" w:hangingChars="300" w:hanging="540"/>
                        <w:contextualSpacing/>
                        <w:jc w:val="both"/>
                        <w:rPr>
                          <w:rFonts w:ascii="標楷體" w:eastAsia="標楷體" w:hAnsi="標楷體"/>
                          <w:sz w:val="18"/>
                        </w:rPr>
                      </w:pPr>
                      <w:r w:rsidRPr="00A018A0">
                        <w:rPr>
                          <w:rFonts w:ascii="標楷體" w:eastAsia="標楷體" w:hAnsi="標楷體" w:hint="eastAsia"/>
                          <w:sz w:val="18"/>
                        </w:rPr>
                        <w:t>註：整理自</w:t>
                      </w:r>
                      <w:r>
                        <w:rPr>
                          <w:rFonts w:ascii="標楷體" w:eastAsia="標楷體" w:hAnsi="標楷體" w:hint="eastAsia"/>
                          <w:sz w:val="18"/>
                        </w:rPr>
                        <w:t>各市縣政府</w:t>
                      </w:r>
                      <w:r w:rsidRPr="00A018A0">
                        <w:rPr>
                          <w:rFonts w:ascii="標楷體" w:eastAsia="標楷體" w:hAnsi="標楷體" w:hint="eastAsia"/>
                          <w:sz w:val="18"/>
                        </w:rPr>
                        <w:t>提供資料。</w:t>
                      </w:r>
                    </w:p>
                  </w:txbxContent>
                </v:textbox>
                <w10:wrap type="square" anchorx="margin"/>
              </v:shape>
            </w:pict>
          </mc:Fallback>
        </mc:AlternateContent>
      </w:r>
      <w:r w:rsidR="00E9787B" w:rsidRPr="009D11AD">
        <w:rPr>
          <w:rFonts w:ascii="標楷體" w:eastAsia="標楷體" w:hAnsi="標楷體" w:hint="eastAsia"/>
          <w:szCs w:val="24"/>
        </w:rPr>
        <w:t>庭指標（包括物質濫用等），並建置「脆弱家庭個案管理系統」，以掌握家庭成員狀況。經查109至111年度通報兒少施用毒品人數，屬脆弱家庭個案之家庭成員者比率，自24.35％上升至33.65％（</w:t>
      </w:r>
      <w:r w:rsidR="00E9787B" w:rsidRPr="00CE57F9">
        <w:rPr>
          <w:rFonts w:ascii="標楷體" w:eastAsia="標楷體" w:hAnsi="標楷體" w:hint="eastAsia"/>
          <w:szCs w:val="24"/>
        </w:rPr>
        <w:t>表</w:t>
      </w:r>
      <w:r w:rsidR="0056587F" w:rsidRPr="00CE57F9">
        <w:rPr>
          <w:rFonts w:ascii="標楷體" w:eastAsia="標楷體" w:hAnsi="標楷體" w:hint="eastAsia"/>
          <w:szCs w:val="24"/>
        </w:rPr>
        <w:t>5</w:t>
      </w:r>
      <w:r w:rsidR="00E9787B" w:rsidRPr="00CE57F9">
        <w:rPr>
          <w:rFonts w:ascii="標楷體" w:eastAsia="標楷體" w:hAnsi="標楷體" w:hint="eastAsia"/>
          <w:szCs w:val="24"/>
        </w:rPr>
        <w:t>），顯示涉毒兒少來自高風險家庭比率上升；另涉及毒品成員之脆弱家庭，近8成家庭中有18歲以下兒少（表</w:t>
      </w:r>
      <w:r w:rsidR="0056587F" w:rsidRPr="00CE57F9">
        <w:rPr>
          <w:rFonts w:ascii="標楷體" w:eastAsia="標楷體" w:hAnsi="標楷體" w:hint="eastAsia"/>
          <w:szCs w:val="24"/>
        </w:rPr>
        <w:t>7</w:t>
      </w:r>
      <w:r w:rsidR="00E9787B" w:rsidRPr="00CE57F9">
        <w:rPr>
          <w:rFonts w:ascii="標楷體" w:eastAsia="標楷體" w:hAnsi="標楷體" w:hint="eastAsia"/>
          <w:szCs w:val="24"/>
        </w:rPr>
        <w:t>）</w:t>
      </w:r>
      <w:r w:rsidR="00E9787B" w:rsidRPr="009D11AD">
        <w:rPr>
          <w:rFonts w:ascii="標楷體" w:eastAsia="標楷體" w:hAnsi="標楷體" w:hint="eastAsia"/>
          <w:szCs w:val="24"/>
        </w:rPr>
        <w:t>，惟現行</w:t>
      </w:r>
      <w:r w:rsidR="00FB1795" w:rsidRPr="009D11AD">
        <w:rPr>
          <w:rFonts w:ascii="標楷體" w:eastAsia="標楷體" w:hAnsi="標楷體" w:hint="eastAsia"/>
          <w:szCs w:val="24"/>
        </w:rPr>
        <w:t>衛生福利部</w:t>
      </w:r>
      <w:r w:rsidR="00E9787B" w:rsidRPr="009D11AD">
        <w:rPr>
          <w:rFonts w:ascii="標楷體" w:eastAsia="標楷體" w:hAnsi="標楷體" w:hint="eastAsia"/>
          <w:szCs w:val="24"/>
        </w:rPr>
        <w:t>符合脆弱家庭服務指標，仍須進行完整脆弱性面向評估（含支持資源）、家庭功能評估與需求評估，始得決定開案與否或共案輔導。又教育部為落實學生藥物濫用防制，已建立三級預防機制，惟除運用觀察、詢問外，須俟社</w:t>
      </w:r>
      <w:r w:rsidR="00BC17E6" w:rsidRPr="009D11AD">
        <w:rPr>
          <w:rFonts w:ascii="標楷體" w:eastAsia="標楷體" w:hAnsi="標楷體" w:hint="eastAsia"/>
          <w:szCs w:val="24"/>
        </w:rPr>
        <w:t>會</w:t>
      </w:r>
      <w:r w:rsidR="00E9787B" w:rsidRPr="009D11AD">
        <w:rPr>
          <w:rFonts w:ascii="標楷體" w:eastAsia="標楷體" w:hAnsi="標楷體" w:hint="eastAsia"/>
          <w:szCs w:val="24"/>
        </w:rPr>
        <w:t>福</w:t>
      </w:r>
      <w:r w:rsidR="00BC17E6" w:rsidRPr="009D11AD">
        <w:rPr>
          <w:rFonts w:ascii="標楷體" w:eastAsia="標楷體" w:hAnsi="標楷體" w:hint="eastAsia"/>
          <w:szCs w:val="24"/>
        </w:rPr>
        <w:t>利服務</w:t>
      </w:r>
      <w:r w:rsidR="00E9787B" w:rsidRPr="009D11AD">
        <w:rPr>
          <w:rFonts w:ascii="標楷體" w:eastAsia="標楷體" w:hAnsi="標楷體" w:hint="eastAsia"/>
          <w:szCs w:val="24"/>
        </w:rPr>
        <w:t>中心社工</w:t>
      </w:r>
      <w:r w:rsidR="004C185E" w:rsidRPr="009D11AD">
        <w:rPr>
          <w:rFonts w:ascii="標楷體" w:eastAsia="標楷體" w:hAnsi="標楷體"/>
          <w:noProof/>
          <w:szCs w:val="24"/>
        </w:rPr>
        <mc:AlternateContent>
          <mc:Choice Requires="wps">
            <w:drawing>
              <wp:anchor distT="45720" distB="45720" distL="114300" distR="114300" simplePos="0" relativeHeight="251668992" behindDoc="0" locked="0" layoutInCell="1" allowOverlap="1" wp14:anchorId="27DE3F5A" wp14:editId="6011612F">
                <wp:simplePos x="0" y="0"/>
                <wp:positionH relativeFrom="margin">
                  <wp:posOffset>3794760</wp:posOffset>
                </wp:positionH>
                <wp:positionV relativeFrom="margin">
                  <wp:posOffset>2232025</wp:posOffset>
                </wp:positionV>
                <wp:extent cx="2494800" cy="2196000"/>
                <wp:effectExtent l="0" t="0" r="1270" b="0"/>
                <wp:wrapSquare wrapText="bothSides"/>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4800" cy="2196000"/>
                        </a:xfrm>
                        <a:prstGeom prst="rect">
                          <a:avLst/>
                        </a:prstGeom>
                        <a:solidFill>
                          <a:srgbClr val="FFFFFF"/>
                        </a:solidFill>
                        <a:ln w="9525">
                          <a:noFill/>
                          <a:miter lim="800000"/>
                          <a:headEnd/>
                          <a:tailEnd/>
                        </a:ln>
                      </wps:spPr>
                      <wps:txbx>
                        <w:txbxContent>
                          <w:p w14:paraId="62C1A0DD" w14:textId="77777777" w:rsidR="00CE57F9" w:rsidRPr="002924C4" w:rsidRDefault="00CE57F9" w:rsidP="00DA2751">
                            <w:pPr>
                              <w:snapToGrid w:val="0"/>
                              <w:ind w:left="783" w:hangingChars="326" w:hanging="783"/>
                              <w:contextualSpacing/>
                              <w:jc w:val="both"/>
                              <w:rPr>
                                <w:rFonts w:ascii="標楷體" w:eastAsia="標楷體" w:hAnsi="標楷體"/>
                                <w:b/>
                              </w:rPr>
                            </w:pPr>
                            <w:r w:rsidRPr="002924C4">
                              <w:rPr>
                                <w:rFonts w:ascii="標楷體" w:eastAsia="標楷體" w:hAnsi="標楷體" w:hint="eastAsia"/>
                                <w:b/>
                              </w:rPr>
                              <w:t>表</w:t>
                            </w:r>
                            <w:r w:rsidRPr="002924C4">
                              <w:rPr>
                                <w:rFonts w:ascii="標楷體" w:eastAsia="標楷體" w:hAnsi="標楷體"/>
                                <w:b/>
                              </w:rPr>
                              <w:t>7</w:t>
                            </w:r>
                            <w:r>
                              <w:rPr>
                                <w:rFonts w:ascii="標楷體" w:eastAsia="標楷體" w:hAnsi="標楷體" w:hint="eastAsia"/>
                                <w:b/>
                              </w:rPr>
                              <w:t xml:space="preserve">　</w:t>
                            </w:r>
                            <w:r w:rsidRPr="002924C4">
                              <w:rPr>
                                <w:rFonts w:ascii="標楷體" w:eastAsia="標楷體" w:hAnsi="標楷體" w:hint="eastAsia"/>
                                <w:b/>
                              </w:rPr>
                              <w:t>涉及毒品成員之脆弱家庭</w:t>
                            </w:r>
                            <w:r w:rsidRPr="00BA7D5B">
                              <w:rPr>
                                <w:rFonts w:ascii="標楷體" w:eastAsia="標楷體" w:hAnsi="標楷體" w:hint="eastAsia"/>
                                <w:b/>
                              </w:rPr>
                              <w:t>有18歲以下兒少情形</w:t>
                            </w:r>
                          </w:p>
                          <w:p w14:paraId="39453725" w14:textId="77777777" w:rsidR="00CE57F9" w:rsidRDefault="00CE57F9" w:rsidP="00DA2751">
                            <w:pPr>
                              <w:snapToGrid w:val="0"/>
                              <w:ind w:left="616" w:hangingChars="280" w:hanging="616"/>
                              <w:contextualSpacing/>
                              <w:jc w:val="right"/>
                              <w:rPr>
                                <w:rFonts w:ascii="標楷體" w:eastAsia="標楷體" w:hAnsi="標楷體"/>
                                <w:sz w:val="18"/>
                              </w:rPr>
                            </w:pPr>
                            <w:r w:rsidRPr="00A90CFF">
                              <w:rPr>
                                <w:rFonts w:ascii="標楷體" w:eastAsia="標楷體" w:hAnsi="標楷體" w:hint="eastAsia"/>
                                <w:sz w:val="22"/>
                              </w:rPr>
                              <w:t>單</w:t>
                            </w:r>
                            <w:r w:rsidRPr="00BA7D5B">
                              <w:rPr>
                                <w:rFonts w:ascii="標楷體" w:eastAsia="標楷體" w:hAnsi="標楷體" w:hint="eastAsia"/>
                                <w:sz w:val="20"/>
                              </w:rPr>
                              <w:t>位：</w:t>
                            </w:r>
                            <w:r>
                              <w:rPr>
                                <w:rFonts w:ascii="標楷體" w:eastAsia="標楷體" w:hAnsi="標楷體" w:hint="eastAsia"/>
                                <w:sz w:val="20"/>
                              </w:rPr>
                              <w:t>戶</w:t>
                            </w:r>
                            <w:r w:rsidRPr="00BA7D5B">
                              <w:rPr>
                                <w:rFonts w:ascii="標楷體" w:eastAsia="標楷體" w:hAnsi="標楷體" w:hint="eastAsia"/>
                                <w:sz w:val="20"/>
                              </w:rPr>
                              <w:t>、％</w:t>
                            </w:r>
                          </w:p>
                          <w:tbl>
                            <w:tblPr>
                              <w:tblW w:w="3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82"/>
                              <w:gridCol w:w="1031"/>
                              <w:gridCol w:w="850"/>
                              <w:gridCol w:w="964"/>
                            </w:tblGrid>
                            <w:tr w:rsidR="00CE57F9" w:rsidRPr="008D19C2" w14:paraId="2729682C" w14:textId="77777777" w:rsidTr="00DA2751">
                              <w:trPr>
                                <w:trHeight w:val="20"/>
                                <w:jc w:val="center"/>
                              </w:trPr>
                              <w:tc>
                                <w:tcPr>
                                  <w:tcW w:w="882" w:type="dxa"/>
                                  <w:vMerge w:val="restart"/>
                                  <w:tcBorders>
                                    <w:top w:val="single" w:sz="4" w:space="0" w:color="auto"/>
                                    <w:right w:val="single" w:sz="4" w:space="0" w:color="auto"/>
                                  </w:tcBorders>
                                  <w:shd w:val="clear" w:color="auto" w:fill="auto"/>
                                  <w:noWrap/>
                                  <w:vAlign w:val="center"/>
                                  <w:hideMark/>
                                </w:tcPr>
                                <w:p w14:paraId="2F615FC2" w14:textId="77777777" w:rsidR="00CE57F9" w:rsidRPr="008D19C2" w:rsidRDefault="00CE57F9" w:rsidP="00DA2751">
                                  <w:pPr>
                                    <w:widowControl/>
                                    <w:spacing w:line="300" w:lineRule="exact"/>
                                    <w:jc w:val="center"/>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年度</w:t>
                                  </w:r>
                                </w:p>
                              </w:tc>
                              <w:tc>
                                <w:tcPr>
                                  <w:tcW w:w="2845" w:type="dxa"/>
                                  <w:gridSpan w:val="3"/>
                                  <w:tcBorders>
                                    <w:top w:val="single" w:sz="4" w:space="0" w:color="auto"/>
                                    <w:left w:val="single" w:sz="4" w:space="0" w:color="auto"/>
                                    <w:bottom w:val="nil"/>
                                    <w:right w:val="single" w:sz="4" w:space="0" w:color="auto"/>
                                  </w:tcBorders>
                                  <w:shd w:val="clear" w:color="auto" w:fill="auto"/>
                                  <w:vAlign w:val="center"/>
                                  <w:hideMark/>
                                </w:tcPr>
                                <w:p w14:paraId="45A35CBC" w14:textId="77777777" w:rsidR="00CE57F9" w:rsidRPr="008D19C2" w:rsidRDefault="00CE57F9" w:rsidP="00DA2751">
                                  <w:pPr>
                                    <w:widowControl/>
                                    <w:spacing w:line="300" w:lineRule="exact"/>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涉及毒品成員之脆弱家庭</w:t>
                                  </w:r>
                                </w:p>
                              </w:tc>
                            </w:tr>
                            <w:tr w:rsidR="00CE57F9" w:rsidRPr="008D19C2" w14:paraId="7266AE31" w14:textId="77777777" w:rsidTr="00DA2751">
                              <w:trPr>
                                <w:trHeight w:val="20"/>
                                <w:jc w:val="center"/>
                              </w:trPr>
                              <w:tc>
                                <w:tcPr>
                                  <w:tcW w:w="882" w:type="dxa"/>
                                  <w:vMerge/>
                                  <w:tcBorders>
                                    <w:right w:val="single" w:sz="4" w:space="0" w:color="auto"/>
                                  </w:tcBorders>
                                  <w:shd w:val="clear" w:color="auto" w:fill="auto"/>
                                  <w:noWrap/>
                                  <w:vAlign w:val="center"/>
                                </w:tcPr>
                                <w:p w14:paraId="7A8E2B95" w14:textId="77777777" w:rsidR="00CE57F9" w:rsidRPr="008D19C2" w:rsidRDefault="00CE57F9" w:rsidP="00DA2751">
                                  <w:pPr>
                                    <w:widowControl/>
                                    <w:spacing w:line="300" w:lineRule="exact"/>
                                    <w:jc w:val="center"/>
                                    <w:rPr>
                                      <w:rFonts w:ascii="標楷體" w:eastAsia="標楷體" w:hAnsi="標楷體" w:cs="新細明體"/>
                                      <w:color w:val="000000"/>
                                      <w:kern w:val="0"/>
                                      <w:sz w:val="20"/>
                                      <w:szCs w:val="28"/>
                                    </w:rPr>
                                  </w:pPr>
                                </w:p>
                              </w:tc>
                              <w:tc>
                                <w:tcPr>
                                  <w:tcW w:w="1031" w:type="dxa"/>
                                  <w:vMerge w:val="restart"/>
                                  <w:tcBorders>
                                    <w:top w:val="nil"/>
                                    <w:left w:val="single" w:sz="4" w:space="0" w:color="auto"/>
                                    <w:right w:val="single" w:sz="4" w:space="0" w:color="auto"/>
                                  </w:tcBorders>
                                  <w:shd w:val="clear" w:color="auto" w:fill="auto"/>
                                  <w:vAlign w:val="center"/>
                                </w:tcPr>
                                <w:p w14:paraId="3B2AFDE6" w14:textId="77777777" w:rsidR="00CE57F9" w:rsidRPr="003F3E92" w:rsidRDefault="00CE57F9" w:rsidP="00DA2751">
                                  <w:pPr>
                                    <w:widowControl/>
                                    <w:spacing w:line="300" w:lineRule="exact"/>
                                    <w:jc w:val="center"/>
                                    <w:rPr>
                                      <w:rFonts w:ascii="標楷體" w:eastAsia="標楷體" w:hAnsi="標楷體" w:cs="新細明體"/>
                                      <w:color w:val="000000"/>
                                      <w:kern w:val="0"/>
                                      <w:sz w:val="20"/>
                                      <w:szCs w:val="28"/>
                                    </w:rPr>
                                  </w:pPr>
                                </w:p>
                              </w:tc>
                              <w:tc>
                                <w:tcPr>
                                  <w:tcW w:w="1814" w:type="dxa"/>
                                  <w:gridSpan w:val="2"/>
                                  <w:tcBorders>
                                    <w:top w:val="single" w:sz="4" w:space="0" w:color="auto"/>
                                    <w:left w:val="single" w:sz="4" w:space="0" w:color="auto"/>
                                    <w:bottom w:val="nil"/>
                                    <w:right w:val="single" w:sz="4" w:space="0" w:color="auto"/>
                                  </w:tcBorders>
                                  <w:shd w:val="clear" w:color="auto" w:fill="auto"/>
                                  <w:vAlign w:val="center"/>
                                </w:tcPr>
                                <w:p w14:paraId="7B5B2350" w14:textId="77777777" w:rsidR="00CE57F9" w:rsidRPr="008D19C2" w:rsidRDefault="00CE57F9" w:rsidP="00DA2751">
                                  <w:pPr>
                                    <w:widowControl/>
                                    <w:spacing w:line="300" w:lineRule="exact"/>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家有18歲以下兒少</w:t>
                                  </w:r>
                                </w:p>
                              </w:tc>
                            </w:tr>
                            <w:tr w:rsidR="00CE57F9" w:rsidRPr="008D19C2" w14:paraId="253D9B7B" w14:textId="77777777" w:rsidTr="00DA2751">
                              <w:trPr>
                                <w:trHeight w:val="20"/>
                                <w:jc w:val="center"/>
                              </w:trPr>
                              <w:tc>
                                <w:tcPr>
                                  <w:tcW w:w="882" w:type="dxa"/>
                                  <w:vMerge/>
                                  <w:tcBorders>
                                    <w:right w:val="single" w:sz="4" w:space="0" w:color="auto"/>
                                  </w:tcBorders>
                                  <w:shd w:val="clear" w:color="auto" w:fill="auto"/>
                                  <w:noWrap/>
                                  <w:vAlign w:val="center"/>
                                </w:tcPr>
                                <w:p w14:paraId="68359100" w14:textId="77777777" w:rsidR="00CE57F9" w:rsidRPr="008D19C2" w:rsidRDefault="00CE57F9" w:rsidP="00DA2751">
                                  <w:pPr>
                                    <w:widowControl/>
                                    <w:spacing w:line="300" w:lineRule="exact"/>
                                    <w:jc w:val="center"/>
                                    <w:rPr>
                                      <w:rFonts w:ascii="標楷體" w:eastAsia="標楷體" w:hAnsi="標楷體" w:cs="新細明體"/>
                                      <w:color w:val="000000"/>
                                      <w:kern w:val="0"/>
                                      <w:sz w:val="20"/>
                                      <w:szCs w:val="28"/>
                                    </w:rPr>
                                  </w:pPr>
                                </w:p>
                              </w:tc>
                              <w:tc>
                                <w:tcPr>
                                  <w:tcW w:w="1031" w:type="dxa"/>
                                  <w:vMerge/>
                                  <w:tcBorders>
                                    <w:left w:val="single" w:sz="4" w:space="0" w:color="auto"/>
                                  </w:tcBorders>
                                  <w:shd w:val="clear" w:color="auto" w:fill="auto"/>
                                  <w:vAlign w:val="center"/>
                                </w:tcPr>
                                <w:p w14:paraId="6A0888EF" w14:textId="77777777" w:rsidR="00CE57F9" w:rsidRPr="008D19C2" w:rsidRDefault="00CE57F9" w:rsidP="00DA2751">
                                  <w:pPr>
                                    <w:widowControl/>
                                    <w:spacing w:line="300" w:lineRule="exact"/>
                                    <w:jc w:val="center"/>
                                    <w:rPr>
                                      <w:rFonts w:ascii="標楷體" w:eastAsia="標楷體" w:hAnsi="標楷體" w:cs="新細明體"/>
                                      <w:color w:val="000000"/>
                                      <w:kern w:val="0"/>
                                      <w:sz w:val="20"/>
                                      <w:szCs w:val="28"/>
                                    </w:rPr>
                                  </w:pPr>
                                </w:p>
                              </w:tc>
                              <w:tc>
                                <w:tcPr>
                                  <w:tcW w:w="850" w:type="dxa"/>
                                  <w:tcBorders>
                                    <w:top w:val="nil"/>
                                  </w:tcBorders>
                                  <w:shd w:val="clear" w:color="auto" w:fill="auto"/>
                                  <w:vAlign w:val="center"/>
                                </w:tcPr>
                                <w:p w14:paraId="647A3427" w14:textId="77777777" w:rsidR="00CE57F9" w:rsidRPr="008D19C2" w:rsidRDefault="00CE57F9" w:rsidP="00DA2751">
                                  <w:pPr>
                                    <w:widowControl/>
                                    <w:spacing w:line="300" w:lineRule="exact"/>
                                    <w:jc w:val="center"/>
                                    <w:rPr>
                                      <w:rFonts w:ascii="標楷體" w:eastAsia="標楷體" w:hAnsi="標楷體" w:cs="新細明體"/>
                                      <w:color w:val="000000"/>
                                      <w:kern w:val="0"/>
                                      <w:sz w:val="20"/>
                                      <w:szCs w:val="28"/>
                                    </w:rPr>
                                  </w:pPr>
                                </w:p>
                              </w:tc>
                              <w:tc>
                                <w:tcPr>
                                  <w:tcW w:w="964" w:type="dxa"/>
                                  <w:tcBorders>
                                    <w:top w:val="single" w:sz="4" w:space="0" w:color="auto"/>
                                  </w:tcBorders>
                                  <w:shd w:val="clear" w:color="auto" w:fill="auto"/>
                                  <w:vAlign w:val="center"/>
                                </w:tcPr>
                                <w:p w14:paraId="3F2FBB9F" w14:textId="77777777" w:rsidR="00CE57F9" w:rsidRPr="008D19C2" w:rsidRDefault="00CE57F9" w:rsidP="00DA2751">
                                  <w:pPr>
                                    <w:widowControl/>
                                    <w:spacing w:line="300" w:lineRule="exact"/>
                                    <w:jc w:val="center"/>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占比</w:t>
                                  </w:r>
                                </w:p>
                              </w:tc>
                            </w:tr>
                            <w:tr w:rsidR="00CE57F9" w:rsidRPr="008D19C2" w14:paraId="6317FBD9" w14:textId="77777777" w:rsidTr="00DA2751">
                              <w:trPr>
                                <w:trHeight w:val="394"/>
                                <w:jc w:val="center"/>
                              </w:trPr>
                              <w:tc>
                                <w:tcPr>
                                  <w:tcW w:w="882" w:type="dxa"/>
                                  <w:shd w:val="clear" w:color="auto" w:fill="auto"/>
                                  <w:noWrap/>
                                  <w:vAlign w:val="center"/>
                                  <w:hideMark/>
                                </w:tcPr>
                                <w:p w14:paraId="4782738F" w14:textId="77777777" w:rsidR="00CE57F9" w:rsidRPr="008D19C2" w:rsidRDefault="00CE57F9" w:rsidP="00BA7D5B">
                                  <w:pPr>
                                    <w:widowControl/>
                                    <w:jc w:val="center"/>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109</w:t>
                                  </w:r>
                                </w:p>
                              </w:tc>
                              <w:tc>
                                <w:tcPr>
                                  <w:tcW w:w="1031" w:type="dxa"/>
                                  <w:shd w:val="clear" w:color="auto" w:fill="auto"/>
                                  <w:noWrap/>
                                  <w:vAlign w:val="center"/>
                                  <w:hideMark/>
                                </w:tcPr>
                                <w:p w14:paraId="7297FF6D" w14:textId="77777777" w:rsidR="00CE57F9" w:rsidRPr="008D19C2" w:rsidRDefault="00CE57F9" w:rsidP="00BA7D5B">
                                  <w:pPr>
                                    <w:widowControl/>
                                    <w:jc w:val="right"/>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3,797</w:t>
                                  </w:r>
                                </w:p>
                              </w:tc>
                              <w:tc>
                                <w:tcPr>
                                  <w:tcW w:w="850" w:type="dxa"/>
                                  <w:shd w:val="clear" w:color="auto" w:fill="auto"/>
                                  <w:noWrap/>
                                  <w:vAlign w:val="center"/>
                                  <w:hideMark/>
                                </w:tcPr>
                                <w:p w14:paraId="4C2EE791" w14:textId="77777777" w:rsidR="00CE57F9" w:rsidRPr="008D19C2" w:rsidRDefault="00CE57F9" w:rsidP="00BA7D5B">
                                  <w:pPr>
                                    <w:widowControl/>
                                    <w:jc w:val="right"/>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3,209</w:t>
                                  </w:r>
                                </w:p>
                              </w:tc>
                              <w:tc>
                                <w:tcPr>
                                  <w:tcW w:w="964" w:type="dxa"/>
                                  <w:shd w:val="clear" w:color="auto" w:fill="auto"/>
                                  <w:noWrap/>
                                  <w:vAlign w:val="center"/>
                                  <w:hideMark/>
                                </w:tcPr>
                                <w:p w14:paraId="3E767FF7" w14:textId="77777777" w:rsidR="00CE57F9" w:rsidRPr="008D19C2" w:rsidRDefault="00CE57F9" w:rsidP="00BA7D5B">
                                  <w:pPr>
                                    <w:widowControl/>
                                    <w:jc w:val="right"/>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 xml:space="preserve">84.51 </w:t>
                                  </w:r>
                                </w:p>
                              </w:tc>
                            </w:tr>
                            <w:tr w:rsidR="00CE57F9" w:rsidRPr="008D19C2" w14:paraId="5F141CEF" w14:textId="77777777" w:rsidTr="00DA2751">
                              <w:trPr>
                                <w:trHeight w:val="394"/>
                                <w:jc w:val="center"/>
                              </w:trPr>
                              <w:tc>
                                <w:tcPr>
                                  <w:tcW w:w="882" w:type="dxa"/>
                                  <w:shd w:val="clear" w:color="auto" w:fill="auto"/>
                                  <w:noWrap/>
                                  <w:vAlign w:val="center"/>
                                  <w:hideMark/>
                                </w:tcPr>
                                <w:p w14:paraId="2A259ADC" w14:textId="77777777" w:rsidR="00CE57F9" w:rsidRPr="008D19C2" w:rsidRDefault="00CE57F9" w:rsidP="00BA7D5B">
                                  <w:pPr>
                                    <w:widowControl/>
                                    <w:jc w:val="center"/>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110</w:t>
                                  </w:r>
                                </w:p>
                              </w:tc>
                              <w:tc>
                                <w:tcPr>
                                  <w:tcW w:w="1031" w:type="dxa"/>
                                  <w:shd w:val="clear" w:color="auto" w:fill="auto"/>
                                  <w:noWrap/>
                                  <w:vAlign w:val="center"/>
                                  <w:hideMark/>
                                </w:tcPr>
                                <w:p w14:paraId="7FB2BA64" w14:textId="77777777" w:rsidR="00CE57F9" w:rsidRPr="008D19C2" w:rsidRDefault="00CE57F9" w:rsidP="00BA7D5B">
                                  <w:pPr>
                                    <w:widowControl/>
                                    <w:jc w:val="right"/>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5,164</w:t>
                                  </w:r>
                                </w:p>
                              </w:tc>
                              <w:tc>
                                <w:tcPr>
                                  <w:tcW w:w="850" w:type="dxa"/>
                                  <w:shd w:val="clear" w:color="auto" w:fill="auto"/>
                                  <w:noWrap/>
                                  <w:vAlign w:val="center"/>
                                  <w:hideMark/>
                                </w:tcPr>
                                <w:p w14:paraId="06A591AE" w14:textId="77777777" w:rsidR="00CE57F9" w:rsidRPr="008D19C2" w:rsidRDefault="00CE57F9" w:rsidP="00BA7D5B">
                                  <w:pPr>
                                    <w:widowControl/>
                                    <w:jc w:val="right"/>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3,982</w:t>
                                  </w:r>
                                </w:p>
                              </w:tc>
                              <w:tc>
                                <w:tcPr>
                                  <w:tcW w:w="964" w:type="dxa"/>
                                  <w:shd w:val="clear" w:color="auto" w:fill="auto"/>
                                  <w:noWrap/>
                                  <w:vAlign w:val="center"/>
                                  <w:hideMark/>
                                </w:tcPr>
                                <w:p w14:paraId="18D283B9" w14:textId="77777777" w:rsidR="00CE57F9" w:rsidRPr="008D19C2" w:rsidRDefault="00CE57F9" w:rsidP="00BA7D5B">
                                  <w:pPr>
                                    <w:widowControl/>
                                    <w:jc w:val="right"/>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 xml:space="preserve">77.11 </w:t>
                                  </w:r>
                                </w:p>
                              </w:tc>
                            </w:tr>
                            <w:tr w:rsidR="00CE57F9" w:rsidRPr="008D19C2" w14:paraId="5427F57C" w14:textId="77777777" w:rsidTr="00DA2751">
                              <w:trPr>
                                <w:trHeight w:val="394"/>
                                <w:jc w:val="center"/>
                              </w:trPr>
                              <w:tc>
                                <w:tcPr>
                                  <w:tcW w:w="882" w:type="dxa"/>
                                  <w:shd w:val="clear" w:color="auto" w:fill="auto"/>
                                  <w:noWrap/>
                                  <w:vAlign w:val="center"/>
                                  <w:hideMark/>
                                </w:tcPr>
                                <w:p w14:paraId="21A6D6AA" w14:textId="77777777" w:rsidR="00CE57F9" w:rsidRPr="008D19C2" w:rsidRDefault="00CE57F9" w:rsidP="00BA7D5B">
                                  <w:pPr>
                                    <w:widowControl/>
                                    <w:jc w:val="center"/>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111</w:t>
                                  </w:r>
                                </w:p>
                              </w:tc>
                              <w:tc>
                                <w:tcPr>
                                  <w:tcW w:w="1031" w:type="dxa"/>
                                  <w:shd w:val="clear" w:color="auto" w:fill="auto"/>
                                  <w:noWrap/>
                                  <w:vAlign w:val="center"/>
                                  <w:hideMark/>
                                </w:tcPr>
                                <w:p w14:paraId="1886096F" w14:textId="77777777" w:rsidR="00CE57F9" w:rsidRPr="008D19C2" w:rsidRDefault="00CE57F9" w:rsidP="00BA7D5B">
                                  <w:pPr>
                                    <w:widowControl/>
                                    <w:jc w:val="right"/>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6,108</w:t>
                                  </w:r>
                                </w:p>
                              </w:tc>
                              <w:tc>
                                <w:tcPr>
                                  <w:tcW w:w="850" w:type="dxa"/>
                                  <w:shd w:val="clear" w:color="auto" w:fill="auto"/>
                                  <w:noWrap/>
                                  <w:vAlign w:val="center"/>
                                  <w:hideMark/>
                                </w:tcPr>
                                <w:p w14:paraId="69249A59" w14:textId="77777777" w:rsidR="00CE57F9" w:rsidRPr="008D19C2" w:rsidRDefault="00CE57F9" w:rsidP="00BA7D5B">
                                  <w:pPr>
                                    <w:widowControl/>
                                    <w:jc w:val="right"/>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4,425</w:t>
                                  </w:r>
                                </w:p>
                              </w:tc>
                              <w:tc>
                                <w:tcPr>
                                  <w:tcW w:w="964" w:type="dxa"/>
                                  <w:shd w:val="clear" w:color="auto" w:fill="auto"/>
                                  <w:noWrap/>
                                  <w:vAlign w:val="center"/>
                                  <w:hideMark/>
                                </w:tcPr>
                                <w:p w14:paraId="3C423CEC" w14:textId="77777777" w:rsidR="00CE57F9" w:rsidRPr="008D19C2" w:rsidRDefault="00CE57F9" w:rsidP="00BA7D5B">
                                  <w:pPr>
                                    <w:widowControl/>
                                    <w:jc w:val="right"/>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 xml:space="preserve">72.45 </w:t>
                                  </w:r>
                                </w:p>
                              </w:tc>
                            </w:tr>
                          </w:tbl>
                          <w:p w14:paraId="1C018864" w14:textId="77777777" w:rsidR="00CE57F9" w:rsidRPr="00A018A0" w:rsidRDefault="00CE57F9" w:rsidP="004C185E">
                            <w:pPr>
                              <w:snapToGrid w:val="0"/>
                              <w:ind w:left="443" w:rightChars="-52" w:right="-125" w:hangingChars="246" w:hanging="443"/>
                              <w:contextualSpacing/>
                              <w:jc w:val="both"/>
                              <w:rPr>
                                <w:rFonts w:ascii="標楷體" w:eastAsia="標楷體" w:hAnsi="標楷體"/>
                                <w:sz w:val="18"/>
                              </w:rPr>
                            </w:pPr>
                            <w:r w:rsidRPr="00A018A0">
                              <w:rPr>
                                <w:rFonts w:ascii="標楷體" w:eastAsia="標楷體" w:hAnsi="標楷體" w:hint="eastAsia"/>
                                <w:sz w:val="18"/>
                              </w:rPr>
                              <w:t>註：</w:t>
                            </w:r>
                            <w:r w:rsidRPr="00A90CFF">
                              <w:rPr>
                                <w:rFonts w:ascii="標楷體" w:eastAsia="標楷體" w:hAnsi="標楷體" w:hint="eastAsia"/>
                                <w:sz w:val="18"/>
                              </w:rPr>
                              <w:t>整理自</w:t>
                            </w:r>
                            <w:r>
                              <w:rPr>
                                <w:rFonts w:ascii="標楷體" w:eastAsia="標楷體" w:hAnsi="標楷體" w:hint="eastAsia"/>
                                <w:sz w:val="18"/>
                              </w:rPr>
                              <w:t>衛生福利部</w:t>
                            </w:r>
                            <w:r w:rsidRPr="00A90CFF">
                              <w:rPr>
                                <w:rFonts w:ascii="標楷體" w:eastAsia="標楷體" w:hAnsi="標楷體" w:hint="eastAsia"/>
                                <w:sz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DE3F5A" id="文字方塊 17" o:spid="_x0000_s1035" type="#_x0000_t202" style="position:absolute;left:0;text-align:left;margin-left:298.8pt;margin-top:175.75pt;width:196.45pt;height:172.9pt;z-index:2516689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" stroked="f">
                <v:textbox>
                  <w:txbxContent>
                    <w:p w14:paraId="62C1A0DD" w14:textId="77777777" w:rsidR="00CE57F9" w:rsidRPr="002924C4" w:rsidRDefault="00CE57F9" w:rsidP="00DA2751">
                      <w:pPr>
                        <w:snapToGrid w:val="0"/>
                        <w:ind w:left="783" w:hangingChars="326" w:hanging="783"/>
                        <w:contextualSpacing/>
                        <w:jc w:val="both"/>
                        <w:rPr>
                          <w:rFonts w:ascii="標楷體" w:eastAsia="標楷體" w:hAnsi="標楷體"/>
                          <w:b/>
                        </w:rPr>
                      </w:pPr>
                      <w:r w:rsidRPr="002924C4">
                        <w:rPr>
                          <w:rFonts w:ascii="標楷體" w:eastAsia="標楷體" w:hAnsi="標楷體" w:hint="eastAsia"/>
                          <w:b/>
                        </w:rPr>
                        <w:t>表</w:t>
                      </w:r>
                      <w:r w:rsidRPr="002924C4">
                        <w:rPr>
                          <w:rFonts w:ascii="標楷體" w:eastAsia="標楷體" w:hAnsi="標楷體"/>
                          <w:b/>
                        </w:rPr>
                        <w:t>7</w:t>
                      </w:r>
                      <w:r>
                        <w:rPr>
                          <w:rFonts w:ascii="標楷體" w:eastAsia="標楷體" w:hAnsi="標楷體" w:hint="eastAsia"/>
                          <w:b/>
                        </w:rPr>
                        <w:t xml:space="preserve">　</w:t>
                      </w:r>
                      <w:r w:rsidRPr="002924C4">
                        <w:rPr>
                          <w:rFonts w:ascii="標楷體" w:eastAsia="標楷體" w:hAnsi="標楷體" w:hint="eastAsia"/>
                          <w:b/>
                        </w:rPr>
                        <w:t>涉及毒品成員之脆弱家庭</w:t>
                      </w:r>
                      <w:r w:rsidRPr="00BA7D5B">
                        <w:rPr>
                          <w:rFonts w:ascii="標楷體" w:eastAsia="標楷體" w:hAnsi="標楷體" w:hint="eastAsia"/>
                          <w:b/>
                        </w:rPr>
                        <w:t>有18歲以下兒少情形</w:t>
                      </w:r>
                    </w:p>
                    <w:p w14:paraId="39453725" w14:textId="77777777" w:rsidR="00CE57F9" w:rsidRDefault="00CE57F9" w:rsidP="00DA2751">
                      <w:pPr>
                        <w:snapToGrid w:val="0"/>
                        <w:ind w:left="616" w:hangingChars="280" w:hanging="616"/>
                        <w:contextualSpacing/>
                        <w:jc w:val="right"/>
                        <w:rPr>
                          <w:rFonts w:ascii="標楷體" w:eastAsia="標楷體" w:hAnsi="標楷體"/>
                          <w:sz w:val="18"/>
                        </w:rPr>
                      </w:pPr>
                      <w:r w:rsidRPr="00A90CFF">
                        <w:rPr>
                          <w:rFonts w:ascii="標楷體" w:eastAsia="標楷體" w:hAnsi="標楷體" w:hint="eastAsia"/>
                          <w:sz w:val="22"/>
                        </w:rPr>
                        <w:t>單</w:t>
                      </w:r>
                      <w:r w:rsidRPr="00BA7D5B">
                        <w:rPr>
                          <w:rFonts w:ascii="標楷體" w:eastAsia="標楷體" w:hAnsi="標楷體" w:hint="eastAsia"/>
                          <w:sz w:val="20"/>
                        </w:rPr>
                        <w:t>位：</w:t>
                      </w:r>
                      <w:r>
                        <w:rPr>
                          <w:rFonts w:ascii="標楷體" w:eastAsia="標楷體" w:hAnsi="標楷體" w:hint="eastAsia"/>
                          <w:sz w:val="20"/>
                        </w:rPr>
                        <w:t>戶</w:t>
                      </w:r>
                      <w:r w:rsidRPr="00BA7D5B">
                        <w:rPr>
                          <w:rFonts w:ascii="標楷體" w:eastAsia="標楷體" w:hAnsi="標楷體" w:hint="eastAsia"/>
                          <w:sz w:val="20"/>
                        </w:rPr>
                        <w:t>、％</w:t>
                      </w:r>
                    </w:p>
                    <w:tbl>
                      <w:tblPr>
                        <w:tblW w:w="3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82"/>
                        <w:gridCol w:w="1031"/>
                        <w:gridCol w:w="850"/>
                        <w:gridCol w:w="964"/>
                      </w:tblGrid>
                      <w:tr w:rsidR="00CE57F9" w:rsidRPr="008D19C2" w14:paraId="2729682C" w14:textId="77777777" w:rsidTr="00DA2751">
                        <w:trPr>
                          <w:trHeight w:val="20"/>
                          <w:jc w:val="center"/>
                        </w:trPr>
                        <w:tc>
                          <w:tcPr>
                            <w:tcW w:w="882" w:type="dxa"/>
                            <w:vMerge w:val="restart"/>
                            <w:tcBorders>
                              <w:top w:val="single" w:sz="4" w:space="0" w:color="auto"/>
                              <w:right w:val="single" w:sz="4" w:space="0" w:color="auto"/>
                            </w:tcBorders>
                            <w:shd w:val="clear" w:color="auto" w:fill="auto"/>
                            <w:noWrap/>
                            <w:vAlign w:val="center"/>
                            <w:hideMark/>
                          </w:tcPr>
                          <w:p w14:paraId="2F615FC2" w14:textId="77777777" w:rsidR="00CE57F9" w:rsidRPr="008D19C2" w:rsidRDefault="00CE57F9" w:rsidP="00DA2751">
                            <w:pPr>
                              <w:widowControl/>
                              <w:spacing w:line="300" w:lineRule="exact"/>
                              <w:jc w:val="center"/>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年度</w:t>
                            </w:r>
                          </w:p>
                        </w:tc>
                        <w:tc>
                          <w:tcPr>
                            <w:tcW w:w="2845" w:type="dxa"/>
                            <w:gridSpan w:val="3"/>
                            <w:tcBorders>
                              <w:top w:val="single" w:sz="4" w:space="0" w:color="auto"/>
                              <w:left w:val="single" w:sz="4" w:space="0" w:color="auto"/>
                              <w:bottom w:val="nil"/>
                              <w:right w:val="single" w:sz="4" w:space="0" w:color="auto"/>
                            </w:tcBorders>
                            <w:shd w:val="clear" w:color="auto" w:fill="auto"/>
                            <w:vAlign w:val="center"/>
                            <w:hideMark/>
                          </w:tcPr>
                          <w:p w14:paraId="45A35CBC" w14:textId="77777777" w:rsidR="00CE57F9" w:rsidRPr="008D19C2" w:rsidRDefault="00CE57F9" w:rsidP="00DA2751">
                            <w:pPr>
                              <w:widowControl/>
                              <w:spacing w:line="300" w:lineRule="exact"/>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涉及毒品成員之脆弱家庭</w:t>
                            </w:r>
                          </w:p>
                        </w:tc>
                      </w:tr>
                      <w:tr w:rsidR="00CE57F9" w:rsidRPr="008D19C2" w14:paraId="7266AE31" w14:textId="77777777" w:rsidTr="00DA2751">
                        <w:trPr>
                          <w:trHeight w:val="20"/>
                          <w:jc w:val="center"/>
                        </w:trPr>
                        <w:tc>
                          <w:tcPr>
                            <w:tcW w:w="882" w:type="dxa"/>
                            <w:vMerge/>
                            <w:tcBorders>
                              <w:right w:val="single" w:sz="4" w:space="0" w:color="auto"/>
                            </w:tcBorders>
                            <w:shd w:val="clear" w:color="auto" w:fill="auto"/>
                            <w:noWrap/>
                            <w:vAlign w:val="center"/>
                          </w:tcPr>
                          <w:p w14:paraId="7A8E2B95" w14:textId="77777777" w:rsidR="00CE57F9" w:rsidRPr="008D19C2" w:rsidRDefault="00CE57F9" w:rsidP="00DA2751">
                            <w:pPr>
                              <w:widowControl/>
                              <w:spacing w:line="300" w:lineRule="exact"/>
                              <w:jc w:val="center"/>
                              <w:rPr>
                                <w:rFonts w:ascii="標楷體" w:eastAsia="標楷體" w:hAnsi="標楷體" w:cs="新細明體"/>
                                <w:color w:val="000000"/>
                                <w:kern w:val="0"/>
                                <w:sz w:val="20"/>
                                <w:szCs w:val="28"/>
                              </w:rPr>
                            </w:pPr>
                          </w:p>
                        </w:tc>
                        <w:tc>
                          <w:tcPr>
                            <w:tcW w:w="1031" w:type="dxa"/>
                            <w:vMerge w:val="restart"/>
                            <w:tcBorders>
                              <w:top w:val="nil"/>
                              <w:left w:val="single" w:sz="4" w:space="0" w:color="auto"/>
                              <w:right w:val="single" w:sz="4" w:space="0" w:color="auto"/>
                            </w:tcBorders>
                            <w:shd w:val="clear" w:color="auto" w:fill="auto"/>
                            <w:vAlign w:val="center"/>
                          </w:tcPr>
                          <w:p w14:paraId="3B2AFDE6" w14:textId="77777777" w:rsidR="00CE57F9" w:rsidRPr="003F3E92" w:rsidRDefault="00CE57F9" w:rsidP="00DA2751">
                            <w:pPr>
                              <w:widowControl/>
                              <w:spacing w:line="300" w:lineRule="exact"/>
                              <w:jc w:val="center"/>
                              <w:rPr>
                                <w:rFonts w:ascii="標楷體" w:eastAsia="標楷體" w:hAnsi="標楷體" w:cs="新細明體"/>
                                <w:color w:val="000000"/>
                                <w:kern w:val="0"/>
                                <w:sz w:val="20"/>
                                <w:szCs w:val="28"/>
                              </w:rPr>
                            </w:pPr>
                          </w:p>
                        </w:tc>
                        <w:tc>
                          <w:tcPr>
                            <w:tcW w:w="1814" w:type="dxa"/>
                            <w:gridSpan w:val="2"/>
                            <w:tcBorders>
                              <w:top w:val="single" w:sz="4" w:space="0" w:color="auto"/>
                              <w:left w:val="single" w:sz="4" w:space="0" w:color="auto"/>
                              <w:bottom w:val="nil"/>
                              <w:right w:val="single" w:sz="4" w:space="0" w:color="auto"/>
                            </w:tcBorders>
                            <w:shd w:val="clear" w:color="auto" w:fill="auto"/>
                            <w:vAlign w:val="center"/>
                          </w:tcPr>
                          <w:p w14:paraId="7B5B2350" w14:textId="77777777" w:rsidR="00CE57F9" w:rsidRPr="008D19C2" w:rsidRDefault="00CE57F9" w:rsidP="00DA2751">
                            <w:pPr>
                              <w:widowControl/>
                              <w:spacing w:line="300" w:lineRule="exact"/>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家有18歲以下兒少</w:t>
                            </w:r>
                          </w:p>
                        </w:tc>
                      </w:tr>
                      <w:tr w:rsidR="00CE57F9" w:rsidRPr="008D19C2" w14:paraId="253D9B7B" w14:textId="77777777" w:rsidTr="00DA2751">
                        <w:trPr>
                          <w:trHeight w:val="20"/>
                          <w:jc w:val="center"/>
                        </w:trPr>
                        <w:tc>
                          <w:tcPr>
                            <w:tcW w:w="882" w:type="dxa"/>
                            <w:vMerge/>
                            <w:tcBorders>
                              <w:right w:val="single" w:sz="4" w:space="0" w:color="auto"/>
                            </w:tcBorders>
                            <w:shd w:val="clear" w:color="auto" w:fill="auto"/>
                            <w:noWrap/>
                            <w:vAlign w:val="center"/>
                          </w:tcPr>
                          <w:p w14:paraId="68359100" w14:textId="77777777" w:rsidR="00CE57F9" w:rsidRPr="008D19C2" w:rsidRDefault="00CE57F9" w:rsidP="00DA2751">
                            <w:pPr>
                              <w:widowControl/>
                              <w:spacing w:line="300" w:lineRule="exact"/>
                              <w:jc w:val="center"/>
                              <w:rPr>
                                <w:rFonts w:ascii="標楷體" w:eastAsia="標楷體" w:hAnsi="標楷體" w:cs="新細明體"/>
                                <w:color w:val="000000"/>
                                <w:kern w:val="0"/>
                                <w:sz w:val="20"/>
                                <w:szCs w:val="28"/>
                              </w:rPr>
                            </w:pPr>
                          </w:p>
                        </w:tc>
                        <w:tc>
                          <w:tcPr>
                            <w:tcW w:w="1031" w:type="dxa"/>
                            <w:vMerge/>
                            <w:tcBorders>
                              <w:left w:val="single" w:sz="4" w:space="0" w:color="auto"/>
                            </w:tcBorders>
                            <w:shd w:val="clear" w:color="auto" w:fill="auto"/>
                            <w:vAlign w:val="center"/>
                          </w:tcPr>
                          <w:p w14:paraId="6A0888EF" w14:textId="77777777" w:rsidR="00CE57F9" w:rsidRPr="008D19C2" w:rsidRDefault="00CE57F9" w:rsidP="00DA2751">
                            <w:pPr>
                              <w:widowControl/>
                              <w:spacing w:line="300" w:lineRule="exact"/>
                              <w:jc w:val="center"/>
                              <w:rPr>
                                <w:rFonts w:ascii="標楷體" w:eastAsia="標楷體" w:hAnsi="標楷體" w:cs="新細明體"/>
                                <w:color w:val="000000"/>
                                <w:kern w:val="0"/>
                                <w:sz w:val="20"/>
                                <w:szCs w:val="28"/>
                              </w:rPr>
                            </w:pPr>
                          </w:p>
                        </w:tc>
                        <w:tc>
                          <w:tcPr>
                            <w:tcW w:w="850" w:type="dxa"/>
                            <w:tcBorders>
                              <w:top w:val="nil"/>
                            </w:tcBorders>
                            <w:shd w:val="clear" w:color="auto" w:fill="auto"/>
                            <w:vAlign w:val="center"/>
                          </w:tcPr>
                          <w:p w14:paraId="647A3427" w14:textId="77777777" w:rsidR="00CE57F9" w:rsidRPr="008D19C2" w:rsidRDefault="00CE57F9" w:rsidP="00DA2751">
                            <w:pPr>
                              <w:widowControl/>
                              <w:spacing w:line="300" w:lineRule="exact"/>
                              <w:jc w:val="center"/>
                              <w:rPr>
                                <w:rFonts w:ascii="標楷體" w:eastAsia="標楷體" w:hAnsi="標楷體" w:cs="新細明體"/>
                                <w:color w:val="000000"/>
                                <w:kern w:val="0"/>
                                <w:sz w:val="20"/>
                                <w:szCs w:val="28"/>
                              </w:rPr>
                            </w:pPr>
                          </w:p>
                        </w:tc>
                        <w:tc>
                          <w:tcPr>
                            <w:tcW w:w="964" w:type="dxa"/>
                            <w:tcBorders>
                              <w:top w:val="single" w:sz="4" w:space="0" w:color="auto"/>
                            </w:tcBorders>
                            <w:shd w:val="clear" w:color="auto" w:fill="auto"/>
                            <w:vAlign w:val="center"/>
                          </w:tcPr>
                          <w:p w14:paraId="3F2FBB9F" w14:textId="77777777" w:rsidR="00CE57F9" w:rsidRPr="008D19C2" w:rsidRDefault="00CE57F9" w:rsidP="00DA2751">
                            <w:pPr>
                              <w:widowControl/>
                              <w:spacing w:line="300" w:lineRule="exact"/>
                              <w:jc w:val="center"/>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占比</w:t>
                            </w:r>
                          </w:p>
                        </w:tc>
                      </w:tr>
                      <w:tr w:rsidR="00CE57F9" w:rsidRPr="008D19C2" w14:paraId="6317FBD9" w14:textId="77777777" w:rsidTr="00DA2751">
                        <w:trPr>
                          <w:trHeight w:val="394"/>
                          <w:jc w:val="center"/>
                        </w:trPr>
                        <w:tc>
                          <w:tcPr>
                            <w:tcW w:w="882" w:type="dxa"/>
                            <w:shd w:val="clear" w:color="auto" w:fill="auto"/>
                            <w:noWrap/>
                            <w:vAlign w:val="center"/>
                            <w:hideMark/>
                          </w:tcPr>
                          <w:p w14:paraId="4782738F" w14:textId="77777777" w:rsidR="00CE57F9" w:rsidRPr="008D19C2" w:rsidRDefault="00CE57F9" w:rsidP="00BA7D5B">
                            <w:pPr>
                              <w:widowControl/>
                              <w:jc w:val="center"/>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109</w:t>
                            </w:r>
                          </w:p>
                        </w:tc>
                        <w:tc>
                          <w:tcPr>
                            <w:tcW w:w="1031" w:type="dxa"/>
                            <w:shd w:val="clear" w:color="auto" w:fill="auto"/>
                            <w:noWrap/>
                            <w:vAlign w:val="center"/>
                            <w:hideMark/>
                          </w:tcPr>
                          <w:p w14:paraId="7297FF6D" w14:textId="77777777" w:rsidR="00CE57F9" w:rsidRPr="008D19C2" w:rsidRDefault="00CE57F9" w:rsidP="00BA7D5B">
                            <w:pPr>
                              <w:widowControl/>
                              <w:jc w:val="right"/>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3,797</w:t>
                            </w:r>
                          </w:p>
                        </w:tc>
                        <w:tc>
                          <w:tcPr>
                            <w:tcW w:w="850" w:type="dxa"/>
                            <w:shd w:val="clear" w:color="auto" w:fill="auto"/>
                            <w:noWrap/>
                            <w:vAlign w:val="center"/>
                            <w:hideMark/>
                          </w:tcPr>
                          <w:p w14:paraId="4C2EE791" w14:textId="77777777" w:rsidR="00CE57F9" w:rsidRPr="008D19C2" w:rsidRDefault="00CE57F9" w:rsidP="00BA7D5B">
                            <w:pPr>
                              <w:widowControl/>
                              <w:jc w:val="right"/>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3,209</w:t>
                            </w:r>
                          </w:p>
                        </w:tc>
                        <w:tc>
                          <w:tcPr>
                            <w:tcW w:w="964" w:type="dxa"/>
                            <w:shd w:val="clear" w:color="auto" w:fill="auto"/>
                            <w:noWrap/>
                            <w:vAlign w:val="center"/>
                            <w:hideMark/>
                          </w:tcPr>
                          <w:p w14:paraId="3E767FF7" w14:textId="77777777" w:rsidR="00CE57F9" w:rsidRPr="008D19C2" w:rsidRDefault="00CE57F9" w:rsidP="00BA7D5B">
                            <w:pPr>
                              <w:widowControl/>
                              <w:jc w:val="right"/>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 xml:space="preserve">84.51 </w:t>
                            </w:r>
                          </w:p>
                        </w:tc>
                      </w:tr>
                      <w:tr w:rsidR="00CE57F9" w:rsidRPr="008D19C2" w14:paraId="5F141CEF" w14:textId="77777777" w:rsidTr="00DA2751">
                        <w:trPr>
                          <w:trHeight w:val="394"/>
                          <w:jc w:val="center"/>
                        </w:trPr>
                        <w:tc>
                          <w:tcPr>
                            <w:tcW w:w="882" w:type="dxa"/>
                            <w:shd w:val="clear" w:color="auto" w:fill="auto"/>
                            <w:noWrap/>
                            <w:vAlign w:val="center"/>
                            <w:hideMark/>
                          </w:tcPr>
                          <w:p w14:paraId="2A259ADC" w14:textId="77777777" w:rsidR="00CE57F9" w:rsidRPr="008D19C2" w:rsidRDefault="00CE57F9" w:rsidP="00BA7D5B">
                            <w:pPr>
                              <w:widowControl/>
                              <w:jc w:val="center"/>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110</w:t>
                            </w:r>
                          </w:p>
                        </w:tc>
                        <w:tc>
                          <w:tcPr>
                            <w:tcW w:w="1031" w:type="dxa"/>
                            <w:shd w:val="clear" w:color="auto" w:fill="auto"/>
                            <w:noWrap/>
                            <w:vAlign w:val="center"/>
                            <w:hideMark/>
                          </w:tcPr>
                          <w:p w14:paraId="7FB2BA64" w14:textId="77777777" w:rsidR="00CE57F9" w:rsidRPr="008D19C2" w:rsidRDefault="00CE57F9" w:rsidP="00BA7D5B">
                            <w:pPr>
                              <w:widowControl/>
                              <w:jc w:val="right"/>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5,164</w:t>
                            </w:r>
                          </w:p>
                        </w:tc>
                        <w:tc>
                          <w:tcPr>
                            <w:tcW w:w="850" w:type="dxa"/>
                            <w:shd w:val="clear" w:color="auto" w:fill="auto"/>
                            <w:noWrap/>
                            <w:vAlign w:val="center"/>
                            <w:hideMark/>
                          </w:tcPr>
                          <w:p w14:paraId="06A591AE" w14:textId="77777777" w:rsidR="00CE57F9" w:rsidRPr="008D19C2" w:rsidRDefault="00CE57F9" w:rsidP="00BA7D5B">
                            <w:pPr>
                              <w:widowControl/>
                              <w:jc w:val="right"/>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3,982</w:t>
                            </w:r>
                          </w:p>
                        </w:tc>
                        <w:tc>
                          <w:tcPr>
                            <w:tcW w:w="964" w:type="dxa"/>
                            <w:shd w:val="clear" w:color="auto" w:fill="auto"/>
                            <w:noWrap/>
                            <w:vAlign w:val="center"/>
                            <w:hideMark/>
                          </w:tcPr>
                          <w:p w14:paraId="18D283B9" w14:textId="77777777" w:rsidR="00CE57F9" w:rsidRPr="008D19C2" w:rsidRDefault="00CE57F9" w:rsidP="00BA7D5B">
                            <w:pPr>
                              <w:widowControl/>
                              <w:jc w:val="right"/>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 xml:space="preserve">77.11 </w:t>
                            </w:r>
                          </w:p>
                        </w:tc>
                      </w:tr>
                      <w:tr w:rsidR="00CE57F9" w:rsidRPr="008D19C2" w14:paraId="5427F57C" w14:textId="77777777" w:rsidTr="00DA2751">
                        <w:trPr>
                          <w:trHeight w:val="394"/>
                          <w:jc w:val="center"/>
                        </w:trPr>
                        <w:tc>
                          <w:tcPr>
                            <w:tcW w:w="882" w:type="dxa"/>
                            <w:shd w:val="clear" w:color="auto" w:fill="auto"/>
                            <w:noWrap/>
                            <w:vAlign w:val="center"/>
                            <w:hideMark/>
                          </w:tcPr>
                          <w:p w14:paraId="21A6D6AA" w14:textId="77777777" w:rsidR="00CE57F9" w:rsidRPr="008D19C2" w:rsidRDefault="00CE57F9" w:rsidP="00BA7D5B">
                            <w:pPr>
                              <w:widowControl/>
                              <w:jc w:val="center"/>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111</w:t>
                            </w:r>
                          </w:p>
                        </w:tc>
                        <w:tc>
                          <w:tcPr>
                            <w:tcW w:w="1031" w:type="dxa"/>
                            <w:shd w:val="clear" w:color="auto" w:fill="auto"/>
                            <w:noWrap/>
                            <w:vAlign w:val="center"/>
                            <w:hideMark/>
                          </w:tcPr>
                          <w:p w14:paraId="1886096F" w14:textId="77777777" w:rsidR="00CE57F9" w:rsidRPr="008D19C2" w:rsidRDefault="00CE57F9" w:rsidP="00BA7D5B">
                            <w:pPr>
                              <w:widowControl/>
                              <w:jc w:val="right"/>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6,108</w:t>
                            </w:r>
                          </w:p>
                        </w:tc>
                        <w:tc>
                          <w:tcPr>
                            <w:tcW w:w="850" w:type="dxa"/>
                            <w:shd w:val="clear" w:color="auto" w:fill="auto"/>
                            <w:noWrap/>
                            <w:vAlign w:val="center"/>
                            <w:hideMark/>
                          </w:tcPr>
                          <w:p w14:paraId="69249A59" w14:textId="77777777" w:rsidR="00CE57F9" w:rsidRPr="008D19C2" w:rsidRDefault="00CE57F9" w:rsidP="00BA7D5B">
                            <w:pPr>
                              <w:widowControl/>
                              <w:jc w:val="right"/>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4,425</w:t>
                            </w:r>
                          </w:p>
                        </w:tc>
                        <w:tc>
                          <w:tcPr>
                            <w:tcW w:w="964" w:type="dxa"/>
                            <w:shd w:val="clear" w:color="auto" w:fill="auto"/>
                            <w:noWrap/>
                            <w:vAlign w:val="center"/>
                            <w:hideMark/>
                          </w:tcPr>
                          <w:p w14:paraId="3C423CEC" w14:textId="77777777" w:rsidR="00CE57F9" w:rsidRPr="008D19C2" w:rsidRDefault="00CE57F9" w:rsidP="00BA7D5B">
                            <w:pPr>
                              <w:widowControl/>
                              <w:jc w:val="right"/>
                              <w:rPr>
                                <w:rFonts w:ascii="標楷體" w:eastAsia="標楷體" w:hAnsi="標楷體" w:cs="新細明體"/>
                                <w:color w:val="000000"/>
                                <w:kern w:val="0"/>
                                <w:sz w:val="20"/>
                                <w:szCs w:val="28"/>
                              </w:rPr>
                            </w:pPr>
                            <w:r w:rsidRPr="008D19C2">
                              <w:rPr>
                                <w:rFonts w:ascii="標楷體" w:eastAsia="標楷體" w:hAnsi="標楷體" w:cs="新細明體" w:hint="eastAsia"/>
                                <w:color w:val="000000"/>
                                <w:kern w:val="0"/>
                                <w:sz w:val="20"/>
                                <w:szCs w:val="28"/>
                              </w:rPr>
                              <w:t xml:space="preserve">72.45 </w:t>
                            </w:r>
                          </w:p>
                        </w:tc>
                      </w:tr>
                    </w:tbl>
                    <w:p w14:paraId="1C018864" w14:textId="77777777" w:rsidR="00CE57F9" w:rsidRPr="00A018A0" w:rsidRDefault="00CE57F9" w:rsidP="004C185E">
                      <w:pPr>
                        <w:snapToGrid w:val="0"/>
                        <w:ind w:left="443" w:rightChars="-52" w:right="-125" w:hangingChars="246" w:hanging="443"/>
                        <w:contextualSpacing/>
                        <w:jc w:val="both"/>
                        <w:rPr>
                          <w:rFonts w:ascii="標楷體" w:eastAsia="標楷體" w:hAnsi="標楷體"/>
                          <w:sz w:val="18"/>
                        </w:rPr>
                      </w:pPr>
                      <w:r w:rsidRPr="00A018A0">
                        <w:rPr>
                          <w:rFonts w:ascii="標楷體" w:eastAsia="標楷體" w:hAnsi="標楷體" w:hint="eastAsia"/>
                          <w:sz w:val="18"/>
                        </w:rPr>
                        <w:t>註：</w:t>
                      </w:r>
                      <w:r w:rsidRPr="00A90CFF">
                        <w:rPr>
                          <w:rFonts w:ascii="標楷體" w:eastAsia="標楷體" w:hAnsi="標楷體" w:hint="eastAsia"/>
                          <w:sz w:val="18"/>
                        </w:rPr>
                        <w:t>整理自</w:t>
                      </w:r>
                      <w:r>
                        <w:rPr>
                          <w:rFonts w:ascii="標楷體" w:eastAsia="標楷體" w:hAnsi="標楷體" w:hint="eastAsia"/>
                          <w:sz w:val="18"/>
                        </w:rPr>
                        <w:t>衛生福利部</w:t>
                      </w:r>
                      <w:r w:rsidRPr="00A90CFF">
                        <w:rPr>
                          <w:rFonts w:ascii="標楷體" w:eastAsia="標楷體" w:hAnsi="標楷體" w:hint="eastAsia"/>
                          <w:sz w:val="18"/>
                        </w:rPr>
                        <w:t>提供資料。</w:t>
                      </w:r>
                    </w:p>
                  </w:txbxContent>
                </v:textbox>
                <w10:wrap type="square" anchorx="margin" anchory="margin"/>
              </v:shape>
            </w:pict>
          </mc:Fallback>
        </mc:AlternateContent>
      </w:r>
      <w:r w:rsidR="00E9787B" w:rsidRPr="009D11AD">
        <w:rPr>
          <w:rFonts w:ascii="標楷體" w:eastAsia="標楷體" w:hAnsi="標楷體" w:hint="eastAsia"/>
          <w:szCs w:val="24"/>
        </w:rPr>
        <w:t>評估有共案輔導需求，校方始得知該名學生來自脆弱家庭，尚難運用地方資源及早發現來自脆弱家庭之學生，並於社政單位結束輔導後追蹤關懷。允宜研謀跨域整合輔導脆弱家庭相關工作，完善學校及社政單位之跨機關資訊交流機制，將脆弱家庭個案管理系統中（如施用毒品家庭成員有未成年子女）之個案資料，分享至學校輔導體系，俾及早關懷，積極預防學生受到毒品危害；（3）</w:t>
      </w:r>
      <w:r w:rsidR="00E9787B" w:rsidRPr="006873D7">
        <w:rPr>
          <w:rFonts w:ascii="標楷體" w:eastAsia="標楷體" w:hAnsi="標楷體" w:hint="eastAsia"/>
          <w:szCs w:val="24"/>
        </w:rPr>
        <w:t>據臺北市政府社會局</w:t>
      </w:r>
      <w:r w:rsidR="00E9787B" w:rsidRPr="006873D7">
        <w:rPr>
          <w:rFonts w:ascii="標楷體" w:eastAsia="標楷體" w:hAnsi="標楷體"/>
          <w:szCs w:val="24"/>
        </w:rPr>
        <w:t>109年「少年服務外展志工」專案報告指出</w:t>
      </w:r>
      <w:r w:rsidR="00E9787B" w:rsidRPr="006873D7">
        <w:rPr>
          <w:rFonts w:ascii="標楷體" w:eastAsia="標楷體" w:hAnsi="標楷體" w:hint="eastAsia"/>
          <w:szCs w:val="24"/>
        </w:rPr>
        <w:t>，外展服務在「去機構化」下更容易與少年建立關係，</w:t>
      </w:r>
      <w:r w:rsidR="00A004DE" w:rsidRPr="006873D7">
        <w:rPr>
          <w:rFonts w:ascii="標楷體" w:eastAsia="標楷體" w:hAnsi="標楷體" w:hint="eastAsia"/>
          <w:szCs w:val="24"/>
        </w:rPr>
        <w:t>及</w:t>
      </w:r>
      <w:r w:rsidR="00E9787B" w:rsidRPr="006873D7">
        <w:rPr>
          <w:rFonts w:ascii="標楷體" w:eastAsia="標楷體" w:hAnsi="標楷體" w:hint="eastAsia"/>
          <w:szCs w:val="24"/>
        </w:rPr>
        <w:t>時提供適切服務，避免青少年誤入歧途。經查各市縣政府辦理兒少外展服務工作之單位，包括少年輔導委員會及市縣政府委託經營之兒童及少年福利服務中心，惟全國22個市縣少年輔導委員會111年度僅桃園市政府少年輔導委員會有辦理外展服務；另查各市縣之兒童及少年福利服務中心外展服務僅為其綜合服務內項目之一，並無專職工作團隊，且110及111年度亦僅分別有12</w:t>
      </w:r>
      <w:r w:rsidR="00732638" w:rsidRPr="006873D7">
        <w:rPr>
          <w:rFonts w:ascii="標楷體" w:eastAsia="標楷體" w:hAnsi="標楷體" w:hint="eastAsia"/>
          <w:szCs w:val="24"/>
        </w:rPr>
        <w:t>所</w:t>
      </w:r>
      <w:r w:rsidR="00E9787B" w:rsidRPr="006873D7">
        <w:rPr>
          <w:rFonts w:ascii="標楷體" w:eastAsia="標楷體" w:hAnsi="標楷體" w:hint="eastAsia"/>
          <w:szCs w:val="24"/>
        </w:rPr>
        <w:t>、10所市縣兒童及少年福利中心辦理外展服務，未辦理之市縣近5成，允宜督促積極落實外展服務，主動發掘可能個案，並研酌將外展服務執行情形，納為督導各市縣少年輔導委員會評估項目；（</w:t>
      </w:r>
      <w:r w:rsidR="00E9787B" w:rsidRPr="006873D7">
        <w:rPr>
          <w:rFonts w:ascii="標楷體" w:eastAsia="標楷體" w:hAnsi="標楷體"/>
          <w:szCs w:val="24"/>
        </w:rPr>
        <w:t>4</w:t>
      </w:r>
      <w:r w:rsidR="00E9787B" w:rsidRPr="006873D7">
        <w:rPr>
          <w:rFonts w:ascii="標楷體" w:eastAsia="標楷體" w:hAnsi="標楷體" w:hint="eastAsia"/>
          <w:szCs w:val="24"/>
        </w:rPr>
        <w:t>）依「施用毒品者再犯防止推進計畫」（</w:t>
      </w:r>
      <w:r w:rsidR="00E9787B" w:rsidRPr="006873D7">
        <w:rPr>
          <w:rFonts w:ascii="標楷體" w:eastAsia="標楷體" w:hAnsi="標楷體"/>
          <w:szCs w:val="24"/>
        </w:rPr>
        <w:t>111年至113年）所定</w:t>
      </w:r>
      <w:r w:rsidR="00E9787B" w:rsidRPr="006873D7">
        <w:rPr>
          <w:rFonts w:ascii="標楷體" w:eastAsia="標楷體" w:hAnsi="標楷體" w:hint="eastAsia"/>
          <w:szCs w:val="24"/>
        </w:rPr>
        <w:t>，應</w:t>
      </w:r>
      <w:r w:rsidR="00E9787B" w:rsidRPr="009D11AD">
        <w:rPr>
          <w:rFonts w:ascii="標楷體" w:eastAsia="標楷體" w:hAnsi="標楷體" w:hint="eastAsia"/>
          <w:szCs w:val="24"/>
        </w:rPr>
        <w:t>與司法院建立處理少年毒品事件聯繫平臺，並由教育部、</w:t>
      </w:r>
      <w:r w:rsidR="00FB1795" w:rsidRPr="009D11AD">
        <w:rPr>
          <w:rFonts w:ascii="標楷體" w:eastAsia="標楷體" w:hAnsi="標楷體" w:hint="eastAsia"/>
          <w:szCs w:val="24"/>
        </w:rPr>
        <w:t>衛生福利部</w:t>
      </w:r>
      <w:r w:rsidR="00E9787B" w:rsidRPr="009D11AD">
        <w:rPr>
          <w:rFonts w:ascii="標楷體" w:eastAsia="標楷體" w:hAnsi="標楷體" w:hint="eastAsia"/>
          <w:szCs w:val="24"/>
        </w:rPr>
        <w:t>、警政署每半年提供涉毒兒少名單予司法院進行勾稽少</w:t>
      </w:r>
      <w:r w:rsidR="00E9787B" w:rsidRPr="00D95F90">
        <w:rPr>
          <w:rFonts w:ascii="標楷體" w:eastAsia="標楷體" w:hAnsi="標楷體" w:hint="eastAsia"/>
          <w:szCs w:val="24"/>
        </w:rPr>
        <w:t>年涉毒</w:t>
      </w:r>
      <w:r w:rsidR="00E9787B" w:rsidRPr="009D11AD">
        <w:rPr>
          <w:rFonts w:ascii="標楷體" w:eastAsia="標楷體" w:hAnsi="標楷體" w:hint="eastAsia"/>
          <w:szCs w:val="24"/>
        </w:rPr>
        <w:lastRenderedPageBreak/>
        <w:t>案件審理結果，作為教育、社政單位掌握輔導兒少全貌之參據。經查教育部自111年6月起每半年檢送高級中等以下學校涉毒兒少名單予司法院，比對涉毒少年事件於法院受理之統計資料，惟司法院僅就不識別個案身分之少年事件審理結果之案件統計人數回饋教育部；另</w:t>
      </w:r>
      <w:r w:rsidR="00FB1795" w:rsidRPr="009D11AD">
        <w:rPr>
          <w:rFonts w:ascii="標楷體" w:eastAsia="標楷體" w:hAnsi="標楷體" w:hint="eastAsia"/>
          <w:szCs w:val="24"/>
        </w:rPr>
        <w:t>衛生福利部</w:t>
      </w:r>
      <w:r w:rsidR="000624EB">
        <w:rPr>
          <w:rFonts w:ascii="標楷體" w:eastAsia="標楷體" w:hAnsi="標楷體" w:hint="eastAsia"/>
          <w:szCs w:val="24"/>
        </w:rPr>
        <w:t>、</w:t>
      </w:r>
      <w:r w:rsidR="00D322AA" w:rsidRPr="00260EC4">
        <w:rPr>
          <w:rFonts w:ascii="標楷體" w:eastAsia="標楷體" w:hAnsi="標楷體" w:hint="eastAsia"/>
          <w:szCs w:val="24"/>
        </w:rPr>
        <w:t>警政署</w:t>
      </w:r>
      <w:r w:rsidR="00E9787B" w:rsidRPr="00260EC4">
        <w:rPr>
          <w:rFonts w:ascii="標楷體" w:eastAsia="標楷體" w:hAnsi="標楷體" w:hint="eastAsia"/>
          <w:szCs w:val="24"/>
        </w:rPr>
        <w:t>迄</w:t>
      </w:r>
      <w:r w:rsidR="00E9787B" w:rsidRPr="009D11AD">
        <w:rPr>
          <w:rFonts w:ascii="標楷體" w:eastAsia="標楷體" w:hAnsi="標楷體" w:hint="eastAsia"/>
          <w:szCs w:val="24"/>
        </w:rPr>
        <w:t>未提供涉毒兒少名單予司法院進行勾稽比對，有待落實與司法院資料勾稽比對，又勾稽結果，行政機關仍難以掌握涉毒兒少後續司法審理結果及涉毒兒少整體圖像，不利於相關個案後續之追蹤輔導，允宜與司法院溝通調整提供相關機關所需資料內容</w:t>
      </w:r>
      <w:r w:rsidR="00C126E8" w:rsidRPr="009D11AD">
        <w:rPr>
          <w:rFonts w:ascii="標楷體" w:eastAsia="標楷體" w:hAnsi="標楷體" w:hint="eastAsia"/>
          <w:color w:val="000000" w:themeColor="text1"/>
          <w:szCs w:val="24"/>
        </w:rPr>
        <w:t>等情事</w:t>
      </w:r>
      <w:r w:rsidR="00E9787B" w:rsidRPr="009D11AD">
        <w:rPr>
          <w:rFonts w:ascii="標楷體" w:eastAsia="標楷體" w:hAnsi="標楷體" w:hint="eastAsia"/>
          <w:szCs w:val="24"/>
        </w:rPr>
        <w:t>。</w:t>
      </w:r>
      <w:r w:rsidR="00E9787B" w:rsidRPr="009D11AD">
        <w:rPr>
          <w:rFonts w:ascii="標楷體" w:eastAsia="標楷體" w:hAnsi="標楷體" w:hint="eastAsia"/>
          <w:color w:val="000000" w:themeColor="text1"/>
          <w:szCs w:val="24"/>
        </w:rPr>
        <w:t>經函請行政院督促權責機關檢討改善。</w:t>
      </w:r>
      <w:r w:rsidR="00E9787B" w:rsidRPr="00DA2751">
        <w:rPr>
          <w:rFonts w:ascii="標楷體" w:eastAsia="標楷體" w:hAnsi="標楷體" w:hint="eastAsia"/>
          <w:color w:val="000000" w:themeColor="text1"/>
          <w:szCs w:val="24"/>
        </w:rPr>
        <w:t>據復</w:t>
      </w:r>
      <w:r w:rsidR="00E9787B" w:rsidRPr="00A40457">
        <w:rPr>
          <w:rFonts w:ascii="標楷體" w:eastAsia="標楷體" w:hAnsi="標楷體" w:hint="eastAsia"/>
          <w:color w:val="000000" w:themeColor="text1"/>
          <w:szCs w:val="24"/>
        </w:rPr>
        <w:t>：</w:t>
      </w:r>
      <w:r w:rsidR="00A40457" w:rsidRPr="00CE57F9">
        <w:rPr>
          <w:rFonts w:ascii="標楷體" w:eastAsia="標楷體" w:hAnsi="標楷體" w:hint="eastAsia"/>
          <w:color w:val="000000" w:themeColor="text1"/>
          <w:szCs w:val="24"/>
        </w:rPr>
        <w:t>（</w:t>
      </w:r>
      <w:r w:rsidR="00A40457" w:rsidRPr="00CE57F9">
        <w:rPr>
          <w:rFonts w:ascii="標楷體" w:eastAsia="標楷體" w:hAnsi="標楷體"/>
          <w:color w:val="000000" w:themeColor="text1"/>
          <w:szCs w:val="24"/>
        </w:rPr>
        <w:t>1）將督導地方政府落實提供家長親職教育，以協助</w:t>
      </w:r>
      <w:r w:rsidR="00D22462">
        <w:rPr>
          <w:rFonts w:ascii="標楷體" w:eastAsia="標楷體" w:hAnsi="標楷體" w:hint="eastAsia"/>
          <w:color w:val="000000" w:themeColor="text1"/>
          <w:szCs w:val="24"/>
        </w:rPr>
        <w:t>涉</w:t>
      </w:r>
      <w:r w:rsidR="00A40457" w:rsidRPr="00CE57F9">
        <w:rPr>
          <w:rFonts w:ascii="標楷體" w:eastAsia="標楷體" w:hAnsi="標楷體"/>
          <w:color w:val="000000" w:themeColor="text1"/>
          <w:szCs w:val="24"/>
        </w:rPr>
        <w:t>毒兒少及其家庭；（2）</w:t>
      </w:r>
      <w:r w:rsidR="00A40457" w:rsidRPr="00CE57F9">
        <w:rPr>
          <w:rFonts w:ascii="標楷體" w:eastAsia="標楷體" w:hAnsi="標楷體" w:hint="eastAsia"/>
          <w:color w:val="000000" w:themeColor="text1"/>
          <w:szCs w:val="24"/>
        </w:rPr>
        <w:t>教育部國民及學前教育署將持續督促地方政府教育局督導轄屬學校，加強輔導高關懷學生，掌握學生居家情形，並視需要向衛生福利部申請脆弱家庭個案資料介接；（</w:t>
      </w:r>
      <w:r w:rsidR="00A40457" w:rsidRPr="00CE57F9">
        <w:rPr>
          <w:rFonts w:ascii="標楷體" w:eastAsia="標楷體" w:hAnsi="標楷體"/>
          <w:color w:val="000000" w:themeColor="text1"/>
          <w:szCs w:val="24"/>
        </w:rPr>
        <w:t>3）衛</w:t>
      </w:r>
      <w:r w:rsidR="00A40457" w:rsidRPr="00CE57F9">
        <w:rPr>
          <w:rFonts w:ascii="標楷體" w:eastAsia="標楷體" w:hAnsi="標楷體" w:hint="eastAsia"/>
          <w:color w:val="000000" w:themeColor="text1"/>
          <w:szCs w:val="24"/>
        </w:rPr>
        <w:t>生福利部將於社區熱點辦理少年活動與預防方案，持續挖掘潛在個案，另由警察機關結合兒少服務網絡機關，加強巡邏，主動發掘待協助個案；（</w:t>
      </w:r>
      <w:r w:rsidR="00A40457" w:rsidRPr="00CE57F9">
        <w:rPr>
          <w:rFonts w:ascii="標楷體" w:eastAsia="標楷體" w:hAnsi="標楷體"/>
          <w:color w:val="000000" w:themeColor="text1"/>
          <w:szCs w:val="24"/>
        </w:rPr>
        <w:t>4）少年輔導委員會於112年7月1日起承接行政輔導先行工作後，將由衛</w:t>
      </w:r>
      <w:r w:rsidR="00A40457" w:rsidRPr="00CE57F9">
        <w:rPr>
          <w:rFonts w:ascii="標楷體" w:eastAsia="標楷體" w:hAnsi="標楷體" w:hint="eastAsia"/>
          <w:color w:val="000000" w:themeColor="text1"/>
          <w:szCs w:val="24"/>
        </w:rPr>
        <w:t>生福利部保護資訊系統與內政部少年輔導委員會系統介接，進行個案轉介，定期彙整曝險少年名單予司法院勾稽</w:t>
      </w:r>
      <w:r w:rsidR="00E9787B" w:rsidRPr="00CE57F9">
        <w:rPr>
          <w:rFonts w:ascii="標楷體" w:eastAsia="標楷體" w:hAnsi="標楷體" w:hint="eastAsia"/>
          <w:color w:val="000000" w:themeColor="text1"/>
          <w:szCs w:val="24"/>
        </w:rPr>
        <w:t>。</w:t>
      </w:r>
    </w:p>
    <w:p w14:paraId="1A2C5A6A" w14:textId="458693E2" w:rsidR="00E9787B" w:rsidRPr="009D11AD" w:rsidRDefault="00E9787B" w:rsidP="00DA2751">
      <w:pPr>
        <w:overflowPunct w:val="0"/>
        <w:snapToGrid w:val="0"/>
        <w:spacing w:line="452" w:lineRule="exact"/>
        <w:ind w:firstLineChars="450" w:firstLine="1081"/>
        <w:jc w:val="both"/>
        <w:rPr>
          <w:rFonts w:ascii="標楷體" w:eastAsia="標楷體" w:hAnsi="標楷體"/>
          <w:szCs w:val="24"/>
        </w:rPr>
      </w:pPr>
      <w:r w:rsidRPr="009D11AD">
        <w:rPr>
          <w:rFonts w:ascii="標楷體" w:eastAsia="標楷體" w:hAnsi="標楷體" w:hint="eastAsia"/>
          <w:b/>
          <w:color w:val="000000" w:themeColor="text1"/>
          <w:szCs w:val="24"/>
        </w:rPr>
        <w:t>4.　政府已規劃強化新興毒品檢驗量能，並透過公私協力執行檢驗工作，惟民間檢驗機構之檢驗能力尚待提升，允宜積極協助，加強民間機構檢驗量能，提升國內鑑驗量能：</w:t>
      </w:r>
      <w:r w:rsidRPr="009D11AD">
        <w:rPr>
          <w:rFonts w:ascii="標楷體" w:eastAsia="標楷體" w:hAnsi="標楷體" w:hint="eastAsia"/>
          <w:color w:val="000000" w:themeColor="text1"/>
          <w:szCs w:val="24"/>
        </w:rPr>
        <w:t>行政院因應新興影響精神物質發展快速，於新世代反毒策略行動綱領（第二期110</w:t>
      </w:r>
      <w:r w:rsidR="00860D54" w:rsidRPr="009D11AD">
        <w:rPr>
          <w:rFonts w:ascii="標楷體" w:eastAsia="標楷體" w:hAnsi="標楷體" w:hint="eastAsia"/>
          <w:color w:val="000000" w:themeColor="text1"/>
          <w:szCs w:val="24"/>
        </w:rPr>
        <w:t>－</w:t>
      </w:r>
      <w:r w:rsidRPr="009D11AD">
        <w:rPr>
          <w:rFonts w:ascii="標楷體" w:eastAsia="標楷體" w:hAnsi="標楷體" w:hint="eastAsia"/>
          <w:color w:val="000000" w:themeColor="text1"/>
          <w:szCs w:val="24"/>
        </w:rPr>
        <w:t>113年）</w:t>
      </w:r>
      <w:r w:rsidRPr="006873D7">
        <w:rPr>
          <w:rFonts w:ascii="標楷體" w:eastAsia="標楷體" w:hAnsi="標楷體" w:hint="eastAsia"/>
          <w:color w:val="000000" w:themeColor="text1"/>
          <w:szCs w:val="24"/>
        </w:rPr>
        <w:t>訂定強化查獲新興毒品檢驗量能之驗毒策略，包含推動新興毒品尿液檢驗實驗室認證，提升檢驗機構檢驗量能、提升國防部臨床檢驗毒物能量等工作。經查相關業務執行結果，核有：（1）</w:t>
      </w:r>
      <w:r w:rsidRPr="006873D7">
        <w:rPr>
          <w:rFonts w:ascii="標楷體" w:eastAsia="標楷體" w:hAnsi="標楷體" w:hint="eastAsia"/>
          <w:szCs w:val="24"/>
        </w:rPr>
        <w:t>依據刑事訴訟法第</w:t>
      </w:r>
      <w:r w:rsidRPr="006873D7">
        <w:rPr>
          <w:rFonts w:ascii="標楷體" w:eastAsia="標楷體" w:hAnsi="標楷體"/>
          <w:szCs w:val="24"/>
        </w:rPr>
        <w:t>198條及第208條規定</w:t>
      </w:r>
      <w:r w:rsidRPr="006873D7">
        <w:rPr>
          <w:rFonts w:ascii="標楷體" w:eastAsia="標楷體" w:hAnsi="標楷體" w:hint="eastAsia"/>
          <w:szCs w:val="24"/>
        </w:rPr>
        <w:t>，偵查中有關鑑定人之選任及鑑定機關之囑託，應由檢察官為之。由於各執行機關因應實務需求，對於司法警</w:t>
      </w:r>
      <w:r w:rsidR="00860D54" w:rsidRPr="006873D7">
        <w:rPr>
          <w:rFonts w:ascii="標楷體" w:eastAsia="標楷體" w:hAnsi="標楷體" w:hint="eastAsia"/>
          <w:szCs w:val="24"/>
        </w:rPr>
        <w:t>察調查中之案件，或有量大急迫之情形，有概括選任鑑定機關之必要，</w:t>
      </w:r>
      <w:r w:rsidR="00E37B99" w:rsidRPr="006873D7">
        <w:rPr>
          <w:rFonts w:ascii="標楷體" w:eastAsia="標楷體" w:hAnsi="標楷體" w:hint="eastAsia"/>
          <w:szCs w:val="24"/>
        </w:rPr>
        <w:t>臺灣高等檢察署爰於</w:t>
      </w:r>
      <w:r w:rsidR="00E37B99" w:rsidRPr="006873D7">
        <w:rPr>
          <w:rFonts w:ascii="標楷體" w:eastAsia="標楷體" w:hAnsi="標楷體"/>
          <w:szCs w:val="24"/>
        </w:rPr>
        <w:t>105年間召開之緝毒督導小組第97次督導會報中決定成立毒品鑑定機構評鑑小組，檢驗機構經由評鑑小組審查通過後，由該署概括選任為毒品鑑定機關</w:t>
      </w:r>
      <w:r w:rsidRPr="006873D7">
        <w:rPr>
          <w:rFonts w:ascii="標楷體" w:eastAsia="標楷體" w:hAnsi="標楷體" w:hint="eastAsia"/>
          <w:szCs w:val="24"/>
        </w:rPr>
        <w:t>，並由法務部納入毒品鑑驗分工表。嗣因</w:t>
      </w:r>
      <w:r w:rsidRPr="006873D7">
        <w:rPr>
          <w:rFonts w:ascii="標楷體" w:eastAsia="標楷體" w:hAnsi="標楷體"/>
          <w:szCs w:val="24"/>
        </w:rPr>
        <w:t>109年間發生民間毒品檢驗機構誤判毒品檢驗結果，經檢討建置</w:t>
      </w:r>
      <w:r w:rsidRPr="006873D7">
        <w:rPr>
          <w:rFonts w:ascii="標楷體" w:eastAsia="標楷體" w:hAnsi="標楷體" w:hint="eastAsia"/>
          <w:szCs w:val="24"/>
        </w:rPr>
        <w:t>毒品檢驗機構認可制度，以完善毒品檢驗機制，</w:t>
      </w:r>
      <w:r w:rsidR="00FB1795" w:rsidRPr="006873D7">
        <w:rPr>
          <w:rFonts w:ascii="標楷體" w:eastAsia="標楷體" w:hAnsi="標楷體" w:hint="eastAsia"/>
          <w:szCs w:val="24"/>
        </w:rPr>
        <w:t>衛生福利部</w:t>
      </w:r>
      <w:r w:rsidRPr="006873D7">
        <w:rPr>
          <w:rFonts w:ascii="標楷體" w:eastAsia="標楷體" w:hAnsi="標楷體" w:hint="eastAsia"/>
          <w:szCs w:val="24"/>
        </w:rPr>
        <w:t>爰於111年4月28日檢討修正發布毒品檢驗機構設置標準及認可管理要點，律定民間毒品檢驗機構應向主管機關提出檢驗項目之認可申請，惟迄112年4月28日止，現有11家民間毒品檢驗機構，僅3家民間毒品檢驗機構提出檢驗項目認可申請，其中亦僅1家所申請之5項定性檢驗項目，通過主管機關認可，恐難以完善毒品檢驗機制，允宜加強輔導或研議修訂相關規定，促請相關機構申請檢驗項目認可，以提升檢驗能力及品質；（2）依濫用藥物尿液檢驗及醫療機構認證管理辦法第</w:t>
      </w:r>
      <w:r w:rsidRPr="006873D7">
        <w:rPr>
          <w:rFonts w:ascii="標楷體" w:eastAsia="標楷體" w:hAnsi="標楷體"/>
          <w:szCs w:val="24"/>
        </w:rPr>
        <w:t>16條規定</w:t>
      </w:r>
      <w:r w:rsidRPr="006873D7">
        <w:rPr>
          <w:rFonts w:ascii="標楷體" w:eastAsia="標楷體" w:hAnsi="標楷體" w:hint="eastAsia"/>
          <w:szCs w:val="24"/>
        </w:rPr>
        <w:t>，</w:t>
      </w:r>
      <w:hyperlink r:id="rId15" w:history="1">
        <w:r w:rsidRPr="006873D7">
          <w:rPr>
            <w:rFonts w:ascii="標楷體" w:eastAsia="標楷體" w:hAnsi="標楷體"/>
            <w:szCs w:val="24"/>
          </w:rPr>
          <w:t>衛生福利部食品藥物管理署</w:t>
        </w:r>
        <w:r w:rsidRPr="006873D7">
          <w:rPr>
            <w:rFonts w:ascii="標楷體" w:eastAsia="標楷體" w:hAnsi="標楷體" w:hint="eastAsia"/>
            <w:szCs w:val="24"/>
          </w:rPr>
          <w:t>（下稱</w:t>
        </w:r>
      </w:hyperlink>
      <w:r w:rsidRPr="006873D7">
        <w:rPr>
          <w:rFonts w:ascii="標楷體" w:eastAsia="標楷體" w:hAnsi="標楷體" w:hint="eastAsia"/>
          <w:szCs w:val="24"/>
        </w:rPr>
        <w:t>食藥署）應每3個月對檢驗機構實施績效監測，以確保尿液檢驗機構檢驗之能力及品質。經查食藥署109年至111年第2季對尿液檢驗機</w:t>
      </w:r>
      <w:r w:rsidRPr="006873D7">
        <w:rPr>
          <w:rFonts w:ascii="標楷體" w:eastAsia="標楷體" w:hAnsi="標楷體" w:hint="eastAsia"/>
          <w:szCs w:val="24"/>
        </w:rPr>
        <w:lastRenderedPageBreak/>
        <w:t>構，計辦理10次績效監測，惟監測檢體配製內容與實務常見檢出之藥物組合存有落差，據該署說明係考量待測檢體穩定性，以不致相互干擾之藥物組合進行績效監測待測檢體配製組合等情，恐未能透過績效監測機制，確保機構檢驗之能力及品質，允宜研謀在兼顧檢體之待測藥物穩定原則下，使檢體藥物組合更具多樣性，以切合實務；（3）</w:t>
      </w:r>
      <w:r w:rsidR="00FB1795" w:rsidRPr="006873D7">
        <w:rPr>
          <w:rFonts w:ascii="標楷體" w:eastAsia="標楷體" w:hAnsi="標楷體" w:hint="eastAsia"/>
          <w:szCs w:val="24"/>
        </w:rPr>
        <w:t>衛生福利部</w:t>
      </w:r>
      <w:r w:rsidRPr="006873D7">
        <w:rPr>
          <w:rFonts w:ascii="標楷體" w:eastAsia="標楷體" w:hAnsi="標楷體" w:hint="eastAsia"/>
          <w:szCs w:val="24"/>
        </w:rPr>
        <w:t>為提升國內尿液檢驗機構檢驗量能，經考量民間尿液檢驗機構申請檢驗項目認證，須投入人力及購置設備等，有營運成本效益考慮因素，爰運用警政署於每年檢討次年度預計委託檢驗之新興毒品尿液檢驗項目及預算，提供食藥署函轉民間尿液檢驗機構，以利該等機構增加新興毒品尿液檢驗項目，惟警政署受限年度預算額度，僅就部分國內新興濫用藥物尿液檢驗品項提出預計委驗需求，如110年度列檢驗新興毒品尿液需求6項、13,500件、金額5,310萬餘元；111年度列9項、11,556件、金額7,799萬餘元，致民間檢驗機構在缺乏提升檢驗項目之效益誘因下，難以提升檢驗量能，允宜積極協處，強化民間機構檢驗量能；（4）法務部</w:t>
      </w:r>
      <w:r w:rsidRPr="006873D7">
        <w:rPr>
          <w:rFonts w:ascii="標楷體" w:eastAsia="標楷體" w:hAnsi="標楷體"/>
          <w:szCs w:val="24"/>
        </w:rPr>
        <w:t>106年12月14日召開「新興毒品檢驗相關問題研商會議」決議</w:t>
      </w:r>
      <w:r w:rsidRPr="006873D7">
        <w:rPr>
          <w:rFonts w:ascii="標楷體" w:eastAsia="標楷體" w:hAnsi="標楷體" w:hint="eastAsia"/>
          <w:szCs w:val="24"/>
        </w:rPr>
        <w:t>，自107年2月起由法務部調查局、法醫研究所及警政署刑事警察局受理各地方政府警察局送驗新興毒品尿液檢驗，當警察機關對民間檢驗機構檢驗結果存有疑慮，可送上開中央檢驗機關進行複驗，致增加中央檢驗機關業務負荷及檢驗成本；另各地方政府警察局委託民間機構檢驗濫用藥物尿液，其契約規範檢驗天數長達10至25天不等，據說明係受送驗件數、檢驗品項及交通路程等因素影響，導致增加契約檢驗天數，惟其癥結，在於民間檢驗機構不足，造成跨區檢送檢體，</w:t>
      </w:r>
      <w:r w:rsidRPr="009D11AD">
        <w:rPr>
          <w:rFonts w:ascii="標楷體" w:eastAsia="標楷體" w:hAnsi="標楷體" w:hint="eastAsia"/>
          <w:szCs w:val="24"/>
        </w:rPr>
        <w:t>檢驗天數增加，恐影響涉案人權益及造成緝毒溯源空窗期等；復查國防部憲兵指揮部刑</w:t>
      </w:r>
      <w:r w:rsidRPr="00E37B99">
        <w:rPr>
          <w:rFonts w:ascii="標楷體" w:eastAsia="標楷體" w:hAnsi="標楷體" w:hint="eastAsia"/>
          <w:szCs w:val="24"/>
        </w:rPr>
        <w:t>事鑑識中心係通過國際</w:t>
      </w:r>
      <w:r w:rsidRPr="00E37B99">
        <w:rPr>
          <w:rFonts w:ascii="標楷體" w:eastAsia="標楷體" w:hAnsi="標楷體"/>
          <w:szCs w:val="24"/>
        </w:rPr>
        <w:t>ISO/IEC 17025認證之鑑驗實驗室，另國防部軍醫局為提升三軍總醫院、</w:t>
      </w:r>
      <w:r w:rsidR="00E37B99" w:rsidRPr="00E37B99">
        <w:rPr>
          <w:rFonts w:ascii="標楷體" w:eastAsia="標楷體" w:hAnsi="標楷體" w:hint="eastAsia"/>
          <w:szCs w:val="24"/>
        </w:rPr>
        <w:t>國軍</w:t>
      </w:r>
      <w:r w:rsidRPr="00DA2751">
        <w:rPr>
          <w:rFonts w:ascii="標楷體" w:eastAsia="標楷體" w:hAnsi="標楷體" w:hint="eastAsia"/>
          <w:szCs w:val="24"/>
        </w:rPr>
        <w:t>臺中、高雄、花蓮總醫院</w:t>
      </w:r>
      <w:r w:rsidRPr="00E37B99">
        <w:rPr>
          <w:rFonts w:ascii="標楷體" w:eastAsia="標楷體" w:hAnsi="標楷體" w:hint="eastAsia"/>
          <w:szCs w:val="24"/>
        </w:rPr>
        <w:t>檢驗濫用藥物尿液能量，累計已投入經費</w:t>
      </w:r>
      <w:r w:rsidRPr="00E37B99">
        <w:rPr>
          <w:rFonts w:ascii="標楷體" w:eastAsia="標楷體" w:hAnsi="標楷體"/>
          <w:szCs w:val="24"/>
        </w:rPr>
        <w:t>1億7,477萬餘元（含整修工程及儀器設備），陸續於109</w:t>
      </w:r>
      <w:r w:rsidR="00C14708" w:rsidRPr="00E37B99">
        <w:rPr>
          <w:rFonts w:ascii="標楷體" w:eastAsia="標楷體" w:hAnsi="標楷體" w:hint="eastAsia"/>
          <w:szCs w:val="24"/>
        </w:rPr>
        <w:t>及</w:t>
      </w:r>
      <w:r w:rsidRPr="00E37B99">
        <w:rPr>
          <w:rFonts w:ascii="標楷體" w:eastAsia="標楷體" w:hAnsi="標楷體"/>
          <w:szCs w:val="24"/>
        </w:rPr>
        <w:t>110年間取得食藥署認證，惟經統計前揭中心及國軍醫院111年度可提供檢驗最大量與實際檢驗件數，均尚有檢驗量之餘裕，且僅國軍臺中總醫院執行少量非國軍單位委驗工作，其餘3間</w:t>
      </w:r>
      <w:r w:rsidR="00E37B99" w:rsidRPr="00E37B99">
        <w:rPr>
          <w:rFonts w:ascii="標楷體" w:eastAsia="標楷體" w:hAnsi="標楷體" w:hint="eastAsia"/>
          <w:szCs w:val="24"/>
        </w:rPr>
        <w:t>國</w:t>
      </w:r>
      <w:r w:rsidRPr="00DA2751">
        <w:rPr>
          <w:rFonts w:ascii="標楷體" w:eastAsia="標楷體" w:hAnsi="標楷體" w:hint="eastAsia"/>
          <w:szCs w:val="24"/>
        </w:rPr>
        <w:t>軍醫院</w:t>
      </w:r>
      <w:r w:rsidRPr="00E37B99">
        <w:rPr>
          <w:rFonts w:ascii="標楷體" w:eastAsia="標楷體" w:hAnsi="標楷體" w:hint="eastAsia"/>
          <w:szCs w:val="24"/>
        </w:rPr>
        <w:t>檢</w:t>
      </w:r>
      <w:r w:rsidRPr="009D11AD">
        <w:rPr>
          <w:rFonts w:ascii="標楷體" w:eastAsia="標楷體" w:hAnsi="標楷體" w:hint="eastAsia"/>
          <w:szCs w:val="24"/>
        </w:rPr>
        <w:t>驗樣本全數為國軍單位送驗，允宜強化民間機構檢驗量能，及統籌善用公務預算建立之鑑驗量能</w:t>
      </w:r>
      <w:r w:rsidR="00C126E8" w:rsidRPr="009D11AD">
        <w:rPr>
          <w:rFonts w:ascii="標楷體" w:eastAsia="標楷體" w:hAnsi="標楷體" w:hint="eastAsia"/>
          <w:color w:val="000000" w:themeColor="text1"/>
          <w:szCs w:val="24"/>
        </w:rPr>
        <w:t>等情事</w:t>
      </w:r>
      <w:r w:rsidRPr="009D11AD">
        <w:rPr>
          <w:rFonts w:ascii="標楷體" w:eastAsia="標楷體" w:hAnsi="標楷體" w:hint="eastAsia"/>
          <w:szCs w:val="24"/>
        </w:rPr>
        <w:t>。</w:t>
      </w:r>
      <w:r w:rsidRPr="009D11AD">
        <w:rPr>
          <w:rFonts w:ascii="標楷體" w:eastAsia="標楷體" w:hAnsi="標楷體" w:hint="eastAsia"/>
          <w:color w:val="000000" w:themeColor="text1"/>
          <w:szCs w:val="24"/>
        </w:rPr>
        <w:t>經函請行政院督促權責機關檢討改善。</w:t>
      </w:r>
      <w:r w:rsidRPr="00DA2751">
        <w:rPr>
          <w:rFonts w:ascii="標楷體" w:eastAsia="標楷體" w:hAnsi="標楷體" w:hint="eastAsia"/>
          <w:color w:val="000000" w:themeColor="text1"/>
          <w:szCs w:val="24"/>
        </w:rPr>
        <w:t>據復：</w:t>
      </w:r>
      <w:r w:rsidR="00341C8E" w:rsidRPr="00CE57F9">
        <w:rPr>
          <w:rFonts w:ascii="標楷體" w:eastAsia="標楷體" w:hAnsi="標楷體" w:hint="eastAsia"/>
          <w:color w:val="000000" w:themeColor="text1"/>
          <w:szCs w:val="24"/>
        </w:rPr>
        <w:t>（</w:t>
      </w:r>
      <w:r w:rsidR="00341C8E" w:rsidRPr="00CE57F9">
        <w:rPr>
          <w:rFonts w:ascii="標楷體" w:eastAsia="標楷體" w:hAnsi="標楷體"/>
          <w:color w:val="000000" w:themeColor="text1"/>
          <w:szCs w:val="24"/>
        </w:rPr>
        <w:t>1）已促請食藥署協助民間毒品檢驗機構申請毒品檢驗認可，提升民間毒品檢驗機構之檢驗量能；（2）為利績效監測更切合實務，食藥署將持續研討不同種類藥物配製於同一檢體之穩定性，期使績效檢體藥物組合更具多樣性；（3）民間檢驗機構考量成本及效益後，檢驗項目以傳統毒品或大宗的新興毒品為主，將研議適時給予誘因，以提升新興毒品尿液檢驗之量能；（4）食藥署將積極配合警政署預計委託檢驗項目，輔導民間濫用藥物尿液檢驗機構通過認證，以減少重複或跨區送驗之情形，另為充分運用檢驗資源，國防部已鼓勵國軍醫院毒物中心積極參與地方警政單位濫用藥物尿液委託檢驗服務招標購案</w:t>
      </w:r>
      <w:r w:rsidRPr="00CE57F9">
        <w:rPr>
          <w:rFonts w:ascii="標楷體" w:eastAsia="標楷體" w:hAnsi="標楷體" w:hint="eastAsia"/>
          <w:color w:val="000000" w:themeColor="text1"/>
          <w:szCs w:val="24"/>
        </w:rPr>
        <w:t>。</w:t>
      </w:r>
    </w:p>
    <w:p w14:paraId="5606BE78" w14:textId="0FF51772" w:rsidR="00BD74EC" w:rsidRPr="00DA1A44" w:rsidRDefault="00E9787B" w:rsidP="00DA2751">
      <w:pPr>
        <w:pStyle w:val="affb"/>
        <w:kinsoku/>
        <w:overflowPunct w:val="0"/>
        <w:adjustRightInd/>
        <w:spacing w:line="446" w:lineRule="exact"/>
        <w:ind w:left="0" w:firstLineChars="450" w:firstLine="1081"/>
        <w:jc w:val="both"/>
        <w:rPr>
          <w:rFonts w:hAnsi="標楷體"/>
          <w:color w:val="FF0000"/>
          <w:szCs w:val="24"/>
        </w:rPr>
      </w:pPr>
      <w:r w:rsidRPr="009D11AD">
        <w:rPr>
          <w:rFonts w:hAnsi="標楷體" w:hint="eastAsia"/>
          <w:b/>
          <w:color w:val="000000" w:themeColor="text1"/>
          <w:sz w:val="24"/>
          <w:szCs w:val="24"/>
        </w:rPr>
        <w:lastRenderedPageBreak/>
        <w:t>5.</w:t>
      </w:r>
      <w:r w:rsidR="0056587F" w:rsidRPr="009D11AD">
        <w:rPr>
          <w:rFonts w:hAnsi="標楷體" w:hint="eastAsia"/>
          <w:b/>
          <w:sz w:val="24"/>
          <w:szCs w:val="24"/>
        </w:rPr>
        <w:t xml:space="preserve">　</w:t>
      </w:r>
      <w:r w:rsidRPr="009D11AD">
        <w:rPr>
          <w:rFonts w:hAnsi="標楷體" w:hint="eastAsia"/>
          <w:b/>
          <w:color w:val="000000" w:themeColor="text1"/>
          <w:sz w:val="24"/>
          <w:szCs w:val="24"/>
        </w:rPr>
        <w:t>政府已建立毒藥品防制議題資料庫，惟仍未能有效運用，以掌握國內毒品問題整體圖像，亟待運用大數據分析技術，發掘毒品防制相關問題，研擬適當防制策略：</w:t>
      </w:r>
      <w:r w:rsidRPr="009D11AD">
        <w:rPr>
          <w:rFonts w:hAnsi="標楷體" w:hint="eastAsia"/>
          <w:color w:val="000000" w:themeColor="text1"/>
          <w:sz w:val="24"/>
          <w:szCs w:val="24"/>
        </w:rPr>
        <w:t>依行政院104年1月21日第16次毒品防制會報，指示整合政府各機關現有資料，進行毒品防制大數據分析，以作為未來擬定毒品防制政策的參考。經</w:t>
      </w:r>
      <w:r w:rsidR="00FB1795" w:rsidRPr="009D11AD">
        <w:rPr>
          <w:rFonts w:hAnsi="標楷體" w:hint="eastAsia"/>
          <w:color w:val="000000" w:themeColor="text1"/>
          <w:sz w:val="24"/>
          <w:szCs w:val="24"/>
        </w:rPr>
        <w:t>衛生福利部</w:t>
      </w:r>
      <w:r w:rsidRPr="009D11AD">
        <w:rPr>
          <w:rFonts w:hAnsi="標楷體" w:hint="eastAsia"/>
          <w:color w:val="000000" w:themeColor="text1"/>
          <w:sz w:val="24"/>
          <w:szCs w:val="24"/>
        </w:rPr>
        <w:t>整合法務部、警政署、教育部等單位業管資料庫，於104年9月建置「毒藥品防制議題資料庫」，並於105年10月訂頒毒藥品防制議題資料庫申請使用作業須知。104至111年度各公務機關運用該資料庫辦理委託研究案，計31案，其中以</w:t>
      </w:r>
      <w:r w:rsidR="00FB1795" w:rsidRPr="009D11AD">
        <w:rPr>
          <w:rFonts w:hAnsi="標楷體" w:hint="eastAsia"/>
          <w:color w:val="000000" w:themeColor="text1"/>
          <w:sz w:val="24"/>
          <w:szCs w:val="24"/>
        </w:rPr>
        <w:t>衛生福利部</w:t>
      </w:r>
      <w:r w:rsidRPr="009D11AD">
        <w:rPr>
          <w:rFonts w:hAnsi="標楷體" w:hint="eastAsia"/>
          <w:color w:val="000000" w:themeColor="text1"/>
          <w:sz w:val="24"/>
          <w:szCs w:val="24"/>
        </w:rPr>
        <w:t>22案為大宗，其餘有</w:t>
      </w:r>
      <w:r w:rsidR="00FB1795" w:rsidRPr="009D11AD">
        <w:rPr>
          <w:rFonts w:hAnsi="標楷體" w:hint="eastAsia"/>
          <w:color w:val="000000" w:themeColor="text1"/>
          <w:sz w:val="24"/>
          <w:szCs w:val="24"/>
        </w:rPr>
        <w:t>衛生福利部</w:t>
      </w:r>
      <w:r w:rsidRPr="009D11AD">
        <w:rPr>
          <w:rFonts w:hAnsi="標楷體" w:hint="eastAsia"/>
          <w:color w:val="000000" w:themeColor="text1"/>
          <w:sz w:val="24"/>
          <w:szCs w:val="24"/>
        </w:rPr>
        <w:t>、教育部、法務部及內政部跨部合作3案，教育部3案，及科技部（111年7月27日改制為國家科學及技術委員會）3案。經查該資料庫運用情形，核有：</w:t>
      </w:r>
      <w:r w:rsidRPr="006873D7">
        <w:rPr>
          <w:rFonts w:hAnsi="標楷體" w:hint="eastAsia"/>
          <w:color w:val="000000" w:themeColor="text1"/>
          <w:sz w:val="24"/>
          <w:szCs w:val="24"/>
        </w:rPr>
        <w:t>（1）</w:t>
      </w:r>
      <w:r w:rsidRPr="006873D7">
        <w:rPr>
          <w:rFonts w:hAnsi="標楷體" w:hint="eastAsia"/>
          <w:sz w:val="24"/>
          <w:szCs w:val="24"/>
        </w:rPr>
        <w:t>政府建置毒藥品防制議題資料庫，僅開放公務機關提出申請，使用於31件委託研究案中，有7成係</w:t>
      </w:r>
      <w:r w:rsidR="00FB1795" w:rsidRPr="006873D7">
        <w:rPr>
          <w:rFonts w:hAnsi="標楷體" w:hint="eastAsia"/>
          <w:sz w:val="24"/>
          <w:szCs w:val="24"/>
        </w:rPr>
        <w:t>衛生福利部</w:t>
      </w:r>
      <w:r w:rsidRPr="006873D7">
        <w:rPr>
          <w:rFonts w:hAnsi="標楷體" w:hint="eastAsia"/>
          <w:sz w:val="24"/>
          <w:szCs w:val="24"/>
        </w:rPr>
        <w:t>申請使用，且近5年度（107至111年度）亦僅</w:t>
      </w:r>
      <w:r w:rsidR="00FB1795" w:rsidRPr="006873D7">
        <w:rPr>
          <w:rFonts w:hAnsi="標楷體" w:hint="eastAsia"/>
          <w:sz w:val="24"/>
          <w:szCs w:val="24"/>
        </w:rPr>
        <w:t>衛生福利部</w:t>
      </w:r>
      <w:r w:rsidRPr="006873D7">
        <w:rPr>
          <w:rFonts w:hAnsi="標楷體" w:hint="eastAsia"/>
          <w:sz w:val="24"/>
          <w:szCs w:val="24"/>
        </w:rPr>
        <w:t>、教育部等2機關申請使用。鑑於公務機關使用率偏低，且該資料庫資料已去識別化處理，無從識別特定當事人，允宜研酌調整資料庫使用限制及增加使用便利性，以擴大資料庫運用效益；（2）依毒藥品防制議題資料庫申請使用作業須知第</w:t>
      </w:r>
      <w:r w:rsidRPr="006873D7">
        <w:rPr>
          <w:rFonts w:hAnsi="標楷體"/>
          <w:sz w:val="24"/>
          <w:szCs w:val="24"/>
        </w:rPr>
        <w:t>8點規定</w:t>
      </w:r>
      <w:r w:rsidRPr="006873D7">
        <w:rPr>
          <w:rFonts w:hAnsi="標楷體" w:hint="eastAsia"/>
          <w:sz w:val="24"/>
          <w:szCs w:val="24"/>
        </w:rPr>
        <w:t>，申</w:t>
      </w:r>
      <w:r w:rsidRPr="009D11AD">
        <w:rPr>
          <w:rFonts w:hAnsi="標楷體" w:hint="eastAsia"/>
          <w:sz w:val="24"/>
          <w:szCs w:val="24"/>
        </w:rPr>
        <w:t>請者運用毒藥品防制議題資料庫撰寫之研究成果報告，於出版或發表1個月之內，應主動提供予相關機關，以利參考。經查107至111年度</w:t>
      </w:r>
      <w:r w:rsidR="00FB1795" w:rsidRPr="009D11AD">
        <w:rPr>
          <w:rFonts w:hAnsi="標楷體" w:hint="eastAsia"/>
          <w:sz w:val="24"/>
          <w:szCs w:val="24"/>
        </w:rPr>
        <w:t>衛生福利部</w:t>
      </w:r>
      <w:r w:rsidRPr="009D11AD">
        <w:rPr>
          <w:rFonts w:hAnsi="標楷體" w:hint="eastAsia"/>
          <w:sz w:val="24"/>
          <w:szCs w:val="24"/>
        </w:rPr>
        <w:t>及教育部辦理19案委託研究，除3案屬跨年度計畫仍在執行中外，其餘16案中，僅12案（75</w:t>
      </w:r>
      <w:r w:rsidR="00C14708" w:rsidRPr="009D11AD">
        <w:rPr>
          <w:rFonts w:hAnsi="標楷體" w:hint="eastAsia"/>
          <w:sz w:val="24"/>
          <w:szCs w:val="24"/>
        </w:rPr>
        <w:t>.00</w:t>
      </w:r>
      <w:r w:rsidRPr="009D11AD">
        <w:rPr>
          <w:rFonts w:hAnsi="標楷體" w:hint="eastAsia"/>
          <w:sz w:val="24"/>
          <w:szCs w:val="24"/>
        </w:rPr>
        <w:t>％）主辦機關有將研案成果提供予資料提供相關機關；另依行政院所屬各機關委託研究計畫管理要點第4點規定，各機關委託研究報告，除有政府資訊公開法第18條所定情形外，應登錄政府研究資訊系統（</w:t>
      </w:r>
      <w:r w:rsidR="00D22462">
        <w:rPr>
          <w:rFonts w:hAnsi="標楷體" w:hint="eastAsia"/>
          <w:sz w:val="24"/>
          <w:szCs w:val="24"/>
        </w:rPr>
        <w:t>下稱</w:t>
      </w:r>
      <w:r w:rsidRPr="009D11AD">
        <w:rPr>
          <w:rFonts w:hAnsi="標楷體" w:hint="eastAsia"/>
          <w:sz w:val="24"/>
          <w:szCs w:val="24"/>
        </w:rPr>
        <w:t>GRB系統），惟查前揭19案委託研究成果報告，僅14案（占73.68％）上傳</w:t>
      </w:r>
      <w:r w:rsidR="00C126E8" w:rsidRPr="009D11AD">
        <w:rPr>
          <w:rFonts w:hAnsi="標楷體" w:hint="eastAsia"/>
          <w:sz w:val="24"/>
          <w:szCs w:val="24"/>
        </w:rPr>
        <w:t>G</w:t>
      </w:r>
      <w:r w:rsidR="00C126E8" w:rsidRPr="009D11AD">
        <w:rPr>
          <w:rFonts w:hAnsi="標楷體"/>
          <w:sz w:val="24"/>
          <w:szCs w:val="24"/>
        </w:rPr>
        <w:t>RB</w:t>
      </w:r>
      <w:r w:rsidRPr="009D11AD">
        <w:rPr>
          <w:rFonts w:hAnsi="標楷體" w:hint="eastAsia"/>
          <w:sz w:val="24"/>
          <w:szCs w:val="24"/>
        </w:rPr>
        <w:t>系統。另法務部雖已整合跨部會相關資料建置「反毒大本營網站」，於網站中呈現我國毒品防制政策、專業研究與預防宣導資訊等，提供地方政府、專家學者、民眾及師生家長作為反毒知識庫，惟前揭19案委託研究成果報告，均無上傳反毒大本營網站，允宜檢討改善，以提升研究成果擴散效益；（3）</w:t>
      </w:r>
      <w:r w:rsidRPr="00E84C8A">
        <w:rPr>
          <w:rFonts w:hAnsi="標楷體" w:hint="eastAsia"/>
          <w:sz w:val="24"/>
          <w:szCs w:val="24"/>
        </w:rPr>
        <w:t>政府雖已整合各部會相關毒品資料，建置毒藥品防制議題資料庫，惟公務機關委託研究案多屬短期計畫，無法長期累積並驗證研究</w:t>
      </w:r>
      <w:r w:rsidRPr="009D11AD">
        <w:rPr>
          <w:rFonts w:hAnsi="標楷體" w:hint="eastAsia"/>
          <w:sz w:val="24"/>
          <w:szCs w:val="24"/>
        </w:rPr>
        <w:t>成果，且資料庫僅匯入各類資料庫分別存放，於申請委託研究使用時，再進行資料庫單純借用，未能以個人歸戶充分整合，分析國內毒品整體圖像，以有效評估各項毒品防制政策執行成效，作為未來擬定毒品防制政策參考之預期效益，亟待研謀改善</w:t>
      </w:r>
      <w:r w:rsidR="00C126E8" w:rsidRPr="009D11AD">
        <w:rPr>
          <w:rFonts w:hAnsi="標楷體" w:hint="eastAsia"/>
          <w:sz w:val="24"/>
          <w:szCs w:val="24"/>
        </w:rPr>
        <w:t>等情事</w:t>
      </w:r>
      <w:r w:rsidRPr="009D11AD">
        <w:rPr>
          <w:rFonts w:hAnsi="標楷體" w:hint="eastAsia"/>
          <w:sz w:val="24"/>
          <w:szCs w:val="24"/>
        </w:rPr>
        <w:t>。</w:t>
      </w:r>
      <w:r w:rsidRPr="009D11AD">
        <w:rPr>
          <w:rFonts w:hAnsi="標楷體" w:hint="eastAsia"/>
          <w:color w:val="000000" w:themeColor="text1"/>
          <w:sz w:val="24"/>
          <w:szCs w:val="24"/>
        </w:rPr>
        <w:t>經函請行政院督促權責機關檢討改善。</w:t>
      </w:r>
      <w:r w:rsidRPr="00DA2751">
        <w:rPr>
          <w:rFonts w:hAnsi="標楷體" w:hint="eastAsia"/>
          <w:color w:val="000000" w:themeColor="text1"/>
          <w:sz w:val="24"/>
          <w:szCs w:val="24"/>
        </w:rPr>
        <w:t>據復：</w:t>
      </w:r>
      <w:r w:rsidR="00341C8E" w:rsidRPr="00CE57F9">
        <w:rPr>
          <w:rFonts w:hAnsi="標楷體" w:hint="eastAsia"/>
          <w:color w:val="000000" w:themeColor="text1"/>
          <w:sz w:val="24"/>
          <w:szCs w:val="24"/>
        </w:rPr>
        <w:t>（</w:t>
      </w:r>
      <w:r w:rsidR="00341C8E" w:rsidRPr="00CE57F9">
        <w:rPr>
          <w:rFonts w:hAnsi="標楷體"/>
          <w:color w:val="000000" w:themeColor="text1"/>
          <w:sz w:val="24"/>
          <w:szCs w:val="24"/>
        </w:rPr>
        <w:t>1）為持續精進資料庫之運用，將邀集相關機關研商討論調整資料庫申請資格；（2）將邀集相關機關研商討論委託研究成果登錄GRB</w:t>
      </w:r>
      <w:r w:rsidR="00D22462">
        <w:rPr>
          <w:rFonts w:hAnsi="標楷體" w:hint="eastAsia"/>
          <w:color w:val="000000" w:themeColor="text1"/>
          <w:sz w:val="24"/>
          <w:szCs w:val="24"/>
        </w:rPr>
        <w:t>系統</w:t>
      </w:r>
      <w:r w:rsidR="00341C8E" w:rsidRPr="00CE57F9">
        <w:rPr>
          <w:rFonts w:hAnsi="標楷體"/>
          <w:color w:val="000000" w:themeColor="text1"/>
          <w:sz w:val="24"/>
          <w:szCs w:val="24"/>
        </w:rPr>
        <w:t>納入「毒藥品防制議題資料庫」申請使用作業須知規範，及置於反毒大本營之可行性，以提升研究成果擴散效益；（3）因毒藥品防制議題資料庫未進行個人歸戶，為分析國內毒品整體圖像，將由法務部評估運用毒品防制基</w:t>
      </w:r>
      <w:r w:rsidR="00341C8E" w:rsidRPr="00D22462">
        <w:rPr>
          <w:rFonts w:hAnsi="標楷體"/>
          <w:color w:val="000000" w:themeColor="text1"/>
          <w:sz w:val="24"/>
          <w:szCs w:val="24"/>
        </w:rPr>
        <w:t>金辦理臺灣毒品圖像研究計畫之委託研究</w:t>
      </w:r>
      <w:r w:rsidR="00B563C6" w:rsidRPr="00D22462">
        <w:rPr>
          <w:rFonts w:hAnsi="標楷體" w:hint="eastAsia"/>
          <w:color w:val="000000" w:themeColor="text1"/>
          <w:sz w:val="24"/>
          <w:szCs w:val="24"/>
        </w:rPr>
        <w:t>。</w:t>
      </w:r>
    </w:p>
    <w:p w14:paraId="7B743A79" w14:textId="309EFE38" w:rsidR="00F11583" w:rsidRPr="009D11AD" w:rsidRDefault="00F11583" w:rsidP="00860D54">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lastRenderedPageBreak/>
        <w:t>（六）　政府推動能源轉型提高再生能源發電占比，惟未積極盤點中央及地方轄管工業區可參與設置屋頂型太陽光電之廠房及容量，另儲能系統攸關再生能源發展及電力穩定，尚未訂定扶植國內供應鏈相關措施，儲能案場之安全管理機制亦待強化，允宜研謀因應，以促進綠電發展及穩定供電</w:t>
      </w:r>
      <w:r w:rsidRPr="009D11AD">
        <w:rPr>
          <w:rFonts w:hAnsi="標楷體" w:hint="eastAsia"/>
          <w:b/>
          <w:color w:val="000000" w:themeColor="text1"/>
          <w:spacing w:val="-2"/>
          <w:sz w:val="28"/>
          <w:szCs w:val="28"/>
        </w:rPr>
        <w:t>。</w:t>
      </w:r>
    </w:p>
    <w:p w14:paraId="34F434C3" w14:textId="25B897A8" w:rsidR="00F11583" w:rsidRPr="009D11AD" w:rsidRDefault="00F11583" w:rsidP="00860D54">
      <w:pPr>
        <w:widowControl/>
        <w:overflowPunct w:val="0"/>
        <w:spacing w:line="420" w:lineRule="exact"/>
        <w:ind w:firstLineChars="200" w:firstLine="480"/>
        <w:jc w:val="both"/>
        <w:outlineLvl w:val="1"/>
        <w:rPr>
          <w:rFonts w:ascii="標楷體" w:eastAsia="標楷體" w:hAnsi="標楷體"/>
          <w:b/>
          <w:color w:val="000000"/>
          <w:kern w:val="0"/>
          <w:szCs w:val="32"/>
        </w:rPr>
      </w:pPr>
      <w:r w:rsidRPr="009D11AD">
        <w:rPr>
          <w:rFonts w:ascii="標楷體" w:eastAsia="標楷體" w:hAnsi="標楷體" w:cs="新細明體" w:hint="eastAsia"/>
          <w:bCs/>
          <w:color w:val="000000"/>
          <w:kern w:val="0"/>
          <w:szCs w:val="24"/>
        </w:rPr>
        <w:t>政府為邁向114年非核家園目標及兼顧國際減碳承諾，逐步提高天然氣、再生能源發電比率，並降低燃煤、核能發電比率，依「邁向2025非核家園目標推動新能源政策」，設定114年再生能源發電占比達20％之目標，另於111年3月公布「臺灣2050淨零排放路徑及策略」，訂定139年再生能源發電占比60％至70％之目標。經濟部配合我國能源轉型政策，確保電力穩定供應及兼顧能源安全，陸續提出「太陽光電2年推動計畫」、「風力發電4年推動計畫」、「強化電網韌性建設計畫」等，加速推動太陽能與風力發電裝置容量之建置，及進行儲能系統相關建置與示範案，並設定114年太陽光電及風力發電裝置目標容量為20</w:t>
      </w:r>
      <w:r w:rsidRPr="009D11AD">
        <w:rPr>
          <w:rFonts w:ascii="標楷體" w:eastAsia="標楷體" w:hAnsi="標楷體" w:cs="新細明體"/>
          <w:bCs/>
          <w:color w:val="000000"/>
          <w:kern w:val="0"/>
          <w:szCs w:val="24"/>
        </w:rPr>
        <w:t>,000MW</w:t>
      </w:r>
      <w:r w:rsidR="00D441FD" w:rsidRPr="009D11AD">
        <w:rPr>
          <w:rFonts w:ascii="標楷體" w:eastAsia="標楷體" w:hAnsi="標楷體" w:cs="新細明體" w:hint="eastAsia"/>
          <w:bCs/>
          <w:color w:val="000000"/>
          <w:kern w:val="0"/>
          <w:szCs w:val="24"/>
        </w:rPr>
        <w:t>（</w:t>
      </w:r>
      <w:r w:rsidRPr="009D11AD">
        <w:rPr>
          <w:rFonts w:ascii="標楷體" w:eastAsia="標楷體" w:hAnsi="標楷體" w:cs="新細明體" w:hint="eastAsia"/>
          <w:bCs/>
          <w:color w:val="000000"/>
          <w:kern w:val="0"/>
          <w:szCs w:val="24"/>
        </w:rPr>
        <w:t>百萬瓦</w:t>
      </w:r>
      <w:r w:rsidR="00D441FD" w:rsidRPr="009D11AD">
        <w:rPr>
          <w:rFonts w:ascii="標楷體" w:eastAsia="標楷體" w:hAnsi="標楷體" w:cs="新細明體" w:hint="eastAsia"/>
          <w:bCs/>
          <w:color w:val="000000"/>
          <w:kern w:val="0"/>
          <w:szCs w:val="24"/>
        </w:rPr>
        <w:t>）</w:t>
      </w:r>
      <w:r w:rsidRPr="009D11AD">
        <w:rPr>
          <w:rFonts w:ascii="標楷體" w:eastAsia="標楷體" w:hAnsi="標楷體" w:cs="新細明體" w:hint="eastAsia"/>
          <w:bCs/>
          <w:color w:val="000000"/>
          <w:kern w:val="0"/>
          <w:szCs w:val="24"/>
        </w:rPr>
        <w:t>及</w:t>
      </w:r>
      <w:r w:rsidRPr="009D11AD">
        <w:rPr>
          <w:rFonts w:ascii="標楷體" w:eastAsia="標楷體" w:hAnsi="標楷體" w:cs="新細明體"/>
          <w:bCs/>
          <w:color w:val="000000"/>
          <w:kern w:val="0"/>
          <w:szCs w:val="24"/>
        </w:rPr>
        <w:t>5,738MW</w:t>
      </w:r>
      <w:r w:rsidRPr="009D11AD">
        <w:rPr>
          <w:rFonts w:ascii="標楷體" w:eastAsia="標楷體" w:hAnsi="標楷體" w:cs="新細明體" w:hint="eastAsia"/>
          <w:bCs/>
          <w:color w:val="000000"/>
          <w:kern w:val="0"/>
          <w:szCs w:val="24"/>
        </w:rPr>
        <w:t>。經查再生能源政策執行情形，核有下列事項：</w:t>
      </w:r>
    </w:p>
    <w:p w14:paraId="1798D99C" w14:textId="61827519" w:rsidR="00F11583" w:rsidRPr="00E84C8A" w:rsidRDefault="004C185E" w:rsidP="00DA2751">
      <w:pPr>
        <w:overflowPunct w:val="0"/>
        <w:spacing w:line="434" w:lineRule="exact"/>
        <w:ind w:firstLineChars="450" w:firstLine="1080"/>
        <w:jc w:val="both"/>
        <w:rPr>
          <w:rFonts w:ascii="標楷體" w:eastAsia="標楷體" w:hAnsi="標楷體"/>
          <w:kern w:val="0"/>
          <w:szCs w:val="32"/>
        </w:rPr>
      </w:pPr>
      <w:r w:rsidRPr="009D11AD">
        <w:rPr>
          <w:rFonts w:ascii="標楷體" w:eastAsia="標楷體" w:hAnsi="標楷體" w:cs="新細明體"/>
          <w:noProof/>
          <w:kern w:val="0"/>
          <w:szCs w:val="32"/>
        </w:rPr>
        <mc:AlternateContent>
          <mc:Choice Requires="wps">
            <w:drawing>
              <wp:anchor distT="45720" distB="45720" distL="114300" distR="114300" simplePos="0" relativeHeight="251642368" behindDoc="0" locked="0" layoutInCell="1" allowOverlap="1" wp14:anchorId="10D6BCDB" wp14:editId="15CA2A4F">
                <wp:simplePos x="0" y="0"/>
                <wp:positionH relativeFrom="margin">
                  <wp:posOffset>2771140</wp:posOffset>
                </wp:positionH>
                <wp:positionV relativeFrom="paragraph">
                  <wp:posOffset>3363680</wp:posOffset>
                </wp:positionV>
                <wp:extent cx="3520440" cy="2147570"/>
                <wp:effectExtent l="0" t="0" r="0" b="5080"/>
                <wp:wrapSquare wrapText="bothSides"/>
                <wp:docPr id="46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0440" cy="2147570"/>
                        </a:xfrm>
                        <a:prstGeom prst="rect">
                          <a:avLst/>
                        </a:prstGeom>
                        <a:noFill/>
                        <a:ln w="9525">
                          <a:noFill/>
                          <a:miter lim="800000"/>
                          <a:headEnd/>
                          <a:tailEnd/>
                        </a:ln>
                      </wps:spPr>
                      <wps:txbx>
                        <w:txbxContent>
                          <w:tbl>
                            <w:tblPr>
                              <w:tblStyle w:val="1f2"/>
                              <w:tblW w:w="5245" w:type="dxa"/>
                              <w:tblLook w:val="04A0" w:firstRow="1" w:lastRow="0" w:firstColumn="1" w:lastColumn="0" w:noHBand="0" w:noVBand="1"/>
                            </w:tblPr>
                            <w:tblGrid>
                              <w:gridCol w:w="3544"/>
                              <w:gridCol w:w="1701"/>
                            </w:tblGrid>
                            <w:tr w:rsidR="00CE57F9" w:rsidRPr="00E03D4E" w14:paraId="0187E691" w14:textId="77777777" w:rsidTr="00850571">
                              <w:tc>
                                <w:tcPr>
                                  <w:tcW w:w="5245" w:type="dxa"/>
                                  <w:gridSpan w:val="2"/>
                                  <w:tcBorders>
                                    <w:top w:val="nil"/>
                                    <w:left w:val="nil"/>
                                    <w:bottom w:val="single" w:sz="4" w:space="0" w:color="auto"/>
                                    <w:right w:val="nil"/>
                                  </w:tcBorders>
                                  <w:vAlign w:val="center"/>
                                </w:tcPr>
                                <w:p w14:paraId="7E7EDAF6" w14:textId="2C5A7033" w:rsidR="00CE57F9" w:rsidRPr="00DA2751" w:rsidRDefault="00CE57F9" w:rsidP="00DA2751">
                                  <w:pPr>
                                    <w:overflowPunct w:val="0"/>
                                    <w:spacing w:line="300" w:lineRule="exact"/>
                                    <w:ind w:left="585" w:hangingChars="292" w:hanging="585"/>
                                    <w:jc w:val="distribute"/>
                                    <w:rPr>
                                      <w:rFonts w:ascii="標楷體" w:eastAsia="標楷體" w:hAnsi="標楷體"/>
                                      <w:b/>
                                      <w:spacing w:val="-20"/>
                                      <w:szCs w:val="24"/>
                                    </w:rPr>
                                  </w:pPr>
                                  <w:r w:rsidRPr="00DA2751">
                                    <w:rPr>
                                      <w:rFonts w:ascii="標楷體" w:eastAsia="標楷體" w:hAnsi="標楷體" w:hint="eastAsia"/>
                                      <w:b/>
                                      <w:spacing w:val="-20"/>
                                      <w:szCs w:val="24"/>
                                    </w:rPr>
                                    <w:t>表</w:t>
                                  </w:r>
                                  <w:r w:rsidRPr="00DA2751">
                                    <w:rPr>
                                      <w:rFonts w:ascii="標楷體" w:eastAsia="標楷體" w:hAnsi="標楷體"/>
                                      <w:b/>
                                      <w:spacing w:val="-20"/>
                                      <w:szCs w:val="24"/>
                                    </w:rPr>
                                    <w:t>8</w:t>
                                  </w:r>
                                  <w:r w:rsidRPr="00DA2751">
                                    <w:rPr>
                                      <w:rFonts w:ascii="標楷體" w:eastAsia="標楷體" w:hAnsi="標楷體" w:hint="eastAsia"/>
                                      <w:b/>
                                      <w:spacing w:val="-20"/>
                                      <w:szCs w:val="24"/>
                                    </w:rPr>
                                    <w:t xml:space="preserve">　</w:t>
                                  </w:r>
                                  <w:r w:rsidRPr="00CE57F9">
                                    <w:rPr>
                                      <w:rFonts w:ascii="標楷體" w:eastAsia="標楷體" w:hAnsi="標楷體"/>
                                      <w:b/>
                                      <w:spacing w:val="-20"/>
                                      <w:szCs w:val="24"/>
                                    </w:rPr>
                                    <w:t>112年2月底</w:t>
                                  </w:r>
                                  <w:r w:rsidRPr="00DA2751">
                                    <w:rPr>
                                      <w:rFonts w:ascii="標楷體" w:eastAsia="標楷體" w:hAnsi="標楷體"/>
                                      <w:b/>
                                      <w:spacing w:val="-20"/>
                                      <w:szCs w:val="24"/>
                                    </w:rPr>
                                    <w:t>工業區屋頂型太陽光電設置情形</w:t>
                                  </w:r>
                                </w:p>
                                <w:p w14:paraId="63A30F1E" w14:textId="56FAE08B" w:rsidR="00CE57F9" w:rsidRPr="003E2EE0" w:rsidRDefault="00CE57F9" w:rsidP="00D22462">
                                  <w:pPr>
                                    <w:overflowPunct w:val="0"/>
                                    <w:spacing w:line="400" w:lineRule="exact"/>
                                    <w:ind w:rightChars="-70" w:right="-168" w:firstLine="482"/>
                                    <w:jc w:val="right"/>
                                    <w:rPr>
                                      <w:rFonts w:ascii="標楷體" w:eastAsia="標楷體" w:hAnsi="標楷體"/>
                                      <w:b/>
                                      <w:sz w:val="20"/>
                                      <w:szCs w:val="28"/>
                                    </w:rPr>
                                  </w:pPr>
                                  <w:r w:rsidRPr="003E2EE0">
                                    <w:rPr>
                                      <w:rFonts w:ascii="標楷體" w:eastAsia="標楷體" w:hAnsi="標楷體" w:hint="eastAsia"/>
                                      <w:sz w:val="20"/>
                                      <w:szCs w:val="24"/>
                                    </w:rPr>
                                    <w:t>單位：百萬瓦</w:t>
                                  </w:r>
                                  <w:r>
                                    <w:rPr>
                                      <w:rFonts w:ascii="標楷體" w:eastAsia="標楷體" w:hAnsi="標楷體" w:hint="eastAsia"/>
                                      <w:sz w:val="20"/>
                                      <w:szCs w:val="24"/>
                                    </w:rPr>
                                    <w:t>（</w:t>
                                  </w:r>
                                  <w:r w:rsidRPr="003E2EE0">
                                    <w:rPr>
                                      <w:rFonts w:ascii="標楷體" w:eastAsia="標楷體" w:hAnsi="標楷體" w:hint="eastAsia"/>
                                      <w:sz w:val="20"/>
                                      <w:szCs w:val="24"/>
                                    </w:rPr>
                                    <w:t>MW</w:t>
                                  </w:r>
                                  <w:r>
                                    <w:rPr>
                                      <w:rFonts w:ascii="標楷體" w:eastAsia="標楷體" w:hAnsi="標楷體" w:hint="eastAsia"/>
                                      <w:sz w:val="20"/>
                                      <w:szCs w:val="24"/>
                                    </w:rPr>
                                    <w:t>）</w:t>
                                  </w:r>
                                </w:p>
                              </w:tc>
                            </w:tr>
                            <w:tr w:rsidR="00CE57F9" w14:paraId="5A7F1258" w14:textId="77777777" w:rsidTr="00DA2751">
                              <w:trPr>
                                <w:trHeight w:val="346"/>
                              </w:trPr>
                              <w:tc>
                                <w:tcPr>
                                  <w:tcW w:w="3544" w:type="dxa"/>
                                  <w:tcBorders>
                                    <w:top w:val="single" w:sz="4" w:space="0" w:color="auto"/>
                                  </w:tcBorders>
                                  <w:shd w:val="clear" w:color="auto" w:fill="FFFFFF" w:themeFill="background1"/>
                                  <w:vAlign w:val="center"/>
                                </w:tcPr>
                                <w:p w14:paraId="55A4F508" w14:textId="77777777" w:rsidR="00CE57F9" w:rsidRPr="00DA2751" w:rsidRDefault="00CE57F9" w:rsidP="003E2EE0">
                                  <w:pPr>
                                    <w:overflowPunct w:val="0"/>
                                    <w:spacing w:line="300" w:lineRule="exact"/>
                                    <w:jc w:val="center"/>
                                    <w:rPr>
                                      <w:rFonts w:ascii="標楷體" w:eastAsia="標楷體" w:hAnsi="標楷體"/>
                                      <w:sz w:val="20"/>
                                      <w:szCs w:val="28"/>
                                    </w:rPr>
                                  </w:pPr>
                                  <w:r w:rsidRPr="00DA2751">
                                    <w:rPr>
                                      <w:rFonts w:ascii="標楷體" w:eastAsia="標楷體" w:hAnsi="標楷體" w:hint="eastAsia"/>
                                      <w:sz w:val="20"/>
                                      <w:szCs w:val="28"/>
                                    </w:rPr>
                                    <w:t>工廠類別</w:t>
                                  </w:r>
                                </w:p>
                              </w:tc>
                              <w:tc>
                                <w:tcPr>
                                  <w:tcW w:w="1701" w:type="dxa"/>
                                  <w:tcBorders>
                                    <w:top w:val="single" w:sz="4" w:space="0" w:color="auto"/>
                                  </w:tcBorders>
                                  <w:shd w:val="clear" w:color="auto" w:fill="FFFFFF" w:themeFill="background1"/>
                                  <w:vAlign w:val="center"/>
                                </w:tcPr>
                                <w:p w14:paraId="34592221" w14:textId="77777777" w:rsidR="00CE57F9" w:rsidRPr="00DA2751" w:rsidRDefault="00CE57F9" w:rsidP="003E2EE0">
                                  <w:pPr>
                                    <w:overflowPunct w:val="0"/>
                                    <w:spacing w:line="300" w:lineRule="exact"/>
                                    <w:jc w:val="center"/>
                                    <w:rPr>
                                      <w:rFonts w:ascii="標楷體" w:eastAsia="標楷體" w:hAnsi="標楷體"/>
                                      <w:sz w:val="20"/>
                                      <w:szCs w:val="28"/>
                                    </w:rPr>
                                  </w:pPr>
                                  <w:r w:rsidRPr="00DA2751">
                                    <w:rPr>
                                      <w:rFonts w:ascii="標楷體" w:eastAsia="標楷體" w:hAnsi="標楷體" w:hint="eastAsia"/>
                                      <w:sz w:val="20"/>
                                      <w:szCs w:val="28"/>
                                    </w:rPr>
                                    <w:t>已設置裝置容量</w:t>
                                  </w:r>
                                </w:p>
                              </w:tc>
                            </w:tr>
                            <w:tr w:rsidR="00CE57F9" w14:paraId="34712406" w14:textId="77777777" w:rsidTr="00850571">
                              <w:tc>
                                <w:tcPr>
                                  <w:tcW w:w="3544" w:type="dxa"/>
                                  <w:vAlign w:val="center"/>
                                </w:tcPr>
                                <w:p w14:paraId="57EFA950" w14:textId="77777777" w:rsidR="00CE57F9" w:rsidRPr="003E2EE0" w:rsidRDefault="00CE57F9" w:rsidP="003E2EE0">
                                  <w:pPr>
                                    <w:overflowPunct w:val="0"/>
                                    <w:spacing w:line="300" w:lineRule="exact"/>
                                    <w:jc w:val="center"/>
                                    <w:rPr>
                                      <w:rFonts w:ascii="標楷體" w:eastAsia="標楷體" w:hAnsi="標楷體"/>
                                      <w:b/>
                                      <w:sz w:val="20"/>
                                      <w:szCs w:val="28"/>
                                    </w:rPr>
                                  </w:pPr>
                                  <w:r w:rsidRPr="003E2EE0">
                                    <w:rPr>
                                      <w:rFonts w:ascii="標楷體" w:eastAsia="標楷體" w:hAnsi="標楷體" w:hint="eastAsia"/>
                                      <w:b/>
                                      <w:sz w:val="20"/>
                                      <w:szCs w:val="28"/>
                                    </w:rPr>
                                    <w:t>合計</w:t>
                                  </w:r>
                                </w:p>
                              </w:tc>
                              <w:tc>
                                <w:tcPr>
                                  <w:tcW w:w="1701" w:type="dxa"/>
                                  <w:vAlign w:val="center"/>
                                </w:tcPr>
                                <w:p w14:paraId="203F38C2" w14:textId="77777777" w:rsidR="00CE57F9" w:rsidRPr="003E2EE0" w:rsidRDefault="00CE57F9" w:rsidP="003E2EE0">
                                  <w:pPr>
                                    <w:overflowPunct w:val="0"/>
                                    <w:spacing w:line="300" w:lineRule="exact"/>
                                    <w:jc w:val="right"/>
                                    <w:rPr>
                                      <w:rFonts w:ascii="標楷體" w:eastAsia="標楷體" w:hAnsi="標楷體"/>
                                      <w:b/>
                                      <w:sz w:val="20"/>
                                      <w:szCs w:val="28"/>
                                    </w:rPr>
                                  </w:pPr>
                                  <w:r w:rsidRPr="003E2EE0">
                                    <w:rPr>
                                      <w:rFonts w:ascii="標楷體" w:eastAsia="標楷體" w:hAnsi="標楷體" w:hint="eastAsia"/>
                                      <w:b/>
                                      <w:sz w:val="20"/>
                                      <w:szCs w:val="28"/>
                                    </w:rPr>
                                    <w:t>2</w:t>
                                  </w:r>
                                  <w:r w:rsidRPr="003E2EE0">
                                    <w:rPr>
                                      <w:rFonts w:ascii="標楷體" w:eastAsia="標楷體" w:hAnsi="標楷體"/>
                                      <w:b/>
                                      <w:sz w:val="20"/>
                                      <w:szCs w:val="28"/>
                                    </w:rPr>
                                    <w:t>,23</w:t>
                                  </w:r>
                                  <w:r w:rsidRPr="003E2EE0">
                                    <w:rPr>
                                      <w:rFonts w:ascii="標楷體" w:eastAsia="標楷體" w:hAnsi="標楷體" w:hint="eastAsia"/>
                                      <w:b/>
                                      <w:sz w:val="20"/>
                                      <w:szCs w:val="28"/>
                                    </w:rPr>
                                    <w:t>6</w:t>
                                  </w:r>
                                  <w:r w:rsidRPr="003E2EE0">
                                    <w:rPr>
                                      <w:rFonts w:ascii="標楷體" w:eastAsia="標楷體" w:hAnsi="標楷體"/>
                                      <w:b/>
                                      <w:sz w:val="20"/>
                                      <w:szCs w:val="28"/>
                                    </w:rPr>
                                    <w:t>.70</w:t>
                                  </w:r>
                                </w:p>
                              </w:tc>
                            </w:tr>
                            <w:tr w:rsidR="00CE57F9" w14:paraId="670AD1F0" w14:textId="77777777" w:rsidTr="00850571">
                              <w:tc>
                                <w:tcPr>
                                  <w:tcW w:w="3544" w:type="dxa"/>
                                  <w:vAlign w:val="center"/>
                                </w:tcPr>
                                <w:p w14:paraId="737FC0D6" w14:textId="77777777" w:rsidR="00CE57F9" w:rsidRPr="003E2EE0" w:rsidRDefault="00CE57F9" w:rsidP="003E2EE0">
                                  <w:pPr>
                                    <w:overflowPunct w:val="0"/>
                                    <w:spacing w:line="300" w:lineRule="exact"/>
                                    <w:jc w:val="both"/>
                                    <w:rPr>
                                      <w:rFonts w:ascii="標楷體" w:eastAsia="標楷體" w:hAnsi="標楷體"/>
                                      <w:sz w:val="20"/>
                                      <w:szCs w:val="28"/>
                                    </w:rPr>
                                  </w:pPr>
                                  <w:r w:rsidRPr="003E2EE0">
                                    <w:rPr>
                                      <w:rFonts w:ascii="標楷體" w:eastAsia="標楷體" w:hAnsi="標楷體" w:hint="eastAsia"/>
                                      <w:sz w:val="20"/>
                                      <w:szCs w:val="28"/>
                                    </w:rPr>
                                    <w:t>經濟部工業局轄管工業區</w:t>
                                  </w:r>
                                </w:p>
                              </w:tc>
                              <w:tc>
                                <w:tcPr>
                                  <w:tcW w:w="1701" w:type="dxa"/>
                                  <w:vAlign w:val="center"/>
                                </w:tcPr>
                                <w:p w14:paraId="0715B699" w14:textId="77777777" w:rsidR="00CE57F9" w:rsidRPr="003E2EE0" w:rsidRDefault="00CE57F9" w:rsidP="003E2EE0">
                                  <w:pPr>
                                    <w:overflowPunct w:val="0"/>
                                    <w:spacing w:line="300" w:lineRule="exact"/>
                                    <w:jc w:val="right"/>
                                    <w:rPr>
                                      <w:rFonts w:ascii="標楷體" w:eastAsia="標楷體" w:hAnsi="標楷體"/>
                                      <w:sz w:val="20"/>
                                      <w:szCs w:val="28"/>
                                    </w:rPr>
                                  </w:pPr>
                                  <w:r w:rsidRPr="003E2EE0">
                                    <w:rPr>
                                      <w:rFonts w:ascii="標楷體" w:eastAsia="標楷體" w:hAnsi="標楷體"/>
                                      <w:sz w:val="20"/>
                                      <w:szCs w:val="28"/>
                                    </w:rPr>
                                    <w:t>849.82</w:t>
                                  </w:r>
                                </w:p>
                              </w:tc>
                            </w:tr>
                            <w:tr w:rsidR="00CE57F9" w14:paraId="2B22A1FE" w14:textId="77777777" w:rsidTr="00850571">
                              <w:tc>
                                <w:tcPr>
                                  <w:tcW w:w="3544" w:type="dxa"/>
                                  <w:vAlign w:val="center"/>
                                </w:tcPr>
                                <w:p w14:paraId="2524D388" w14:textId="77777777" w:rsidR="00CE57F9" w:rsidRPr="003E2EE0" w:rsidRDefault="00CE57F9" w:rsidP="003E2EE0">
                                  <w:pPr>
                                    <w:overflowPunct w:val="0"/>
                                    <w:spacing w:line="300" w:lineRule="exact"/>
                                    <w:jc w:val="both"/>
                                    <w:rPr>
                                      <w:rFonts w:ascii="標楷體" w:eastAsia="標楷體" w:hAnsi="標楷體"/>
                                      <w:sz w:val="20"/>
                                      <w:szCs w:val="28"/>
                                    </w:rPr>
                                  </w:pPr>
                                  <w:r w:rsidRPr="003E2EE0">
                                    <w:rPr>
                                      <w:rFonts w:ascii="標楷體" w:eastAsia="標楷體" w:hAnsi="標楷體" w:hint="eastAsia"/>
                                      <w:sz w:val="20"/>
                                      <w:szCs w:val="28"/>
                                    </w:rPr>
                                    <w:t>經濟部加工出口區轄管科技產業園區</w:t>
                                  </w:r>
                                </w:p>
                              </w:tc>
                              <w:tc>
                                <w:tcPr>
                                  <w:tcW w:w="1701" w:type="dxa"/>
                                  <w:vAlign w:val="center"/>
                                </w:tcPr>
                                <w:p w14:paraId="10D3DF1A" w14:textId="77777777" w:rsidR="00CE57F9" w:rsidRPr="003E2EE0" w:rsidRDefault="00CE57F9" w:rsidP="003E2EE0">
                                  <w:pPr>
                                    <w:overflowPunct w:val="0"/>
                                    <w:spacing w:line="300" w:lineRule="exact"/>
                                    <w:jc w:val="right"/>
                                    <w:rPr>
                                      <w:rFonts w:ascii="標楷體" w:eastAsia="標楷體" w:hAnsi="標楷體"/>
                                      <w:sz w:val="20"/>
                                      <w:szCs w:val="28"/>
                                    </w:rPr>
                                  </w:pPr>
                                  <w:r w:rsidRPr="003E2EE0">
                                    <w:rPr>
                                      <w:rFonts w:ascii="標楷體" w:eastAsia="標楷體" w:hAnsi="標楷體" w:hint="eastAsia"/>
                                      <w:sz w:val="20"/>
                                      <w:szCs w:val="28"/>
                                    </w:rPr>
                                    <w:t>5</w:t>
                                  </w:r>
                                  <w:r w:rsidRPr="003E2EE0">
                                    <w:rPr>
                                      <w:rFonts w:ascii="標楷體" w:eastAsia="標楷體" w:hAnsi="標楷體"/>
                                      <w:sz w:val="20"/>
                                      <w:szCs w:val="28"/>
                                    </w:rPr>
                                    <w:t>9.60</w:t>
                                  </w:r>
                                </w:p>
                              </w:tc>
                            </w:tr>
                            <w:tr w:rsidR="00CE57F9" w14:paraId="565407A2" w14:textId="77777777" w:rsidTr="00850571">
                              <w:tc>
                                <w:tcPr>
                                  <w:tcW w:w="3544" w:type="dxa"/>
                                  <w:vAlign w:val="center"/>
                                </w:tcPr>
                                <w:p w14:paraId="6AAD53EE" w14:textId="77777777" w:rsidR="00CE57F9" w:rsidRPr="003E2EE0" w:rsidRDefault="00CE57F9" w:rsidP="003E2EE0">
                                  <w:pPr>
                                    <w:overflowPunct w:val="0"/>
                                    <w:spacing w:line="300" w:lineRule="exact"/>
                                    <w:jc w:val="both"/>
                                    <w:rPr>
                                      <w:rFonts w:ascii="標楷體" w:eastAsia="標楷體" w:hAnsi="標楷體"/>
                                      <w:sz w:val="20"/>
                                      <w:szCs w:val="28"/>
                                    </w:rPr>
                                  </w:pPr>
                                  <w:r w:rsidRPr="003E2EE0">
                                    <w:rPr>
                                      <w:rFonts w:ascii="標楷體" w:eastAsia="標楷體" w:hAnsi="標楷體" w:hint="eastAsia"/>
                                      <w:sz w:val="20"/>
                                      <w:szCs w:val="28"/>
                                    </w:rPr>
                                    <w:t>國家科學及技術委員會轄管科學園區</w:t>
                                  </w:r>
                                </w:p>
                              </w:tc>
                              <w:tc>
                                <w:tcPr>
                                  <w:tcW w:w="1701" w:type="dxa"/>
                                  <w:vAlign w:val="center"/>
                                </w:tcPr>
                                <w:p w14:paraId="1679B651" w14:textId="77777777" w:rsidR="00CE57F9" w:rsidRPr="003E2EE0" w:rsidRDefault="00CE57F9" w:rsidP="003E2EE0">
                                  <w:pPr>
                                    <w:overflowPunct w:val="0"/>
                                    <w:spacing w:line="300" w:lineRule="exact"/>
                                    <w:jc w:val="right"/>
                                    <w:rPr>
                                      <w:rFonts w:ascii="標楷體" w:eastAsia="標楷體" w:hAnsi="標楷體"/>
                                      <w:sz w:val="20"/>
                                      <w:szCs w:val="28"/>
                                    </w:rPr>
                                  </w:pPr>
                                  <w:r w:rsidRPr="003E2EE0">
                                    <w:rPr>
                                      <w:rFonts w:ascii="標楷體" w:eastAsia="標楷體" w:hAnsi="標楷體" w:hint="eastAsia"/>
                                      <w:sz w:val="20"/>
                                      <w:szCs w:val="28"/>
                                    </w:rPr>
                                    <w:t>1</w:t>
                                  </w:r>
                                  <w:r w:rsidRPr="003E2EE0">
                                    <w:rPr>
                                      <w:rFonts w:ascii="標楷體" w:eastAsia="標楷體" w:hAnsi="標楷體"/>
                                      <w:sz w:val="20"/>
                                      <w:szCs w:val="28"/>
                                    </w:rPr>
                                    <w:t>51.47</w:t>
                                  </w:r>
                                </w:p>
                              </w:tc>
                            </w:tr>
                            <w:tr w:rsidR="00CE57F9" w14:paraId="0410CEE2" w14:textId="77777777" w:rsidTr="00850571">
                              <w:tc>
                                <w:tcPr>
                                  <w:tcW w:w="3544" w:type="dxa"/>
                                  <w:tcBorders>
                                    <w:bottom w:val="single" w:sz="4" w:space="0" w:color="auto"/>
                                  </w:tcBorders>
                                  <w:vAlign w:val="center"/>
                                </w:tcPr>
                                <w:p w14:paraId="70B5B341" w14:textId="77777777" w:rsidR="00CE57F9" w:rsidRPr="003E2EE0" w:rsidRDefault="00CE57F9" w:rsidP="003E2EE0">
                                  <w:pPr>
                                    <w:overflowPunct w:val="0"/>
                                    <w:spacing w:line="300" w:lineRule="exact"/>
                                    <w:jc w:val="both"/>
                                    <w:rPr>
                                      <w:rFonts w:ascii="標楷體" w:eastAsia="標楷體" w:hAnsi="標楷體"/>
                                      <w:sz w:val="20"/>
                                      <w:szCs w:val="28"/>
                                    </w:rPr>
                                  </w:pPr>
                                  <w:r w:rsidRPr="003E2EE0">
                                    <w:rPr>
                                      <w:rFonts w:ascii="標楷體" w:eastAsia="標楷體" w:hAnsi="標楷體" w:hint="eastAsia"/>
                                      <w:sz w:val="20"/>
                                      <w:szCs w:val="28"/>
                                    </w:rPr>
                                    <w:t>地方政府轄管在地型工業區</w:t>
                                  </w:r>
                                </w:p>
                              </w:tc>
                              <w:tc>
                                <w:tcPr>
                                  <w:tcW w:w="1701" w:type="dxa"/>
                                  <w:tcBorders>
                                    <w:bottom w:val="single" w:sz="4" w:space="0" w:color="auto"/>
                                  </w:tcBorders>
                                  <w:vAlign w:val="center"/>
                                </w:tcPr>
                                <w:p w14:paraId="05AAC9EA" w14:textId="77777777" w:rsidR="00CE57F9" w:rsidRPr="003E2EE0" w:rsidRDefault="00CE57F9" w:rsidP="003E2EE0">
                                  <w:pPr>
                                    <w:overflowPunct w:val="0"/>
                                    <w:spacing w:line="300" w:lineRule="exact"/>
                                    <w:jc w:val="right"/>
                                    <w:rPr>
                                      <w:rFonts w:ascii="標楷體" w:eastAsia="標楷體" w:hAnsi="標楷體"/>
                                      <w:sz w:val="20"/>
                                      <w:szCs w:val="28"/>
                                    </w:rPr>
                                  </w:pPr>
                                  <w:r w:rsidRPr="003E2EE0">
                                    <w:rPr>
                                      <w:rFonts w:ascii="標楷體" w:eastAsia="標楷體" w:hAnsi="標楷體" w:hint="eastAsia"/>
                                      <w:sz w:val="20"/>
                                      <w:szCs w:val="28"/>
                                    </w:rPr>
                                    <w:t>2</w:t>
                                  </w:r>
                                  <w:r w:rsidRPr="003E2EE0">
                                    <w:rPr>
                                      <w:rFonts w:ascii="標楷體" w:eastAsia="標楷體" w:hAnsi="標楷體"/>
                                      <w:sz w:val="20"/>
                                      <w:szCs w:val="28"/>
                                    </w:rPr>
                                    <w:t>07.29</w:t>
                                  </w:r>
                                </w:p>
                              </w:tc>
                            </w:tr>
                            <w:tr w:rsidR="00CE57F9" w14:paraId="5694999F" w14:textId="77777777" w:rsidTr="00850571">
                              <w:tc>
                                <w:tcPr>
                                  <w:tcW w:w="3544" w:type="dxa"/>
                                  <w:tcBorders>
                                    <w:bottom w:val="single" w:sz="4" w:space="0" w:color="auto"/>
                                  </w:tcBorders>
                                  <w:vAlign w:val="center"/>
                                </w:tcPr>
                                <w:p w14:paraId="13DD6269" w14:textId="77777777" w:rsidR="00CE57F9" w:rsidRPr="003E2EE0" w:rsidRDefault="00CE57F9" w:rsidP="003E2EE0">
                                  <w:pPr>
                                    <w:overflowPunct w:val="0"/>
                                    <w:spacing w:line="300" w:lineRule="exact"/>
                                    <w:jc w:val="both"/>
                                    <w:rPr>
                                      <w:rFonts w:ascii="標楷體" w:eastAsia="標楷體" w:hAnsi="標楷體"/>
                                      <w:sz w:val="20"/>
                                      <w:szCs w:val="28"/>
                                    </w:rPr>
                                  </w:pPr>
                                  <w:r w:rsidRPr="003E2EE0">
                                    <w:rPr>
                                      <w:rFonts w:ascii="標楷體" w:eastAsia="標楷體" w:hAnsi="標楷體" w:hint="eastAsia"/>
                                      <w:sz w:val="20"/>
                                      <w:szCs w:val="28"/>
                                    </w:rPr>
                                    <w:t>其他工廠屋頂</w:t>
                                  </w:r>
                                </w:p>
                              </w:tc>
                              <w:tc>
                                <w:tcPr>
                                  <w:tcW w:w="1701" w:type="dxa"/>
                                  <w:tcBorders>
                                    <w:bottom w:val="single" w:sz="4" w:space="0" w:color="auto"/>
                                  </w:tcBorders>
                                  <w:vAlign w:val="center"/>
                                </w:tcPr>
                                <w:p w14:paraId="2F15135D" w14:textId="77777777" w:rsidR="00CE57F9" w:rsidRPr="003E2EE0" w:rsidRDefault="00CE57F9" w:rsidP="003E2EE0">
                                  <w:pPr>
                                    <w:overflowPunct w:val="0"/>
                                    <w:spacing w:line="300" w:lineRule="exact"/>
                                    <w:jc w:val="right"/>
                                    <w:rPr>
                                      <w:rFonts w:ascii="標楷體" w:eastAsia="標楷體" w:hAnsi="標楷體"/>
                                      <w:sz w:val="20"/>
                                      <w:szCs w:val="28"/>
                                    </w:rPr>
                                  </w:pPr>
                                  <w:r w:rsidRPr="003E2EE0">
                                    <w:rPr>
                                      <w:rFonts w:ascii="標楷體" w:eastAsia="標楷體" w:hAnsi="標楷體" w:hint="eastAsia"/>
                                      <w:sz w:val="20"/>
                                      <w:szCs w:val="28"/>
                                    </w:rPr>
                                    <w:t>9</w:t>
                                  </w:r>
                                  <w:r w:rsidRPr="003E2EE0">
                                    <w:rPr>
                                      <w:rFonts w:ascii="標楷體" w:eastAsia="標楷體" w:hAnsi="標楷體"/>
                                      <w:sz w:val="20"/>
                                      <w:szCs w:val="28"/>
                                    </w:rPr>
                                    <w:t>68.52</w:t>
                                  </w:r>
                                </w:p>
                              </w:tc>
                            </w:tr>
                            <w:tr w:rsidR="00CE57F9" w14:paraId="3FE85E11" w14:textId="77777777" w:rsidTr="00850571">
                              <w:tc>
                                <w:tcPr>
                                  <w:tcW w:w="5245" w:type="dxa"/>
                                  <w:gridSpan w:val="2"/>
                                  <w:tcBorders>
                                    <w:top w:val="single" w:sz="4" w:space="0" w:color="auto"/>
                                    <w:left w:val="nil"/>
                                    <w:bottom w:val="nil"/>
                                    <w:right w:val="nil"/>
                                  </w:tcBorders>
                                  <w:vAlign w:val="center"/>
                                </w:tcPr>
                                <w:p w14:paraId="1DD64381" w14:textId="248F2EB3" w:rsidR="00CE57F9" w:rsidRDefault="00CE57F9" w:rsidP="00EB3E9A">
                                  <w:pPr>
                                    <w:overflowPunct w:val="0"/>
                                    <w:spacing w:line="240" w:lineRule="exact"/>
                                    <w:rPr>
                                      <w:rFonts w:ascii="標楷體" w:eastAsia="標楷體" w:hAnsi="標楷體"/>
                                      <w:sz w:val="28"/>
                                      <w:szCs w:val="28"/>
                                    </w:rPr>
                                  </w:pPr>
                                  <w:r w:rsidRPr="00B94DF5">
                                    <w:rPr>
                                      <w:rFonts w:ascii="標楷體" w:eastAsia="標楷體" w:hAnsi="標楷體" w:hint="eastAsia"/>
                                      <w:sz w:val="18"/>
                                      <w:szCs w:val="24"/>
                                    </w:rPr>
                                    <w:t>資料來源：整理自能源局提供資料。</w:t>
                                  </w:r>
                                </w:p>
                              </w:tc>
                            </w:tr>
                          </w:tbl>
                          <w:p w14:paraId="506D807A" w14:textId="77777777" w:rsidR="00CE57F9" w:rsidRPr="00B94DF5" w:rsidRDefault="00CE57F9" w:rsidP="00F1158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D6BCDB" id="_x0000_s1036" type="#_x0000_t202" style="position:absolute;left:0;text-align:left;margin-left:218.2pt;margin-top:264.85pt;width:277.2pt;height:169.1pt;z-index:2516423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" filled="f" stroked="f">
                <v:textbox>
                  <w:txbxContent>
                    <w:tbl>
                      <w:tblPr>
                        <w:tblStyle w:val="1f2"/>
                        <w:tblW w:w="5245" w:type="dxa"/>
                        <w:tblLook w:val="04A0" w:firstRow="1" w:lastRow="0" w:firstColumn="1" w:lastColumn="0" w:noHBand="0" w:noVBand="1"/>
                      </w:tblPr>
                      <w:tblGrid>
                        <w:gridCol w:w="3544"/>
                        <w:gridCol w:w="1701"/>
                      </w:tblGrid>
                      <w:tr w:rsidR="00CE57F9" w:rsidRPr="00E03D4E" w14:paraId="0187E691" w14:textId="77777777" w:rsidTr="00850571">
                        <w:tc>
                          <w:tcPr>
                            <w:tcW w:w="5245" w:type="dxa"/>
                            <w:gridSpan w:val="2"/>
                            <w:tcBorders>
                              <w:top w:val="nil"/>
                              <w:left w:val="nil"/>
                              <w:bottom w:val="single" w:sz="4" w:space="0" w:color="auto"/>
                              <w:right w:val="nil"/>
                            </w:tcBorders>
                            <w:vAlign w:val="center"/>
                          </w:tcPr>
                          <w:p w14:paraId="7E7EDAF6" w14:textId="2C5A7033" w:rsidR="00CE57F9" w:rsidRPr="00DA2751" w:rsidRDefault="00CE57F9" w:rsidP="00DA2751">
                            <w:pPr>
                              <w:overflowPunct w:val="0"/>
                              <w:spacing w:line="300" w:lineRule="exact"/>
                              <w:ind w:left="585" w:hangingChars="292" w:hanging="585"/>
                              <w:jc w:val="distribute"/>
                              <w:rPr>
                                <w:rFonts w:ascii="標楷體" w:eastAsia="標楷體" w:hAnsi="標楷體"/>
                                <w:b/>
                                <w:spacing w:val="-20"/>
                                <w:szCs w:val="24"/>
                              </w:rPr>
                            </w:pPr>
                            <w:r w:rsidRPr="00DA2751">
                              <w:rPr>
                                <w:rFonts w:ascii="標楷體" w:eastAsia="標楷體" w:hAnsi="標楷體" w:hint="eastAsia"/>
                                <w:b/>
                                <w:spacing w:val="-20"/>
                                <w:szCs w:val="24"/>
                              </w:rPr>
                              <w:t>表</w:t>
                            </w:r>
                            <w:r w:rsidRPr="00DA2751">
                              <w:rPr>
                                <w:rFonts w:ascii="標楷體" w:eastAsia="標楷體" w:hAnsi="標楷體"/>
                                <w:b/>
                                <w:spacing w:val="-20"/>
                                <w:szCs w:val="24"/>
                              </w:rPr>
                              <w:t>8</w:t>
                            </w:r>
                            <w:r w:rsidRPr="00DA2751">
                              <w:rPr>
                                <w:rFonts w:ascii="標楷體" w:eastAsia="標楷體" w:hAnsi="標楷體" w:hint="eastAsia"/>
                                <w:b/>
                                <w:spacing w:val="-20"/>
                                <w:szCs w:val="24"/>
                              </w:rPr>
                              <w:t xml:space="preserve">　</w:t>
                            </w:r>
                            <w:r w:rsidRPr="00CE57F9">
                              <w:rPr>
                                <w:rFonts w:ascii="標楷體" w:eastAsia="標楷體" w:hAnsi="標楷體"/>
                                <w:b/>
                                <w:spacing w:val="-20"/>
                                <w:szCs w:val="24"/>
                              </w:rPr>
                              <w:t>112年2月底</w:t>
                            </w:r>
                            <w:r w:rsidRPr="00DA2751">
                              <w:rPr>
                                <w:rFonts w:ascii="標楷體" w:eastAsia="標楷體" w:hAnsi="標楷體"/>
                                <w:b/>
                                <w:spacing w:val="-20"/>
                                <w:szCs w:val="24"/>
                              </w:rPr>
                              <w:t>工業區屋頂型太陽光電設置情形</w:t>
                            </w:r>
                          </w:p>
                          <w:p w14:paraId="63A30F1E" w14:textId="56FAE08B" w:rsidR="00CE57F9" w:rsidRPr="003E2EE0" w:rsidRDefault="00CE57F9" w:rsidP="00D22462">
                            <w:pPr>
                              <w:overflowPunct w:val="0"/>
                              <w:spacing w:line="400" w:lineRule="exact"/>
                              <w:ind w:rightChars="-70" w:right="-168" w:firstLine="482"/>
                              <w:jc w:val="right"/>
                              <w:rPr>
                                <w:rFonts w:ascii="標楷體" w:eastAsia="標楷體" w:hAnsi="標楷體"/>
                                <w:b/>
                                <w:sz w:val="20"/>
                                <w:szCs w:val="28"/>
                              </w:rPr>
                            </w:pPr>
                            <w:r w:rsidRPr="003E2EE0">
                              <w:rPr>
                                <w:rFonts w:ascii="標楷體" w:eastAsia="標楷體" w:hAnsi="標楷體" w:hint="eastAsia"/>
                                <w:sz w:val="20"/>
                                <w:szCs w:val="24"/>
                              </w:rPr>
                              <w:t>單位：百萬瓦</w:t>
                            </w:r>
                            <w:r>
                              <w:rPr>
                                <w:rFonts w:ascii="標楷體" w:eastAsia="標楷體" w:hAnsi="標楷體" w:hint="eastAsia"/>
                                <w:sz w:val="20"/>
                                <w:szCs w:val="24"/>
                              </w:rPr>
                              <w:t>（</w:t>
                            </w:r>
                            <w:r w:rsidRPr="003E2EE0">
                              <w:rPr>
                                <w:rFonts w:ascii="標楷體" w:eastAsia="標楷體" w:hAnsi="標楷體" w:hint="eastAsia"/>
                                <w:sz w:val="20"/>
                                <w:szCs w:val="24"/>
                              </w:rPr>
                              <w:t>MW</w:t>
                            </w:r>
                            <w:r>
                              <w:rPr>
                                <w:rFonts w:ascii="標楷體" w:eastAsia="標楷體" w:hAnsi="標楷體" w:hint="eastAsia"/>
                                <w:sz w:val="20"/>
                                <w:szCs w:val="24"/>
                              </w:rPr>
                              <w:t>）</w:t>
                            </w:r>
                          </w:p>
                        </w:tc>
                      </w:tr>
                      <w:tr w:rsidR="00CE57F9" w14:paraId="5A7F1258" w14:textId="77777777" w:rsidTr="00DA2751">
                        <w:trPr>
                          <w:trHeight w:val="346"/>
                        </w:trPr>
                        <w:tc>
                          <w:tcPr>
                            <w:tcW w:w="3544" w:type="dxa"/>
                            <w:tcBorders>
                              <w:top w:val="single" w:sz="4" w:space="0" w:color="auto"/>
                            </w:tcBorders>
                            <w:shd w:val="clear" w:color="auto" w:fill="FFFFFF" w:themeFill="background1"/>
                            <w:vAlign w:val="center"/>
                          </w:tcPr>
                          <w:p w14:paraId="55A4F508" w14:textId="77777777" w:rsidR="00CE57F9" w:rsidRPr="00DA2751" w:rsidRDefault="00CE57F9" w:rsidP="003E2EE0">
                            <w:pPr>
                              <w:overflowPunct w:val="0"/>
                              <w:spacing w:line="300" w:lineRule="exact"/>
                              <w:jc w:val="center"/>
                              <w:rPr>
                                <w:rFonts w:ascii="標楷體" w:eastAsia="標楷體" w:hAnsi="標楷體"/>
                                <w:sz w:val="20"/>
                                <w:szCs w:val="28"/>
                              </w:rPr>
                            </w:pPr>
                            <w:r w:rsidRPr="00DA2751">
                              <w:rPr>
                                <w:rFonts w:ascii="標楷體" w:eastAsia="標楷體" w:hAnsi="標楷體" w:hint="eastAsia"/>
                                <w:sz w:val="20"/>
                                <w:szCs w:val="28"/>
                              </w:rPr>
                              <w:t>工廠類別</w:t>
                            </w:r>
                          </w:p>
                        </w:tc>
                        <w:tc>
                          <w:tcPr>
                            <w:tcW w:w="1701" w:type="dxa"/>
                            <w:tcBorders>
                              <w:top w:val="single" w:sz="4" w:space="0" w:color="auto"/>
                            </w:tcBorders>
                            <w:shd w:val="clear" w:color="auto" w:fill="FFFFFF" w:themeFill="background1"/>
                            <w:vAlign w:val="center"/>
                          </w:tcPr>
                          <w:p w14:paraId="34592221" w14:textId="77777777" w:rsidR="00CE57F9" w:rsidRPr="00DA2751" w:rsidRDefault="00CE57F9" w:rsidP="003E2EE0">
                            <w:pPr>
                              <w:overflowPunct w:val="0"/>
                              <w:spacing w:line="300" w:lineRule="exact"/>
                              <w:jc w:val="center"/>
                              <w:rPr>
                                <w:rFonts w:ascii="標楷體" w:eastAsia="標楷體" w:hAnsi="標楷體"/>
                                <w:sz w:val="20"/>
                                <w:szCs w:val="28"/>
                              </w:rPr>
                            </w:pPr>
                            <w:r w:rsidRPr="00DA2751">
                              <w:rPr>
                                <w:rFonts w:ascii="標楷體" w:eastAsia="標楷體" w:hAnsi="標楷體" w:hint="eastAsia"/>
                                <w:sz w:val="20"/>
                                <w:szCs w:val="28"/>
                              </w:rPr>
                              <w:t>已設置裝置容量</w:t>
                            </w:r>
                          </w:p>
                        </w:tc>
                      </w:tr>
                      <w:tr w:rsidR="00CE57F9" w14:paraId="34712406" w14:textId="77777777" w:rsidTr="00850571">
                        <w:tc>
                          <w:tcPr>
                            <w:tcW w:w="3544" w:type="dxa"/>
                            <w:vAlign w:val="center"/>
                          </w:tcPr>
                          <w:p w14:paraId="57EFA950" w14:textId="77777777" w:rsidR="00CE57F9" w:rsidRPr="003E2EE0" w:rsidRDefault="00CE57F9" w:rsidP="003E2EE0">
                            <w:pPr>
                              <w:overflowPunct w:val="0"/>
                              <w:spacing w:line="300" w:lineRule="exact"/>
                              <w:jc w:val="center"/>
                              <w:rPr>
                                <w:rFonts w:ascii="標楷體" w:eastAsia="標楷體" w:hAnsi="標楷體"/>
                                <w:b/>
                                <w:sz w:val="20"/>
                                <w:szCs w:val="28"/>
                              </w:rPr>
                            </w:pPr>
                            <w:r w:rsidRPr="003E2EE0">
                              <w:rPr>
                                <w:rFonts w:ascii="標楷體" w:eastAsia="標楷體" w:hAnsi="標楷體" w:hint="eastAsia"/>
                                <w:b/>
                                <w:sz w:val="20"/>
                                <w:szCs w:val="28"/>
                              </w:rPr>
                              <w:t>合計</w:t>
                            </w:r>
                          </w:p>
                        </w:tc>
                        <w:tc>
                          <w:tcPr>
                            <w:tcW w:w="1701" w:type="dxa"/>
                            <w:vAlign w:val="center"/>
                          </w:tcPr>
                          <w:p w14:paraId="203F38C2" w14:textId="77777777" w:rsidR="00CE57F9" w:rsidRPr="003E2EE0" w:rsidRDefault="00CE57F9" w:rsidP="003E2EE0">
                            <w:pPr>
                              <w:overflowPunct w:val="0"/>
                              <w:spacing w:line="300" w:lineRule="exact"/>
                              <w:jc w:val="right"/>
                              <w:rPr>
                                <w:rFonts w:ascii="標楷體" w:eastAsia="標楷體" w:hAnsi="標楷體"/>
                                <w:b/>
                                <w:sz w:val="20"/>
                                <w:szCs w:val="28"/>
                              </w:rPr>
                            </w:pPr>
                            <w:r w:rsidRPr="003E2EE0">
                              <w:rPr>
                                <w:rFonts w:ascii="標楷體" w:eastAsia="標楷體" w:hAnsi="標楷體" w:hint="eastAsia"/>
                                <w:b/>
                                <w:sz w:val="20"/>
                                <w:szCs w:val="28"/>
                              </w:rPr>
                              <w:t>2</w:t>
                            </w:r>
                            <w:r w:rsidRPr="003E2EE0">
                              <w:rPr>
                                <w:rFonts w:ascii="標楷體" w:eastAsia="標楷體" w:hAnsi="標楷體"/>
                                <w:b/>
                                <w:sz w:val="20"/>
                                <w:szCs w:val="28"/>
                              </w:rPr>
                              <w:t>,23</w:t>
                            </w:r>
                            <w:r w:rsidRPr="003E2EE0">
                              <w:rPr>
                                <w:rFonts w:ascii="標楷體" w:eastAsia="標楷體" w:hAnsi="標楷體" w:hint="eastAsia"/>
                                <w:b/>
                                <w:sz w:val="20"/>
                                <w:szCs w:val="28"/>
                              </w:rPr>
                              <w:t>6</w:t>
                            </w:r>
                            <w:r w:rsidRPr="003E2EE0">
                              <w:rPr>
                                <w:rFonts w:ascii="標楷體" w:eastAsia="標楷體" w:hAnsi="標楷體"/>
                                <w:b/>
                                <w:sz w:val="20"/>
                                <w:szCs w:val="28"/>
                              </w:rPr>
                              <w:t>.70</w:t>
                            </w:r>
                          </w:p>
                        </w:tc>
                      </w:tr>
                      <w:tr w:rsidR="00CE57F9" w14:paraId="670AD1F0" w14:textId="77777777" w:rsidTr="00850571">
                        <w:tc>
                          <w:tcPr>
                            <w:tcW w:w="3544" w:type="dxa"/>
                            <w:vAlign w:val="center"/>
                          </w:tcPr>
                          <w:p w14:paraId="737FC0D6" w14:textId="77777777" w:rsidR="00CE57F9" w:rsidRPr="003E2EE0" w:rsidRDefault="00CE57F9" w:rsidP="003E2EE0">
                            <w:pPr>
                              <w:overflowPunct w:val="0"/>
                              <w:spacing w:line="300" w:lineRule="exact"/>
                              <w:jc w:val="both"/>
                              <w:rPr>
                                <w:rFonts w:ascii="標楷體" w:eastAsia="標楷體" w:hAnsi="標楷體"/>
                                <w:sz w:val="20"/>
                                <w:szCs w:val="28"/>
                              </w:rPr>
                            </w:pPr>
                            <w:r w:rsidRPr="003E2EE0">
                              <w:rPr>
                                <w:rFonts w:ascii="標楷體" w:eastAsia="標楷體" w:hAnsi="標楷體" w:hint="eastAsia"/>
                                <w:sz w:val="20"/>
                                <w:szCs w:val="28"/>
                              </w:rPr>
                              <w:t>經濟部工業局轄管工業區</w:t>
                            </w:r>
                          </w:p>
                        </w:tc>
                        <w:tc>
                          <w:tcPr>
                            <w:tcW w:w="1701" w:type="dxa"/>
                            <w:vAlign w:val="center"/>
                          </w:tcPr>
                          <w:p w14:paraId="0715B699" w14:textId="77777777" w:rsidR="00CE57F9" w:rsidRPr="003E2EE0" w:rsidRDefault="00CE57F9" w:rsidP="003E2EE0">
                            <w:pPr>
                              <w:overflowPunct w:val="0"/>
                              <w:spacing w:line="300" w:lineRule="exact"/>
                              <w:jc w:val="right"/>
                              <w:rPr>
                                <w:rFonts w:ascii="標楷體" w:eastAsia="標楷體" w:hAnsi="標楷體"/>
                                <w:sz w:val="20"/>
                                <w:szCs w:val="28"/>
                              </w:rPr>
                            </w:pPr>
                            <w:r w:rsidRPr="003E2EE0">
                              <w:rPr>
                                <w:rFonts w:ascii="標楷體" w:eastAsia="標楷體" w:hAnsi="標楷體"/>
                                <w:sz w:val="20"/>
                                <w:szCs w:val="28"/>
                              </w:rPr>
                              <w:t>849.82</w:t>
                            </w:r>
                          </w:p>
                        </w:tc>
                      </w:tr>
                      <w:tr w:rsidR="00CE57F9" w14:paraId="2B22A1FE" w14:textId="77777777" w:rsidTr="00850571">
                        <w:tc>
                          <w:tcPr>
                            <w:tcW w:w="3544" w:type="dxa"/>
                            <w:vAlign w:val="center"/>
                          </w:tcPr>
                          <w:p w14:paraId="2524D388" w14:textId="77777777" w:rsidR="00CE57F9" w:rsidRPr="003E2EE0" w:rsidRDefault="00CE57F9" w:rsidP="003E2EE0">
                            <w:pPr>
                              <w:overflowPunct w:val="0"/>
                              <w:spacing w:line="300" w:lineRule="exact"/>
                              <w:jc w:val="both"/>
                              <w:rPr>
                                <w:rFonts w:ascii="標楷體" w:eastAsia="標楷體" w:hAnsi="標楷體"/>
                                <w:sz w:val="20"/>
                                <w:szCs w:val="28"/>
                              </w:rPr>
                            </w:pPr>
                            <w:r w:rsidRPr="003E2EE0">
                              <w:rPr>
                                <w:rFonts w:ascii="標楷體" w:eastAsia="標楷體" w:hAnsi="標楷體" w:hint="eastAsia"/>
                                <w:sz w:val="20"/>
                                <w:szCs w:val="28"/>
                              </w:rPr>
                              <w:t>經濟部加工出口區轄管科技產業園區</w:t>
                            </w:r>
                          </w:p>
                        </w:tc>
                        <w:tc>
                          <w:tcPr>
                            <w:tcW w:w="1701" w:type="dxa"/>
                            <w:vAlign w:val="center"/>
                          </w:tcPr>
                          <w:p w14:paraId="10D3DF1A" w14:textId="77777777" w:rsidR="00CE57F9" w:rsidRPr="003E2EE0" w:rsidRDefault="00CE57F9" w:rsidP="003E2EE0">
                            <w:pPr>
                              <w:overflowPunct w:val="0"/>
                              <w:spacing w:line="300" w:lineRule="exact"/>
                              <w:jc w:val="right"/>
                              <w:rPr>
                                <w:rFonts w:ascii="標楷體" w:eastAsia="標楷體" w:hAnsi="標楷體"/>
                                <w:sz w:val="20"/>
                                <w:szCs w:val="28"/>
                              </w:rPr>
                            </w:pPr>
                            <w:r w:rsidRPr="003E2EE0">
                              <w:rPr>
                                <w:rFonts w:ascii="標楷體" w:eastAsia="標楷體" w:hAnsi="標楷體" w:hint="eastAsia"/>
                                <w:sz w:val="20"/>
                                <w:szCs w:val="28"/>
                              </w:rPr>
                              <w:t>5</w:t>
                            </w:r>
                            <w:r w:rsidRPr="003E2EE0">
                              <w:rPr>
                                <w:rFonts w:ascii="標楷體" w:eastAsia="標楷體" w:hAnsi="標楷體"/>
                                <w:sz w:val="20"/>
                                <w:szCs w:val="28"/>
                              </w:rPr>
                              <w:t>9.60</w:t>
                            </w:r>
                          </w:p>
                        </w:tc>
                      </w:tr>
                      <w:tr w:rsidR="00CE57F9" w14:paraId="565407A2" w14:textId="77777777" w:rsidTr="00850571">
                        <w:tc>
                          <w:tcPr>
                            <w:tcW w:w="3544" w:type="dxa"/>
                            <w:vAlign w:val="center"/>
                          </w:tcPr>
                          <w:p w14:paraId="6AAD53EE" w14:textId="77777777" w:rsidR="00CE57F9" w:rsidRPr="003E2EE0" w:rsidRDefault="00CE57F9" w:rsidP="003E2EE0">
                            <w:pPr>
                              <w:overflowPunct w:val="0"/>
                              <w:spacing w:line="300" w:lineRule="exact"/>
                              <w:jc w:val="both"/>
                              <w:rPr>
                                <w:rFonts w:ascii="標楷體" w:eastAsia="標楷體" w:hAnsi="標楷體"/>
                                <w:sz w:val="20"/>
                                <w:szCs w:val="28"/>
                              </w:rPr>
                            </w:pPr>
                            <w:r w:rsidRPr="003E2EE0">
                              <w:rPr>
                                <w:rFonts w:ascii="標楷體" w:eastAsia="標楷體" w:hAnsi="標楷體" w:hint="eastAsia"/>
                                <w:sz w:val="20"/>
                                <w:szCs w:val="28"/>
                              </w:rPr>
                              <w:t>國家科學及技術委員會轄管科學園區</w:t>
                            </w:r>
                          </w:p>
                        </w:tc>
                        <w:tc>
                          <w:tcPr>
                            <w:tcW w:w="1701" w:type="dxa"/>
                            <w:vAlign w:val="center"/>
                          </w:tcPr>
                          <w:p w14:paraId="1679B651" w14:textId="77777777" w:rsidR="00CE57F9" w:rsidRPr="003E2EE0" w:rsidRDefault="00CE57F9" w:rsidP="003E2EE0">
                            <w:pPr>
                              <w:overflowPunct w:val="0"/>
                              <w:spacing w:line="300" w:lineRule="exact"/>
                              <w:jc w:val="right"/>
                              <w:rPr>
                                <w:rFonts w:ascii="標楷體" w:eastAsia="標楷體" w:hAnsi="標楷體"/>
                                <w:sz w:val="20"/>
                                <w:szCs w:val="28"/>
                              </w:rPr>
                            </w:pPr>
                            <w:r w:rsidRPr="003E2EE0">
                              <w:rPr>
                                <w:rFonts w:ascii="標楷體" w:eastAsia="標楷體" w:hAnsi="標楷體" w:hint="eastAsia"/>
                                <w:sz w:val="20"/>
                                <w:szCs w:val="28"/>
                              </w:rPr>
                              <w:t>1</w:t>
                            </w:r>
                            <w:r w:rsidRPr="003E2EE0">
                              <w:rPr>
                                <w:rFonts w:ascii="標楷體" w:eastAsia="標楷體" w:hAnsi="標楷體"/>
                                <w:sz w:val="20"/>
                                <w:szCs w:val="28"/>
                              </w:rPr>
                              <w:t>51.47</w:t>
                            </w:r>
                          </w:p>
                        </w:tc>
                      </w:tr>
                      <w:tr w:rsidR="00CE57F9" w14:paraId="0410CEE2" w14:textId="77777777" w:rsidTr="00850571">
                        <w:tc>
                          <w:tcPr>
                            <w:tcW w:w="3544" w:type="dxa"/>
                            <w:tcBorders>
                              <w:bottom w:val="single" w:sz="4" w:space="0" w:color="auto"/>
                            </w:tcBorders>
                            <w:vAlign w:val="center"/>
                          </w:tcPr>
                          <w:p w14:paraId="70B5B341" w14:textId="77777777" w:rsidR="00CE57F9" w:rsidRPr="003E2EE0" w:rsidRDefault="00CE57F9" w:rsidP="003E2EE0">
                            <w:pPr>
                              <w:overflowPunct w:val="0"/>
                              <w:spacing w:line="300" w:lineRule="exact"/>
                              <w:jc w:val="both"/>
                              <w:rPr>
                                <w:rFonts w:ascii="標楷體" w:eastAsia="標楷體" w:hAnsi="標楷體"/>
                                <w:sz w:val="20"/>
                                <w:szCs w:val="28"/>
                              </w:rPr>
                            </w:pPr>
                            <w:r w:rsidRPr="003E2EE0">
                              <w:rPr>
                                <w:rFonts w:ascii="標楷體" w:eastAsia="標楷體" w:hAnsi="標楷體" w:hint="eastAsia"/>
                                <w:sz w:val="20"/>
                                <w:szCs w:val="28"/>
                              </w:rPr>
                              <w:t>地方政府轄管在地型工業區</w:t>
                            </w:r>
                          </w:p>
                        </w:tc>
                        <w:tc>
                          <w:tcPr>
                            <w:tcW w:w="1701" w:type="dxa"/>
                            <w:tcBorders>
                              <w:bottom w:val="single" w:sz="4" w:space="0" w:color="auto"/>
                            </w:tcBorders>
                            <w:vAlign w:val="center"/>
                          </w:tcPr>
                          <w:p w14:paraId="05AAC9EA" w14:textId="77777777" w:rsidR="00CE57F9" w:rsidRPr="003E2EE0" w:rsidRDefault="00CE57F9" w:rsidP="003E2EE0">
                            <w:pPr>
                              <w:overflowPunct w:val="0"/>
                              <w:spacing w:line="300" w:lineRule="exact"/>
                              <w:jc w:val="right"/>
                              <w:rPr>
                                <w:rFonts w:ascii="標楷體" w:eastAsia="標楷體" w:hAnsi="標楷體"/>
                                <w:sz w:val="20"/>
                                <w:szCs w:val="28"/>
                              </w:rPr>
                            </w:pPr>
                            <w:r w:rsidRPr="003E2EE0">
                              <w:rPr>
                                <w:rFonts w:ascii="標楷體" w:eastAsia="標楷體" w:hAnsi="標楷體" w:hint="eastAsia"/>
                                <w:sz w:val="20"/>
                                <w:szCs w:val="28"/>
                              </w:rPr>
                              <w:t>2</w:t>
                            </w:r>
                            <w:r w:rsidRPr="003E2EE0">
                              <w:rPr>
                                <w:rFonts w:ascii="標楷體" w:eastAsia="標楷體" w:hAnsi="標楷體"/>
                                <w:sz w:val="20"/>
                                <w:szCs w:val="28"/>
                              </w:rPr>
                              <w:t>07.29</w:t>
                            </w:r>
                          </w:p>
                        </w:tc>
                      </w:tr>
                      <w:tr w:rsidR="00CE57F9" w14:paraId="5694999F" w14:textId="77777777" w:rsidTr="00850571">
                        <w:tc>
                          <w:tcPr>
                            <w:tcW w:w="3544" w:type="dxa"/>
                            <w:tcBorders>
                              <w:bottom w:val="single" w:sz="4" w:space="0" w:color="auto"/>
                            </w:tcBorders>
                            <w:vAlign w:val="center"/>
                          </w:tcPr>
                          <w:p w14:paraId="13DD6269" w14:textId="77777777" w:rsidR="00CE57F9" w:rsidRPr="003E2EE0" w:rsidRDefault="00CE57F9" w:rsidP="003E2EE0">
                            <w:pPr>
                              <w:overflowPunct w:val="0"/>
                              <w:spacing w:line="300" w:lineRule="exact"/>
                              <w:jc w:val="both"/>
                              <w:rPr>
                                <w:rFonts w:ascii="標楷體" w:eastAsia="標楷體" w:hAnsi="標楷體"/>
                                <w:sz w:val="20"/>
                                <w:szCs w:val="28"/>
                              </w:rPr>
                            </w:pPr>
                            <w:r w:rsidRPr="003E2EE0">
                              <w:rPr>
                                <w:rFonts w:ascii="標楷體" w:eastAsia="標楷體" w:hAnsi="標楷體" w:hint="eastAsia"/>
                                <w:sz w:val="20"/>
                                <w:szCs w:val="28"/>
                              </w:rPr>
                              <w:t>其他工廠屋頂</w:t>
                            </w:r>
                          </w:p>
                        </w:tc>
                        <w:tc>
                          <w:tcPr>
                            <w:tcW w:w="1701" w:type="dxa"/>
                            <w:tcBorders>
                              <w:bottom w:val="single" w:sz="4" w:space="0" w:color="auto"/>
                            </w:tcBorders>
                            <w:vAlign w:val="center"/>
                          </w:tcPr>
                          <w:p w14:paraId="2F15135D" w14:textId="77777777" w:rsidR="00CE57F9" w:rsidRPr="003E2EE0" w:rsidRDefault="00CE57F9" w:rsidP="003E2EE0">
                            <w:pPr>
                              <w:overflowPunct w:val="0"/>
                              <w:spacing w:line="300" w:lineRule="exact"/>
                              <w:jc w:val="right"/>
                              <w:rPr>
                                <w:rFonts w:ascii="標楷體" w:eastAsia="標楷體" w:hAnsi="標楷體"/>
                                <w:sz w:val="20"/>
                                <w:szCs w:val="28"/>
                              </w:rPr>
                            </w:pPr>
                            <w:r w:rsidRPr="003E2EE0">
                              <w:rPr>
                                <w:rFonts w:ascii="標楷體" w:eastAsia="標楷體" w:hAnsi="標楷體" w:hint="eastAsia"/>
                                <w:sz w:val="20"/>
                                <w:szCs w:val="28"/>
                              </w:rPr>
                              <w:t>9</w:t>
                            </w:r>
                            <w:r w:rsidRPr="003E2EE0">
                              <w:rPr>
                                <w:rFonts w:ascii="標楷體" w:eastAsia="標楷體" w:hAnsi="標楷體"/>
                                <w:sz w:val="20"/>
                                <w:szCs w:val="28"/>
                              </w:rPr>
                              <w:t>68.52</w:t>
                            </w:r>
                          </w:p>
                        </w:tc>
                      </w:tr>
                      <w:tr w:rsidR="00CE57F9" w14:paraId="3FE85E11" w14:textId="77777777" w:rsidTr="00850571">
                        <w:tc>
                          <w:tcPr>
                            <w:tcW w:w="5245" w:type="dxa"/>
                            <w:gridSpan w:val="2"/>
                            <w:tcBorders>
                              <w:top w:val="single" w:sz="4" w:space="0" w:color="auto"/>
                              <w:left w:val="nil"/>
                              <w:bottom w:val="nil"/>
                              <w:right w:val="nil"/>
                            </w:tcBorders>
                            <w:vAlign w:val="center"/>
                          </w:tcPr>
                          <w:p w14:paraId="1DD64381" w14:textId="248F2EB3" w:rsidR="00CE57F9" w:rsidRDefault="00CE57F9" w:rsidP="00EB3E9A">
                            <w:pPr>
                              <w:overflowPunct w:val="0"/>
                              <w:spacing w:line="240" w:lineRule="exact"/>
                              <w:rPr>
                                <w:rFonts w:ascii="標楷體" w:eastAsia="標楷體" w:hAnsi="標楷體"/>
                                <w:sz w:val="28"/>
                                <w:szCs w:val="28"/>
                              </w:rPr>
                            </w:pPr>
                            <w:r w:rsidRPr="00B94DF5">
                              <w:rPr>
                                <w:rFonts w:ascii="標楷體" w:eastAsia="標楷體" w:hAnsi="標楷體" w:hint="eastAsia"/>
                                <w:sz w:val="18"/>
                                <w:szCs w:val="24"/>
                              </w:rPr>
                              <w:t>資料來源：整理自能源局提供資料。</w:t>
                            </w:r>
                          </w:p>
                        </w:tc>
                      </w:tr>
                    </w:tbl>
                    <w:p w14:paraId="506D807A" w14:textId="77777777" w:rsidR="00CE57F9" w:rsidRPr="00B94DF5" w:rsidRDefault="00CE57F9" w:rsidP="00F11583"/>
                  </w:txbxContent>
                </v:textbox>
                <w10:wrap type="square" anchorx="margin"/>
              </v:shape>
            </w:pict>
          </mc:Fallback>
        </mc:AlternateContent>
      </w:r>
      <w:r w:rsidR="00F11583" w:rsidRPr="009D11AD">
        <w:rPr>
          <w:rFonts w:ascii="標楷體" w:eastAsia="標楷體" w:hAnsi="標楷體" w:hint="eastAsia"/>
          <w:b/>
          <w:szCs w:val="32"/>
        </w:rPr>
        <w:t>1.</w:t>
      </w:r>
      <w:r w:rsidR="00F11583" w:rsidRPr="009D11AD">
        <w:rPr>
          <w:rFonts w:ascii="標楷體" w:eastAsia="標楷體" w:hAnsi="標楷體" w:hint="eastAsia"/>
          <w:b/>
          <w:bCs/>
          <w:color w:val="000000"/>
          <w:kern w:val="0"/>
          <w:szCs w:val="32"/>
        </w:rPr>
        <w:t xml:space="preserve">　</w:t>
      </w:r>
      <w:r w:rsidR="00F11583" w:rsidRPr="009D11AD">
        <w:rPr>
          <w:rFonts w:ascii="標楷體" w:eastAsia="標楷體" w:hAnsi="標楷體" w:hint="eastAsia"/>
          <w:b/>
          <w:szCs w:val="32"/>
        </w:rPr>
        <w:t>屋頂型太陽光電對環境及社會衝擊較地面型低，惟未積極盤點中央轄管工業區及地方在地產業園區可參與設置屋頂型太陽光電之廠房及容量，並訂定整體性推動空間發展策略，允宜督促研謀妥處，俾達綠能發展與環境、社會及農漁業永續共融之目標：</w:t>
      </w:r>
      <w:r w:rsidR="00F11583" w:rsidRPr="009D11AD">
        <w:rPr>
          <w:rFonts w:ascii="標楷體" w:eastAsia="標楷體" w:hAnsi="標楷體" w:hint="eastAsia"/>
          <w:szCs w:val="32"/>
        </w:rPr>
        <w:t>經濟部於110年3月設定</w:t>
      </w:r>
      <w:r w:rsidR="002D2D6B" w:rsidRPr="009D11AD">
        <w:rPr>
          <w:rFonts w:ascii="標楷體" w:eastAsia="標楷體" w:hAnsi="標楷體" w:hint="eastAsia"/>
          <w:szCs w:val="32"/>
        </w:rPr>
        <w:t>114年</w:t>
      </w:r>
      <w:r w:rsidR="00F11583" w:rsidRPr="009D11AD">
        <w:rPr>
          <w:rFonts w:ascii="標楷體" w:eastAsia="標楷體" w:hAnsi="標楷體" w:hint="eastAsia"/>
          <w:szCs w:val="32"/>
        </w:rPr>
        <w:t>地面型及屋頂型太陽</w:t>
      </w:r>
      <w:r w:rsidR="00F11583" w:rsidRPr="009D11AD">
        <w:rPr>
          <w:rFonts w:ascii="標楷體" w:eastAsia="標楷體" w:hAnsi="標楷體" w:hint="eastAsia"/>
          <w:kern w:val="0"/>
          <w:szCs w:val="32"/>
        </w:rPr>
        <w:t>光電目標為12</w:t>
      </w:r>
      <w:r w:rsidR="00F11583" w:rsidRPr="009D11AD">
        <w:rPr>
          <w:rFonts w:ascii="標楷體" w:eastAsia="標楷體" w:hAnsi="標楷體"/>
          <w:kern w:val="0"/>
          <w:szCs w:val="32"/>
        </w:rPr>
        <w:t>,000M</w:t>
      </w:r>
      <w:r w:rsidR="00F11583" w:rsidRPr="009D11AD">
        <w:rPr>
          <w:rFonts w:ascii="標楷體" w:eastAsia="標楷體" w:hAnsi="標楷體" w:hint="eastAsia"/>
          <w:kern w:val="0"/>
          <w:szCs w:val="32"/>
        </w:rPr>
        <w:t>W及8</w:t>
      </w:r>
      <w:r w:rsidR="00F11583" w:rsidRPr="009D11AD">
        <w:rPr>
          <w:rFonts w:ascii="標楷體" w:eastAsia="標楷體" w:hAnsi="標楷體"/>
          <w:kern w:val="0"/>
          <w:szCs w:val="32"/>
        </w:rPr>
        <w:t>,000M</w:t>
      </w:r>
      <w:r w:rsidR="00F11583" w:rsidRPr="009D11AD">
        <w:rPr>
          <w:rFonts w:ascii="標楷體" w:eastAsia="標楷體" w:hAnsi="標楷體" w:hint="eastAsia"/>
          <w:kern w:val="0"/>
          <w:szCs w:val="32"/>
        </w:rPr>
        <w:t>W，截至112年2月底止，地面型太陽光電累計設置容量為3</w:t>
      </w:r>
      <w:r w:rsidR="00F11583" w:rsidRPr="009D11AD">
        <w:rPr>
          <w:rFonts w:ascii="標楷體" w:eastAsia="標楷體" w:hAnsi="標楷體"/>
          <w:kern w:val="0"/>
          <w:szCs w:val="32"/>
        </w:rPr>
        <w:t>,</w:t>
      </w:r>
      <w:r w:rsidR="00F11583" w:rsidRPr="009D11AD">
        <w:rPr>
          <w:rFonts w:ascii="標楷體" w:eastAsia="標楷體" w:hAnsi="標楷體" w:hint="eastAsia"/>
          <w:kern w:val="0"/>
          <w:szCs w:val="32"/>
        </w:rPr>
        <w:t>628</w:t>
      </w:r>
      <w:r w:rsidR="00F11583" w:rsidRPr="009D11AD">
        <w:rPr>
          <w:rFonts w:ascii="標楷體" w:eastAsia="標楷體" w:hAnsi="標楷體"/>
          <w:kern w:val="0"/>
          <w:szCs w:val="32"/>
        </w:rPr>
        <w:t>M</w:t>
      </w:r>
      <w:r w:rsidR="00F11583" w:rsidRPr="009D11AD">
        <w:rPr>
          <w:rFonts w:ascii="標楷體" w:eastAsia="標楷體" w:hAnsi="標楷體" w:hint="eastAsia"/>
          <w:kern w:val="0"/>
          <w:szCs w:val="32"/>
        </w:rPr>
        <w:t>W、屋頂型為6</w:t>
      </w:r>
      <w:r w:rsidR="00F11583" w:rsidRPr="009D11AD">
        <w:rPr>
          <w:rFonts w:ascii="標楷體" w:eastAsia="標楷體" w:hAnsi="標楷體"/>
          <w:kern w:val="0"/>
          <w:szCs w:val="32"/>
        </w:rPr>
        <w:t>,</w:t>
      </w:r>
      <w:r w:rsidR="00F11583" w:rsidRPr="009D11AD">
        <w:rPr>
          <w:rFonts w:ascii="標楷體" w:eastAsia="標楷體" w:hAnsi="標楷體" w:hint="eastAsia"/>
          <w:kern w:val="0"/>
          <w:szCs w:val="32"/>
        </w:rPr>
        <w:t>54</w:t>
      </w:r>
      <w:r w:rsidR="00F11583" w:rsidRPr="009D11AD">
        <w:rPr>
          <w:rFonts w:ascii="標楷體" w:eastAsia="標楷體" w:hAnsi="標楷體"/>
          <w:kern w:val="0"/>
          <w:szCs w:val="32"/>
        </w:rPr>
        <w:t>0M</w:t>
      </w:r>
      <w:r w:rsidR="00F11583" w:rsidRPr="009D11AD">
        <w:rPr>
          <w:rFonts w:ascii="標楷體" w:eastAsia="標楷體" w:hAnsi="標楷體" w:hint="eastAsia"/>
          <w:kern w:val="0"/>
          <w:szCs w:val="32"/>
        </w:rPr>
        <w:t>W，與114年設置容量目標分別差距8</w:t>
      </w:r>
      <w:r w:rsidR="00F11583" w:rsidRPr="009D11AD">
        <w:rPr>
          <w:rFonts w:ascii="標楷體" w:eastAsia="標楷體" w:hAnsi="標楷體"/>
          <w:kern w:val="0"/>
          <w:szCs w:val="32"/>
        </w:rPr>
        <w:t>,</w:t>
      </w:r>
      <w:r w:rsidR="00F11583" w:rsidRPr="009D11AD">
        <w:rPr>
          <w:rFonts w:ascii="標楷體" w:eastAsia="標楷體" w:hAnsi="標楷體" w:hint="eastAsia"/>
          <w:kern w:val="0"/>
          <w:szCs w:val="32"/>
        </w:rPr>
        <w:t>372</w:t>
      </w:r>
      <w:r w:rsidR="00F11583" w:rsidRPr="009D11AD">
        <w:rPr>
          <w:rFonts w:ascii="標楷體" w:eastAsia="標楷體" w:hAnsi="標楷體"/>
          <w:kern w:val="0"/>
          <w:szCs w:val="32"/>
        </w:rPr>
        <w:t>M</w:t>
      </w:r>
      <w:r w:rsidR="00F11583" w:rsidRPr="009D11AD">
        <w:rPr>
          <w:rFonts w:ascii="標楷體" w:eastAsia="標楷體" w:hAnsi="標楷體" w:hint="eastAsia"/>
          <w:kern w:val="0"/>
          <w:szCs w:val="32"/>
        </w:rPr>
        <w:t>W及1</w:t>
      </w:r>
      <w:r w:rsidR="00F11583" w:rsidRPr="009D11AD">
        <w:rPr>
          <w:rFonts w:ascii="標楷體" w:eastAsia="標楷體" w:hAnsi="標楷體"/>
          <w:kern w:val="0"/>
          <w:szCs w:val="32"/>
        </w:rPr>
        <w:t>,</w:t>
      </w:r>
      <w:r w:rsidR="00F11583" w:rsidRPr="009D11AD">
        <w:rPr>
          <w:rFonts w:ascii="標楷體" w:eastAsia="標楷體" w:hAnsi="標楷體" w:hint="eastAsia"/>
          <w:kern w:val="0"/>
          <w:szCs w:val="32"/>
        </w:rPr>
        <w:t>46</w:t>
      </w:r>
      <w:r w:rsidR="00F11583" w:rsidRPr="009D11AD">
        <w:rPr>
          <w:rFonts w:ascii="標楷體" w:eastAsia="標楷體" w:hAnsi="標楷體"/>
          <w:kern w:val="0"/>
          <w:szCs w:val="32"/>
        </w:rPr>
        <w:t>0M</w:t>
      </w:r>
      <w:r w:rsidR="00F11583" w:rsidRPr="009D11AD">
        <w:rPr>
          <w:rFonts w:ascii="標楷體" w:eastAsia="標楷體" w:hAnsi="標楷體" w:hint="eastAsia"/>
          <w:kern w:val="0"/>
          <w:szCs w:val="32"/>
        </w:rPr>
        <w:t>W，屋頂型太陽光電之設置容量大幅超過地面型，主要係地面型太陽光電面臨土地取得不易、埤塘與鹽田涉及候鳥重要棲地等環保爭議問題。為加速推動屋頂型太陽光電，經濟部於</w:t>
      </w:r>
      <w:r w:rsidR="00F11583" w:rsidRPr="009D11AD">
        <w:rPr>
          <w:rFonts w:ascii="標楷體" w:eastAsia="標楷體" w:hAnsi="標楷體" w:cs="新細明體"/>
          <w:kern w:val="0"/>
          <w:szCs w:val="32"/>
        </w:rPr>
        <w:t>109</w:t>
      </w:r>
      <w:r w:rsidR="00F11583" w:rsidRPr="009D11AD">
        <w:rPr>
          <w:rFonts w:ascii="標楷體" w:eastAsia="標楷體" w:hAnsi="標楷體" w:cs="新細明體" w:hint="eastAsia"/>
          <w:kern w:val="0"/>
          <w:szCs w:val="32"/>
        </w:rPr>
        <w:t>年</w:t>
      </w:r>
      <w:r w:rsidR="00F11583" w:rsidRPr="009D11AD">
        <w:rPr>
          <w:rFonts w:ascii="標楷體" w:eastAsia="標楷體" w:hAnsi="標楷體" w:cs="新細明體"/>
          <w:kern w:val="0"/>
          <w:szCs w:val="32"/>
        </w:rPr>
        <w:t>12</w:t>
      </w:r>
      <w:r w:rsidR="00F11583" w:rsidRPr="009D11AD">
        <w:rPr>
          <w:rFonts w:ascii="標楷體" w:eastAsia="標楷體" w:hAnsi="標楷體" w:cs="新細明體" w:hint="eastAsia"/>
          <w:kern w:val="0"/>
          <w:szCs w:val="32"/>
        </w:rPr>
        <w:t>月</w:t>
      </w:r>
      <w:r w:rsidR="00F11583" w:rsidRPr="009D11AD">
        <w:rPr>
          <w:rFonts w:ascii="標楷體" w:eastAsia="標楷體" w:hAnsi="標楷體" w:cs="新細明體"/>
          <w:kern w:val="0"/>
          <w:szCs w:val="32"/>
        </w:rPr>
        <w:t>31</w:t>
      </w:r>
      <w:r w:rsidR="00F11583" w:rsidRPr="009D11AD">
        <w:rPr>
          <w:rFonts w:ascii="標楷體" w:eastAsia="標楷體" w:hAnsi="標楷體" w:cs="新細明體" w:hint="eastAsia"/>
          <w:kern w:val="0"/>
          <w:szCs w:val="32"/>
        </w:rPr>
        <w:t>日</w:t>
      </w:r>
      <w:r w:rsidR="00B45C0D" w:rsidRPr="009D11AD">
        <w:rPr>
          <w:rFonts w:ascii="標楷體" w:eastAsia="標楷體" w:hAnsi="標楷體" w:cs="新細明體" w:hint="eastAsia"/>
          <w:kern w:val="0"/>
          <w:szCs w:val="32"/>
        </w:rPr>
        <w:t>發布</w:t>
      </w:r>
      <w:r w:rsidR="00F11583" w:rsidRPr="009D11AD">
        <w:rPr>
          <w:rFonts w:ascii="標楷體" w:eastAsia="標楷體" w:hAnsi="標楷體" w:cs="新細明體" w:hint="eastAsia"/>
          <w:kern w:val="0"/>
          <w:szCs w:val="32"/>
        </w:rPr>
        <w:t>一定契約容量以上之電力用戶應設置再生能源發電設備管理辦法規定</w:t>
      </w:r>
      <w:r w:rsidR="00EB3E9A" w:rsidRPr="009D11AD">
        <w:rPr>
          <w:rFonts w:ascii="標楷體" w:eastAsia="標楷體" w:hAnsi="標楷體" w:cs="新細明體" w:hint="eastAsia"/>
          <w:kern w:val="0"/>
          <w:szCs w:val="32"/>
        </w:rPr>
        <w:t>，</w:t>
      </w:r>
      <w:r w:rsidR="00F11583" w:rsidRPr="009D11AD">
        <w:rPr>
          <w:rFonts w:ascii="標楷體" w:eastAsia="標楷體" w:hAnsi="標楷體" w:cs="新細明體" w:hint="eastAsia"/>
          <w:kern w:val="0"/>
          <w:szCs w:val="32"/>
        </w:rPr>
        <w:t>110年度起契約容量達5MW以上之電力用戶，應依前</w:t>
      </w:r>
      <w:r w:rsidR="00AF70CC">
        <w:rPr>
          <w:rFonts w:ascii="標楷體" w:eastAsia="標楷體" w:hAnsi="標楷體" w:cs="新細明體" w:hint="eastAsia"/>
          <w:kern w:val="0"/>
          <w:szCs w:val="32"/>
        </w:rPr>
        <w:t>一</w:t>
      </w:r>
      <w:r w:rsidR="00F11583" w:rsidRPr="009D11AD">
        <w:rPr>
          <w:rFonts w:ascii="標楷體" w:eastAsia="標楷體" w:hAnsi="標楷體" w:cs="新細明體" w:hint="eastAsia"/>
          <w:kern w:val="0"/>
          <w:szCs w:val="32"/>
        </w:rPr>
        <w:t>年度平均契約容量之10％，於5年內設置再生能源發電裝置容量，或購買再生能源電力及憑證，或設置儲能設備。上述契約容量逾5MW之電力用戶，主要係大量用電之製造生產工廠，依經濟部能源局</w:t>
      </w:r>
      <w:r w:rsidR="00D441FD" w:rsidRPr="009D11AD">
        <w:rPr>
          <w:rFonts w:ascii="標楷體" w:eastAsia="標楷體" w:hAnsi="標楷體" w:cs="新細明體" w:hint="eastAsia"/>
          <w:kern w:val="0"/>
          <w:szCs w:val="32"/>
        </w:rPr>
        <w:t>（</w:t>
      </w:r>
      <w:r w:rsidR="00F11583" w:rsidRPr="009D11AD">
        <w:rPr>
          <w:rFonts w:ascii="標楷體" w:eastAsia="標楷體" w:hAnsi="標楷體" w:cs="新細明體" w:hint="eastAsia"/>
          <w:kern w:val="0"/>
          <w:szCs w:val="32"/>
        </w:rPr>
        <w:t>下稱能源局</w:t>
      </w:r>
      <w:r w:rsidR="00D441FD" w:rsidRPr="009D11AD">
        <w:rPr>
          <w:rFonts w:ascii="標楷體" w:eastAsia="標楷體" w:hAnsi="標楷體" w:cs="新細明體" w:hint="eastAsia"/>
          <w:kern w:val="0"/>
          <w:szCs w:val="32"/>
        </w:rPr>
        <w:t>）</w:t>
      </w:r>
      <w:r w:rsidR="00F11583" w:rsidRPr="009D11AD">
        <w:rPr>
          <w:rFonts w:ascii="標楷體" w:eastAsia="標楷體" w:hAnsi="標楷體" w:cs="新細明體" w:hint="eastAsia"/>
          <w:kern w:val="0"/>
          <w:szCs w:val="32"/>
        </w:rPr>
        <w:t>110年度全國電力資源供需報告，我國110年度用電2</w:t>
      </w:r>
      <w:r w:rsidR="00F11583" w:rsidRPr="009D11AD">
        <w:rPr>
          <w:rFonts w:ascii="標楷體" w:eastAsia="標楷體" w:hAnsi="標楷體" w:cs="新細明體"/>
          <w:kern w:val="0"/>
          <w:szCs w:val="32"/>
        </w:rPr>
        <w:t>,</w:t>
      </w:r>
      <w:r w:rsidR="00F11583" w:rsidRPr="009D11AD">
        <w:rPr>
          <w:rFonts w:ascii="標楷體" w:eastAsia="標楷體" w:hAnsi="標楷體" w:cs="新細明體" w:hint="eastAsia"/>
          <w:kern w:val="0"/>
          <w:szCs w:val="32"/>
        </w:rPr>
        <w:t>834億</w:t>
      </w:r>
      <w:r w:rsidR="002D2D6B" w:rsidRPr="009D11AD">
        <w:rPr>
          <w:rFonts w:ascii="標楷體" w:eastAsia="標楷體" w:hAnsi="標楷體" w:cs="新細明體" w:hint="eastAsia"/>
          <w:kern w:val="0"/>
          <w:szCs w:val="32"/>
        </w:rPr>
        <w:t>餘</w:t>
      </w:r>
      <w:r w:rsidR="00F11583" w:rsidRPr="009D11AD">
        <w:rPr>
          <w:rFonts w:ascii="標楷體" w:eastAsia="標楷體" w:hAnsi="標楷體" w:cs="新細明體" w:hint="eastAsia"/>
          <w:kern w:val="0"/>
          <w:szCs w:val="32"/>
        </w:rPr>
        <w:t>度，其中工業用電即達1</w:t>
      </w:r>
      <w:r w:rsidR="00F11583" w:rsidRPr="009D11AD">
        <w:rPr>
          <w:rFonts w:ascii="標楷體" w:eastAsia="標楷體" w:hAnsi="標楷體" w:cs="新細明體"/>
          <w:kern w:val="0"/>
          <w:szCs w:val="32"/>
        </w:rPr>
        <w:t>,</w:t>
      </w:r>
      <w:r w:rsidR="00F11583" w:rsidRPr="009D11AD">
        <w:rPr>
          <w:rFonts w:ascii="標楷體" w:eastAsia="標楷體" w:hAnsi="標楷體" w:cs="新細明體" w:hint="eastAsia"/>
          <w:kern w:val="0"/>
          <w:szCs w:val="32"/>
        </w:rPr>
        <w:t>614億</w:t>
      </w:r>
      <w:r w:rsidR="002D2D6B" w:rsidRPr="009D11AD">
        <w:rPr>
          <w:rFonts w:ascii="標楷體" w:eastAsia="標楷體" w:hAnsi="標楷體" w:cs="新細明體" w:hint="eastAsia"/>
          <w:kern w:val="0"/>
          <w:szCs w:val="32"/>
        </w:rPr>
        <w:t>餘</w:t>
      </w:r>
      <w:r w:rsidR="00F11583" w:rsidRPr="009D11AD">
        <w:rPr>
          <w:rFonts w:ascii="標楷體" w:eastAsia="標楷體" w:hAnsi="標楷體" w:cs="新細明體" w:hint="eastAsia"/>
          <w:kern w:val="0"/>
          <w:szCs w:val="32"/>
        </w:rPr>
        <w:t>度，占56.97％，惟據該局統計，截至112年2月底止</w:t>
      </w:r>
      <w:r w:rsidR="004C4B6C">
        <w:rPr>
          <w:rFonts w:ascii="標楷體" w:eastAsia="標楷體" w:hAnsi="標楷體" w:cs="新細明體" w:hint="eastAsia"/>
          <w:kern w:val="0"/>
          <w:szCs w:val="32"/>
        </w:rPr>
        <w:t>，</w:t>
      </w:r>
      <w:r w:rsidR="00F11583" w:rsidRPr="009D11AD">
        <w:rPr>
          <w:rFonts w:ascii="標楷體" w:eastAsia="標楷體" w:hAnsi="標楷體" w:cs="新細明體" w:hint="eastAsia"/>
          <w:kern w:val="0"/>
          <w:szCs w:val="32"/>
        </w:rPr>
        <w:t>經濟部工</w:t>
      </w:r>
      <w:r w:rsidR="00F11583" w:rsidRPr="009D11AD">
        <w:rPr>
          <w:rFonts w:ascii="標楷體" w:eastAsia="標楷體" w:hAnsi="標楷體" w:hint="eastAsia"/>
          <w:kern w:val="0"/>
          <w:szCs w:val="32"/>
        </w:rPr>
        <w:t>業局轄管工業區、經濟部加工出口區轄管科技產業園區、國家科學及技術委員會轄管科學園區、地方政府轄管在地型工業區等，設置屋頂型太陽光電計2</w:t>
      </w:r>
      <w:r w:rsidR="00F11583" w:rsidRPr="009D11AD">
        <w:rPr>
          <w:rFonts w:ascii="標楷體" w:eastAsia="標楷體" w:hAnsi="標楷體"/>
          <w:kern w:val="0"/>
          <w:szCs w:val="32"/>
        </w:rPr>
        <w:t>,236.7MW</w:t>
      </w:r>
      <w:r w:rsidR="00D441FD" w:rsidRPr="009D11AD">
        <w:rPr>
          <w:rFonts w:ascii="標楷體" w:eastAsia="標楷體" w:hAnsi="標楷體" w:hint="eastAsia"/>
          <w:kern w:val="0"/>
          <w:szCs w:val="32"/>
        </w:rPr>
        <w:t>（</w:t>
      </w:r>
      <w:r w:rsidR="00F11583" w:rsidRPr="00CE57F9">
        <w:rPr>
          <w:rFonts w:ascii="標楷體" w:eastAsia="標楷體" w:hAnsi="標楷體" w:hint="eastAsia"/>
          <w:kern w:val="0"/>
          <w:szCs w:val="32"/>
        </w:rPr>
        <w:t>表8</w:t>
      </w:r>
      <w:r w:rsidR="00D441FD" w:rsidRPr="009D11AD">
        <w:rPr>
          <w:rFonts w:ascii="標楷體" w:eastAsia="標楷體" w:hAnsi="標楷體" w:hint="eastAsia"/>
          <w:kern w:val="0"/>
          <w:szCs w:val="32"/>
        </w:rPr>
        <w:t>）</w:t>
      </w:r>
      <w:r w:rsidR="00F11583" w:rsidRPr="009D11AD">
        <w:rPr>
          <w:rFonts w:ascii="標楷體" w:eastAsia="標楷體" w:hAnsi="標楷體" w:hint="eastAsia"/>
          <w:kern w:val="0"/>
          <w:szCs w:val="32"/>
        </w:rPr>
        <w:t>，僅占整體屋頂型設置容量</w:t>
      </w:r>
      <w:r w:rsidR="00F11583" w:rsidRPr="009D11AD">
        <w:rPr>
          <w:rFonts w:ascii="標楷體" w:eastAsia="標楷體" w:hAnsi="標楷體"/>
          <w:kern w:val="0"/>
          <w:szCs w:val="32"/>
        </w:rPr>
        <w:t>6,540MW</w:t>
      </w:r>
      <w:r w:rsidR="00F11583" w:rsidRPr="009D11AD">
        <w:rPr>
          <w:rFonts w:ascii="標楷體" w:eastAsia="標楷體" w:hAnsi="標楷體" w:hint="eastAsia"/>
          <w:kern w:val="0"/>
          <w:szCs w:val="32"/>
        </w:rPr>
        <w:t>之34.20％；又截至111年底</w:t>
      </w:r>
      <w:r w:rsidR="004C4B6C">
        <w:rPr>
          <w:rFonts w:ascii="標楷體" w:eastAsia="標楷體" w:hAnsi="標楷體" w:hint="eastAsia"/>
          <w:kern w:val="0"/>
          <w:szCs w:val="32"/>
        </w:rPr>
        <w:t>止，</w:t>
      </w:r>
      <w:r w:rsidR="00F11583" w:rsidRPr="004C4B6C">
        <w:rPr>
          <w:rFonts w:ascii="標楷體" w:eastAsia="標楷體" w:hAnsi="標楷體" w:hint="eastAsia"/>
          <w:kern w:val="0"/>
          <w:szCs w:val="32"/>
        </w:rPr>
        <w:t>經濟部工</w:t>
      </w:r>
      <w:r w:rsidR="00F11583" w:rsidRPr="004C4B6C">
        <w:rPr>
          <w:rFonts w:ascii="標楷體" w:eastAsia="標楷體" w:hAnsi="標楷體" w:hint="eastAsia"/>
          <w:kern w:val="0"/>
          <w:szCs w:val="32"/>
        </w:rPr>
        <w:lastRenderedPageBreak/>
        <w:t>業局所</w:t>
      </w:r>
      <w:r w:rsidR="00F11583" w:rsidRPr="009D11AD">
        <w:rPr>
          <w:rFonts w:ascii="標楷體" w:eastAsia="標楷體" w:hAnsi="標楷體" w:hint="eastAsia"/>
          <w:kern w:val="0"/>
          <w:szCs w:val="32"/>
        </w:rPr>
        <w:t>轄工業區已租售設廠面積達7</w:t>
      </w:r>
      <w:r w:rsidR="00F11583" w:rsidRPr="009D11AD">
        <w:rPr>
          <w:rFonts w:ascii="標楷體" w:eastAsia="標楷體" w:hAnsi="標楷體"/>
          <w:kern w:val="0"/>
          <w:szCs w:val="32"/>
        </w:rPr>
        <w:t>,296.89</w:t>
      </w:r>
      <w:r w:rsidR="00F11583" w:rsidRPr="009D11AD">
        <w:rPr>
          <w:rFonts w:ascii="標楷體" w:eastAsia="標楷體" w:hAnsi="標楷體" w:hint="eastAsia"/>
          <w:kern w:val="0"/>
          <w:szCs w:val="32"/>
        </w:rPr>
        <w:t>公頃、國家科學及技術委員會所轄科學園區已出租土地面積達</w:t>
      </w:r>
      <w:r w:rsidR="00F11583" w:rsidRPr="009D11AD">
        <w:rPr>
          <w:rFonts w:ascii="標楷體" w:eastAsia="標楷體" w:hAnsi="標楷體"/>
          <w:kern w:val="0"/>
          <w:szCs w:val="32"/>
        </w:rPr>
        <w:t>1,756.49</w:t>
      </w:r>
      <w:r w:rsidR="00F11583" w:rsidRPr="009D11AD">
        <w:rPr>
          <w:rFonts w:ascii="標楷體" w:eastAsia="標楷體" w:hAnsi="標楷體" w:hint="eastAsia"/>
          <w:kern w:val="0"/>
          <w:szCs w:val="32"/>
        </w:rPr>
        <w:t>公頃，具推動屋頂型太陽光電龐大潛力，且上述再生能源發電設備管理辦法僅要求電力契約容量逾5MW之企業設置10％再生能源裝置容量</w:t>
      </w:r>
      <w:r w:rsidR="00D441FD" w:rsidRPr="009D11AD">
        <w:rPr>
          <w:rFonts w:ascii="標楷體" w:eastAsia="標楷體" w:hAnsi="標楷體" w:hint="eastAsia"/>
          <w:kern w:val="0"/>
          <w:szCs w:val="32"/>
        </w:rPr>
        <w:t>（</w:t>
      </w:r>
      <w:r w:rsidR="00F11583" w:rsidRPr="009D11AD">
        <w:rPr>
          <w:rFonts w:ascii="標楷體" w:eastAsia="標楷體" w:hAnsi="標楷體" w:hint="eastAsia"/>
          <w:kern w:val="0"/>
          <w:szCs w:val="32"/>
        </w:rPr>
        <w:t>即500KW</w:t>
      </w:r>
      <w:r w:rsidR="00D441FD" w:rsidRPr="009D11AD">
        <w:rPr>
          <w:rFonts w:ascii="標楷體" w:eastAsia="標楷體" w:hAnsi="標楷體" w:hint="eastAsia"/>
          <w:kern w:val="0"/>
          <w:szCs w:val="32"/>
        </w:rPr>
        <w:t>）</w:t>
      </w:r>
      <w:r w:rsidR="00F11583" w:rsidRPr="009D11AD">
        <w:rPr>
          <w:rFonts w:ascii="標楷體" w:eastAsia="標楷體" w:hAnsi="標楷體" w:hint="eastAsia"/>
          <w:kern w:val="0"/>
          <w:szCs w:val="32"/>
        </w:rPr>
        <w:t>，亦迭遭環保及公民團體質疑政府對環保衝擊較低之</w:t>
      </w:r>
      <w:r w:rsidR="00F11583" w:rsidRPr="00E84C8A">
        <w:rPr>
          <w:rFonts w:ascii="標楷體" w:eastAsia="標楷體" w:hAnsi="標楷體" w:hint="eastAsia"/>
          <w:kern w:val="0"/>
          <w:szCs w:val="32"/>
        </w:rPr>
        <w:t>工業區屋頂型太陽光電推動不力。鑑於歐盟之「碳邊境調整機制」（Carbon Border Adjustment Mechanism,</w:t>
      </w:r>
      <w:r w:rsidR="002D2D6B" w:rsidRPr="00E84C8A">
        <w:rPr>
          <w:rFonts w:ascii="標楷體" w:eastAsia="標楷體" w:hAnsi="標楷體" w:hint="eastAsia"/>
          <w:kern w:val="0"/>
          <w:szCs w:val="32"/>
        </w:rPr>
        <w:t xml:space="preserve"> </w:t>
      </w:r>
      <w:r w:rsidR="00F11583" w:rsidRPr="00E84C8A">
        <w:rPr>
          <w:rFonts w:ascii="標楷體" w:eastAsia="標楷體" w:hAnsi="標楷體" w:hint="eastAsia"/>
          <w:kern w:val="0"/>
          <w:szCs w:val="32"/>
        </w:rPr>
        <w:t>CBAM）預計於2023年10月試行、2027年正式施行，國際大廠紛紛加入RE100倡議，並逐步擴大使用綠電與加強減碳，允宜借鏡國外成功案例，積極盤點中央或在地產業園區可參與設置屋頂型太陽光電之廠房及容量，以掌握設置案源，輔導國內企業轉型，俾達綠能發展與環境、社會及農漁業永續共融之目標，經函請行政院督促能源局及相關權責機關研謀善策妥處。</w:t>
      </w:r>
      <w:r w:rsidR="00F11583" w:rsidRPr="00E84C8A">
        <w:rPr>
          <w:rFonts w:ascii="標楷體" w:eastAsia="標楷體" w:hAnsi="標楷體" w:hint="eastAsia"/>
          <w:szCs w:val="32"/>
        </w:rPr>
        <w:t>據復：</w:t>
      </w:r>
      <w:r w:rsidR="00725ADB" w:rsidRPr="00CE57F9">
        <w:rPr>
          <w:rFonts w:ascii="標楷體" w:eastAsia="標楷體" w:hAnsi="標楷體" w:hint="eastAsia"/>
          <w:szCs w:val="32"/>
        </w:rPr>
        <w:t>經濟部工業局及國家科學及技術委員會已實施多項工業區或科學園區屋頂型太陽光電推動獎勵措施，將賡續以公有屋頂進行示範推動，帶動民間屋頂設置，地面型光電則以土地優於原有使用為原則，排除不適宜區位，結合專區劃設引導業者優先推動設置，兼顧整體生態與景觀</w:t>
      </w:r>
      <w:r w:rsidR="00F11583" w:rsidRPr="00E84C8A">
        <w:rPr>
          <w:rFonts w:ascii="標楷體" w:eastAsia="標楷體" w:hAnsi="標楷體" w:hint="eastAsia"/>
          <w:szCs w:val="32"/>
        </w:rPr>
        <w:t>。</w:t>
      </w:r>
    </w:p>
    <w:p w14:paraId="5DE0F50F" w14:textId="336CFE61" w:rsidR="00F11583" w:rsidRPr="009D11AD" w:rsidRDefault="00F11583" w:rsidP="00DA2751">
      <w:pPr>
        <w:overflowPunct w:val="0"/>
        <w:spacing w:line="450" w:lineRule="exact"/>
        <w:ind w:firstLineChars="450" w:firstLine="1081"/>
        <w:jc w:val="both"/>
        <w:rPr>
          <w:rFonts w:ascii="標楷體" w:eastAsia="標楷體" w:hAnsi="標楷體"/>
          <w:kern w:val="0"/>
          <w:szCs w:val="32"/>
        </w:rPr>
      </w:pPr>
      <w:r w:rsidRPr="009D11AD">
        <w:rPr>
          <w:rFonts w:ascii="標楷體" w:eastAsia="標楷體" w:hAnsi="標楷體" w:hint="eastAsia"/>
          <w:b/>
          <w:kern w:val="0"/>
          <w:szCs w:val="32"/>
        </w:rPr>
        <w:t>2.</w:t>
      </w:r>
      <w:r w:rsidRPr="009D11AD">
        <w:rPr>
          <w:rFonts w:ascii="標楷體" w:eastAsia="標楷體" w:hAnsi="標楷體" w:hint="eastAsia"/>
          <w:b/>
          <w:bCs/>
          <w:color w:val="000000"/>
          <w:kern w:val="0"/>
          <w:szCs w:val="32"/>
        </w:rPr>
        <w:t xml:space="preserve">　</w:t>
      </w:r>
      <w:r w:rsidRPr="009D11AD">
        <w:rPr>
          <w:rFonts w:ascii="標楷體" w:eastAsia="標楷體" w:hAnsi="標楷體" w:hint="eastAsia"/>
          <w:b/>
          <w:kern w:val="0"/>
          <w:szCs w:val="32"/>
        </w:rPr>
        <w:t>儲能產業攸關我國再生能源發展及電力穩定，且具龐大商機，惟尚未訂定扶植國內供應鏈相關措施，允宜督促研謀善策，以降低對國外產品與技術資源之依賴，提升能源發展自主性：</w:t>
      </w:r>
      <w:r w:rsidRPr="009D11AD">
        <w:rPr>
          <w:rFonts w:ascii="標楷體" w:eastAsia="標楷體" w:hAnsi="標楷體" w:hint="eastAsia"/>
          <w:kern w:val="0"/>
          <w:szCs w:val="32"/>
        </w:rPr>
        <w:t>國家發展委員會於</w:t>
      </w:r>
      <w:r w:rsidRPr="009D11AD">
        <w:rPr>
          <w:rFonts w:ascii="標楷體" w:eastAsia="標楷體" w:hAnsi="標楷體"/>
          <w:kern w:val="0"/>
          <w:szCs w:val="32"/>
        </w:rPr>
        <w:t>111</w:t>
      </w:r>
      <w:r w:rsidRPr="009D11AD">
        <w:rPr>
          <w:rFonts w:ascii="標楷體" w:eastAsia="標楷體" w:hAnsi="標楷體" w:hint="eastAsia"/>
          <w:kern w:val="0"/>
          <w:szCs w:val="32"/>
        </w:rPr>
        <w:t>年3月公布「臺灣2050淨零排放路徑及策略總說明」，並訂定1</w:t>
      </w:r>
      <w:r w:rsidRPr="009D11AD">
        <w:rPr>
          <w:rFonts w:ascii="標楷體" w:eastAsia="標楷體" w:hAnsi="標楷體"/>
          <w:kern w:val="0"/>
          <w:szCs w:val="32"/>
        </w:rPr>
        <w:t>2</w:t>
      </w:r>
      <w:r w:rsidRPr="009D11AD">
        <w:rPr>
          <w:rFonts w:ascii="標楷體" w:eastAsia="標楷體" w:hAnsi="標楷體" w:hint="eastAsia"/>
          <w:kern w:val="0"/>
          <w:szCs w:val="32"/>
        </w:rPr>
        <w:t>項關鍵戰略以達成淨零目標，其中電力系統與儲能為1</w:t>
      </w:r>
      <w:r w:rsidRPr="009D11AD">
        <w:rPr>
          <w:rFonts w:ascii="標楷體" w:eastAsia="標楷體" w:hAnsi="標楷體"/>
          <w:kern w:val="0"/>
          <w:szCs w:val="32"/>
        </w:rPr>
        <w:t>2</w:t>
      </w:r>
      <w:r w:rsidRPr="009D11AD">
        <w:rPr>
          <w:rFonts w:ascii="標楷體" w:eastAsia="標楷體" w:hAnsi="標楷體" w:hint="eastAsia"/>
          <w:kern w:val="0"/>
          <w:szCs w:val="32"/>
        </w:rPr>
        <w:t>項關鍵戰略之一，規劃電網端儲能</w:t>
      </w:r>
      <w:r w:rsidRPr="009D11AD">
        <w:rPr>
          <w:rFonts w:ascii="標楷體" w:eastAsia="標楷體" w:hAnsi="標楷體"/>
          <w:kern w:val="0"/>
          <w:szCs w:val="32"/>
        </w:rPr>
        <w:t>114</w:t>
      </w:r>
      <w:r w:rsidRPr="009D11AD">
        <w:rPr>
          <w:rFonts w:ascii="標楷體" w:eastAsia="標楷體" w:hAnsi="標楷體" w:hint="eastAsia"/>
          <w:kern w:val="0"/>
          <w:szCs w:val="32"/>
        </w:rPr>
        <w:t>年目標1,000MW，至</w:t>
      </w:r>
      <w:r w:rsidRPr="009D11AD">
        <w:rPr>
          <w:rFonts w:ascii="標楷體" w:eastAsia="標楷體" w:hAnsi="標楷體"/>
          <w:kern w:val="0"/>
          <w:szCs w:val="32"/>
        </w:rPr>
        <w:t>119</w:t>
      </w:r>
      <w:r w:rsidRPr="009D11AD">
        <w:rPr>
          <w:rFonts w:ascii="標楷體" w:eastAsia="標楷體" w:hAnsi="標楷體" w:hint="eastAsia"/>
          <w:kern w:val="0"/>
          <w:szCs w:val="32"/>
        </w:rPr>
        <w:t>年儲能目標為3,000MW，預計投入電力系統與儲能預算規模逾2</w:t>
      </w:r>
      <w:r w:rsidRPr="009D11AD">
        <w:rPr>
          <w:rFonts w:ascii="標楷體" w:eastAsia="標楷體" w:hAnsi="標楷體"/>
          <w:kern w:val="0"/>
          <w:szCs w:val="32"/>
        </w:rPr>
        <w:t>,000</w:t>
      </w:r>
      <w:r w:rsidRPr="009D11AD">
        <w:rPr>
          <w:rFonts w:ascii="標楷體" w:eastAsia="標楷體" w:hAnsi="標楷體" w:hint="eastAsia"/>
          <w:kern w:val="0"/>
          <w:szCs w:val="32"/>
        </w:rPr>
        <w:t>億元。能源局於1</w:t>
      </w:r>
      <w:r w:rsidRPr="009D11AD">
        <w:rPr>
          <w:rFonts w:ascii="標楷體" w:eastAsia="標楷體" w:hAnsi="標楷體"/>
          <w:kern w:val="0"/>
          <w:szCs w:val="32"/>
        </w:rPr>
        <w:t>11</w:t>
      </w:r>
      <w:r w:rsidRPr="009D11AD">
        <w:rPr>
          <w:rFonts w:ascii="標楷體" w:eastAsia="標楷體" w:hAnsi="標楷體" w:hint="eastAsia"/>
          <w:kern w:val="0"/>
          <w:szCs w:val="32"/>
        </w:rPr>
        <w:t>年9月</w:t>
      </w:r>
      <w:r w:rsidR="00CF3588" w:rsidRPr="009D11AD">
        <w:rPr>
          <w:rFonts w:ascii="標楷體" w:eastAsia="標楷體" w:hAnsi="標楷體" w:hint="eastAsia"/>
          <w:kern w:val="0"/>
          <w:szCs w:val="32"/>
        </w:rPr>
        <w:t>修正發布</w:t>
      </w:r>
      <w:r w:rsidRPr="009D11AD">
        <w:rPr>
          <w:rFonts w:ascii="標楷體" w:eastAsia="標楷體" w:hAnsi="標楷體" w:hint="eastAsia"/>
          <w:kern w:val="0"/>
          <w:szCs w:val="32"/>
        </w:rPr>
        <w:t>儲能系統結合太陽光電發</w:t>
      </w:r>
      <w:r w:rsidRPr="00462EF0">
        <w:rPr>
          <w:rFonts w:ascii="標楷體" w:eastAsia="標楷體" w:hAnsi="標楷體" w:hint="eastAsia"/>
          <w:kern w:val="0"/>
          <w:szCs w:val="32"/>
        </w:rPr>
        <w:t>電設備</w:t>
      </w:r>
      <w:r w:rsidR="00CF3588" w:rsidRPr="00462EF0">
        <w:rPr>
          <w:rFonts w:ascii="標楷體" w:eastAsia="標楷體" w:hAnsi="標楷體" w:hint="eastAsia"/>
          <w:kern w:val="0"/>
          <w:szCs w:val="32"/>
        </w:rPr>
        <w:t>中華民國</w:t>
      </w:r>
      <w:r w:rsidR="007E516C">
        <w:rPr>
          <w:rFonts w:ascii="標楷體" w:eastAsia="標楷體" w:hAnsi="標楷體" w:hint="eastAsia"/>
          <w:kern w:val="0"/>
          <w:szCs w:val="32"/>
        </w:rPr>
        <w:t>111</w:t>
      </w:r>
      <w:r w:rsidR="00CF3588" w:rsidRPr="00462EF0">
        <w:rPr>
          <w:rFonts w:ascii="標楷體" w:eastAsia="標楷體" w:hAnsi="標楷體" w:hint="eastAsia"/>
          <w:kern w:val="0"/>
          <w:szCs w:val="32"/>
        </w:rPr>
        <w:t>年度</w:t>
      </w:r>
      <w:r w:rsidRPr="009D11AD">
        <w:rPr>
          <w:rFonts w:ascii="標楷體" w:eastAsia="標楷體" w:hAnsi="標楷體" w:hint="eastAsia"/>
          <w:kern w:val="0"/>
          <w:szCs w:val="32"/>
        </w:rPr>
        <w:t>競標及容量分配作業要點，鼓勵太陽光電場設置儲能系統，以提高電力系統韌性，搭配台灣電力</w:t>
      </w:r>
      <w:r w:rsidR="002D2D6B" w:rsidRPr="009D11AD">
        <w:rPr>
          <w:rFonts w:ascii="標楷體" w:eastAsia="標楷體" w:hAnsi="標楷體" w:hint="eastAsia"/>
          <w:kern w:val="0"/>
          <w:szCs w:val="32"/>
        </w:rPr>
        <w:t>股份有限公司電力交易平臺</w:t>
      </w:r>
      <w:r w:rsidRPr="009D11AD">
        <w:rPr>
          <w:rFonts w:ascii="標楷體" w:eastAsia="標楷體" w:hAnsi="標楷體" w:hint="eastAsia"/>
          <w:kern w:val="0"/>
          <w:szCs w:val="32"/>
        </w:rPr>
        <w:t>機制後，擴大儲能系統及重電產業鏈之市場商機，依市場分析機構InfoLink評估，我國儲能市場1</w:t>
      </w:r>
      <w:r w:rsidRPr="009D11AD">
        <w:rPr>
          <w:rFonts w:ascii="標楷體" w:eastAsia="標楷體" w:hAnsi="標楷體"/>
          <w:kern w:val="0"/>
          <w:szCs w:val="32"/>
        </w:rPr>
        <w:t>14</w:t>
      </w:r>
      <w:r w:rsidRPr="009D11AD">
        <w:rPr>
          <w:rFonts w:ascii="標楷體" w:eastAsia="標楷體" w:hAnsi="標楷體" w:hint="eastAsia"/>
          <w:kern w:val="0"/>
          <w:szCs w:val="32"/>
        </w:rPr>
        <w:t>年累積容量將突破1GW</w:t>
      </w:r>
      <w:r w:rsidR="00D441FD" w:rsidRPr="009D11AD">
        <w:rPr>
          <w:rFonts w:ascii="標楷體" w:eastAsia="標楷體" w:hAnsi="標楷體" w:hint="eastAsia"/>
          <w:kern w:val="0"/>
          <w:szCs w:val="32"/>
        </w:rPr>
        <w:t>（</w:t>
      </w:r>
      <w:r w:rsidRPr="009D11AD">
        <w:rPr>
          <w:rFonts w:ascii="標楷體" w:eastAsia="標楷體" w:hAnsi="標楷體" w:hint="eastAsia"/>
          <w:kern w:val="0"/>
          <w:szCs w:val="32"/>
        </w:rPr>
        <w:t>10億瓦</w:t>
      </w:r>
      <w:r w:rsidR="00D441FD" w:rsidRPr="009D11AD">
        <w:rPr>
          <w:rFonts w:ascii="標楷體" w:eastAsia="標楷體" w:hAnsi="標楷體" w:hint="eastAsia"/>
          <w:kern w:val="0"/>
          <w:szCs w:val="32"/>
        </w:rPr>
        <w:t>）</w:t>
      </w:r>
      <w:r w:rsidRPr="009D11AD">
        <w:rPr>
          <w:rFonts w:ascii="標楷體" w:eastAsia="標楷體" w:hAnsi="標楷體" w:hint="eastAsia"/>
          <w:kern w:val="0"/>
          <w:szCs w:val="32"/>
        </w:rPr>
        <w:t>，市場規模由1</w:t>
      </w:r>
      <w:r w:rsidRPr="009D11AD">
        <w:rPr>
          <w:rFonts w:ascii="標楷體" w:eastAsia="標楷體" w:hAnsi="標楷體"/>
          <w:kern w:val="0"/>
          <w:szCs w:val="32"/>
        </w:rPr>
        <w:t>12</w:t>
      </w:r>
      <w:r w:rsidRPr="009D11AD">
        <w:rPr>
          <w:rFonts w:ascii="標楷體" w:eastAsia="標楷體" w:hAnsi="標楷體" w:hint="eastAsia"/>
          <w:kern w:val="0"/>
          <w:szCs w:val="32"/>
        </w:rPr>
        <w:t>年之100億元，擴增到</w:t>
      </w:r>
      <w:r w:rsidRPr="009D11AD">
        <w:rPr>
          <w:rFonts w:ascii="標楷體" w:eastAsia="標楷體" w:hAnsi="標楷體"/>
          <w:kern w:val="0"/>
          <w:szCs w:val="32"/>
        </w:rPr>
        <w:t>119</w:t>
      </w:r>
      <w:r w:rsidRPr="009D11AD">
        <w:rPr>
          <w:rFonts w:ascii="標楷體" w:eastAsia="標楷體" w:hAnsi="標楷體" w:hint="eastAsia"/>
          <w:kern w:val="0"/>
          <w:szCs w:val="32"/>
        </w:rPr>
        <w:t>年之2,000</w:t>
      </w:r>
      <w:r w:rsidR="002D2D6B" w:rsidRPr="009D11AD">
        <w:rPr>
          <w:rFonts w:ascii="標楷體" w:eastAsia="標楷體" w:hAnsi="標楷體" w:hint="eastAsia"/>
          <w:kern w:val="0"/>
          <w:szCs w:val="32"/>
        </w:rPr>
        <w:t>億元。惟我國儲能市場相較歐美及中國大陸發展較為落後，舉</w:t>
      </w:r>
      <w:r w:rsidRPr="009D11AD">
        <w:rPr>
          <w:rFonts w:ascii="標楷體" w:eastAsia="標楷體" w:hAnsi="標楷體" w:hint="eastAsia"/>
          <w:kern w:val="0"/>
          <w:szCs w:val="32"/>
        </w:rPr>
        <w:t>如儲能系統中最關鍵之電池芯產業，因國內市場規模尚小，未能達規模經濟，價格偏高，大型儲能櫃仍以外購國際同業產品為主。</w:t>
      </w:r>
      <w:r w:rsidRPr="00462EF0">
        <w:rPr>
          <w:rFonts w:ascii="標楷體" w:eastAsia="標楷體" w:hAnsi="標楷體" w:hint="eastAsia"/>
          <w:kern w:val="0"/>
          <w:szCs w:val="32"/>
        </w:rPr>
        <w:t>隨著政府推動能源轉型政策及台灣電力</w:t>
      </w:r>
      <w:r w:rsidR="00370AC3" w:rsidRPr="00462EF0">
        <w:rPr>
          <w:rFonts w:ascii="標楷體" w:eastAsia="標楷體" w:hAnsi="標楷體" w:hint="eastAsia"/>
          <w:kern w:val="0"/>
          <w:szCs w:val="32"/>
        </w:rPr>
        <w:t>股份有限</w:t>
      </w:r>
      <w:r w:rsidRPr="00462EF0">
        <w:rPr>
          <w:rFonts w:ascii="標楷體" w:eastAsia="標楷體" w:hAnsi="標楷體" w:hint="eastAsia"/>
          <w:kern w:val="0"/>
          <w:szCs w:val="32"/>
        </w:rPr>
        <w:t>公司實施電力交易平</w:t>
      </w:r>
      <w:r w:rsidR="008F173D" w:rsidRPr="00462EF0">
        <w:rPr>
          <w:rFonts w:ascii="標楷體" w:eastAsia="標楷體" w:hAnsi="標楷體" w:hint="eastAsia"/>
          <w:kern w:val="0"/>
          <w:szCs w:val="32"/>
        </w:rPr>
        <w:t>臺</w:t>
      </w:r>
      <w:r w:rsidRPr="00462EF0">
        <w:rPr>
          <w:rFonts w:ascii="標楷體" w:eastAsia="標楷體" w:hAnsi="標楷體" w:hint="eastAsia"/>
          <w:kern w:val="0"/>
          <w:szCs w:val="32"/>
        </w:rPr>
        <w:t>，透過電力交易市場採購、調度儲能電力，國內大型企業開始投入儲能電池及相關電力轉換系統、能源管理系統、儲能系統整合等之研發與產能擴充</w:t>
      </w:r>
      <w:r w:rsidR="00F83438" w:rsidRPr="00DA2751">
        <w:rPr>
          <w:rFonts w:ascii="標楷體" w:eastAsia="標楷體" w:hAnsi="標楷體" w:hint="eastAsia"/>
          <w:kern w:val="0"/>
          <w:szCs w:val="32"/>
        </w:rPr>
        <w:t>，</w:t>
      </w:r>
      <w:r w:rsidRPr="009D11AD">
        <w:rPr>
          <w:rFonts w:ascii="標楷體" w:eastAsia="標楷體" w:hAnsi="標楷體" w:hint="eastAsia"/>
          <w:kern w:val="0"/>
          <w:szCs w:val="32"/>
        </w:rPr>
        <w:t>鑑於儲能產業攸關我國再生能源發展及電力穩定，屬於國安層級之重大建設，且具有龐大之國際市場潛力，相較經濟部已公告「離岸風力發電產業政策」協助輔導國內廠商建立產業供應鏈</w:t>
      </w:r>
      <w:r w:rsidR="008F173D" w:rsidRPr="009D11AD">
        <w:rPr>
          <w:rFonts w:ascii="標楷體" w:eastAsia="標楷體" w:hAnsi="標楷體" w:hint="eastAsia"/>
          <w:kern w:val="0"/>
          <w:szCs w:val="32"/>
        </w:rPr>
        <w:t>之離岸風力發電產業，</w:t>
      </w:r>
      <w:r w:rsidRPr="009D11AD">
        <w:rPr>
          <w:rFonts w:ascii="標楷體" w:eastAsia="標楷體" w:hAnsi="標楷體" w:hint="eastAsia"/>
          <w:kern w:val="0"/>
          <w:szCs w:val="32"/>
        </w:rPr>
        <w:t>儲能產業</w:t>
      </w:r>
      <w:r w:rsidR="008F173D" w:rsidRPr="009D11AD">
        <w:rPr>
          <w:rFonts w:ascii="標楷體" w:eastAsia="標楷體" w:hAnsi="標楷體" w:hint="eastAsia"/>
          <w:kern w:val="0"/>
          <w:szCs w:val="32"/>
        </w:rPr>
        <w:t>則</w:t>
      </w:r>
      <w:r w:rsidRPr="009D11AD">
        <w:rPr>
          <w:rFonts w:ascii="標楷體" w:eastAsia="標楷體" w:hAnsi="標楷體" w:hint="eastAsia"/>
          <w:kern w:val="0"/>
          <w:szCs w:val="32"/>
        </w:rPr>
        <w:t>尚乏扶植國內供應鏈相關措施，不利推動產業發展，經函請行政院督促經濟部工業局及能源局等相關機關研謀善策妥處。</w:t>
      </w:r>
      <w:r w:rsidRPr="00DA2751">
        <w:rPr>
          <w:rFonts w:ascii="標楷體" w:eastAsia="標楷體" w:hAnsi="標楷體" w:hint="eastAsia"/>
          <w:spacing w:val="-4"/>
          <w:szCs w:val="32"/>
        </w:rPr>
        <w:t>據復：</w:t>
      </w:r>
      <w:r w:rsidR="00725ADB" w:rsidRPr="007E516C">
        <w:rPr>
          <w:rFonts w:ascii="標楷體" w:eastAsia="標楷體" w:hAnsi="標楷體" w:hint="eastAsia"/>
          <w:szCs w:val="32"/>
        </w:rPr>
        <w:t>經濟部工業局為強化國內儲能上中下游產業整體競</w:t>
      </w:r>
      <w:r w:rsidR="00725ADB" w:rsidRPr="007E516C">
        <w:rPr>
          <w:rFonts w:ascii="標楷體" w:eastAsia="標楷體" w:hAnsi="標楷體" w:hint="eastAsia"/>
          <w:spacing w:val="-4"/>
          <w:szCs w:val="32"/>
        </w:rPr>
        <w:t>爭力，業規劃透過「協助傳統產業技術開發計畫（</w:t>
      </w:r>
      <w:r w:rsidR="00725ADB" w:rsidRPr="007E516C">
        <w:rPr>
          <w:rFonts w:ascii="標楷體" w:eastAsia="標楷體" w:hAnsi="標楷體"/>
          <w:spacing w:val="-4"/>
          <w:szCs w:val="32"/>
        </w:rPr>
        <w:t>CITD）」及「產業升級創新平台輔導計畫（TIIP）」</w:t>
      </w:r>
      <w:r w:rsidR="00725ADB" w:rsidRPr="007E516C">
        <w:rPr>
          <w:rFonts w:ascii="標楷體" w:eastAsia="標楷體" w:hAnsi="標楷體"/>
          <w:spacing w:val="-4"/>
          <w:szCs w:val="32"/>
        </w:rPr>
        <w:lastRenderedPageBreak/>
        <w:t>等補助資源，協助業者技術升級並開發新產品，未來將滾動調整推動機制，以增加併網量能、促進</w:t>
      </w:r>
      <w:r w:rsidR="00725ADB" w:rsidRPr="00CE57F9">
        <w:rPr>
          <w:rFonts w:ascii="標楷體" w:eastAsia="標楷體" w:hAnsi="標楷體"/>
          <w:spacing w:val="-4"/>
          <w:szCs w:val="32"/>
        </w:rPr>
        <w:t>饋線利用率最大化、舒緩夜間用電尖峰及提升供電穩定度</w:t>
      </w:r>
      <w:r w:rsidRPr="00CE57F9">
        <w:rPr>
          <w:rFonts w:ascii="標楷體" w:eastAsia="標楷體" w:hAnsi="標楷體" w:hint="eastAsia"/>
          <w:spacing w:val="-4"/>
          <w:szCs w:val="32"/>
        </w:rPr>
        <w:t>。</w:t>
      </w:r>
    </w:p>
    <w:p w14:paraId="1A2633EB" w14:textId="7AA43AFA" w:rsidR="00F11583" w:rsidRPr="000F6323" w:rsidRDefault="00F11583" w:rsidP="00DA2751">
      <w:pPr>
        <w:pStyle w:val="affb"/>
        <w:kinsoku/>
        <w:overflowPunct w:val="0"/>
        <w:adjustRightInd/>
        <w:spacing w:line="430" w:lineRule="exact"/>
        <w:ind w:left="0" w:firstLineChars="450" w:firstLine="1081"/>
        <w:jc w:val="both"/>
        <w:rPr>
          <w:rFonts w:hAnsi="標楷體"/>
          <w:bCs/>
          <w:color w:val="000000" w:themeColor="text1"/>
          <w:sz w:val="24"/>
          <w:szCs w:val="24"/>
        </w:rPr>
      </w:pPr>
      <w:r w:rsidRPr="009D11AD">
        <w:rPr>
          <w:rFonts w:hAnsi="標楷體" w:hint="eastAsia"/>
          <w:b/>
          <w:sz w:val="24"/>
          <w:szCs w:val="24"/>
        </w:rPr>
        <w:t>3.</w:t>
      </w:r>
      <w:r w:rsidRPr="009D11AD">
        <w:rPr>
          <w:rFonts w:hAnsi="標楷體" w:hint="eastAsia"/>
          <w:b/>
          <w:bCs/>
          <w:color w:val="000000"/>
          <w:sz w:val="24"/>
          <w:szCs w:val="24"/>
        </w:rPr>
        <w:t xml:space="preserve">　</w:t>
      </w:r>
      <w:r w:rsidRPr="009D11AD">
        <w:rPr>
          <w:rFonts w:hAnsi="標楷體" w:hint="eastAsia"/>
          <w:b/>
          <w:sz w:val="24"/>
          <w:szCs w:val="24"/>
        </w:rPr>
        <w:t>政府已訂定儲能系統安全規範，惟該規範實施前既設或營運中案場可有2年寬限期，衍生消防安全空窗期之疑慮，允宜督促相關部會共同研議因應對策，俾完善儲能案場之安全管理機制：</w:t>
      </w:r>
      <w:r w:rsidRPr="009D11AD">
        <w:rPr>
          <w:rFonts w:hAnsi="標楷體" w:hint="eastAsia"/>
          <w:sz w:val="24"/>
          <w:szCs w:val="24"/>
        </w:rPr>
        <w:t>再生能源發電具有間歇性及不易預測性，導致傳統電力系統需承受電壓、頻率不穩定或輸電壅塞風險，因此具有加強電網韌性、彈性調度等效益之儲能產業，漸受各國重視，亦為政府推行綠能政策重點項目之一。近年國際儲能設備火災事故頻傳，引發各界對儲能系統安全性之疑慮，經濟部為強化併網型儲能系統土地使用及設置安全，於111年9月訂定併網型儲能系統設置區域及設置安全規範，規定國內建置儲能系統參與台灣電力</w:t>
      </w:r>
      <w:r w:rsidR="00370AC3" w:rsidRPr="009D11AD">
        <w:rPr>
          <w:rFonts w:hAnsi="標楷體" w:hint="eastAsia"/>
          <w:sz w:val="24"/>
          <w:szCs w:val="24"/>
        </w:rPr>
        <w:t>股份有限</w:t>
      </w:r>
      <w:r w:rsidRPr="009D11AD">
        <w:rPr>
          <w:rFonts w:hAnsi="標楷體" w:hint="eastAsia"/>
          <w:sz w:val="24"/>
          <w:szCs w:val="24"/>
        </w:rPr>
        <w:t>公司之輔助服務</w:t>
      </w:r>
      <w:r w:rsidRPr="009D11AD">
        <w:rPr>
          <w:rFonts w:hAnsi="標楷體"/>
          <w:sz w:val="24"/>
          <w:szCs w:val="24"/>
        </w:rPr>
        <w:t>業者，應遵循該部訂定之戶外電池儲能系統案場驗證技術規範、內政部訂定之提升儲能系統消防安全管理指引</w:t>
      </w:r>
      <w:r w:rsidRPr="009D11AD">
        <w:rPr>
          <w:rFonts w:hAnsi="標楷體" w:hint="eastAsia"/>
          <w:sz w:val="24"/>
          <w:szCs w:val="24"/>
        </w:rPr>
        <w:t>等</w:t>
      </w:r>
      <w:r w:rsidRPr="009D11AD">
        <w:rPr>
          <w:rFonts w:hAnsi="標楷體"/>
          <w:sz w:val="24"/>
          <w:szCs w:val="24"/>
        </w:rPr>
        <w:t>，並於設計審查、案場審查及定期試驗等</w:t>
      </w:r>
      <w:r w:rsidRPr="009D11AD">
        <w:rPr>
          <w:rFonts w:hAnsi="標楷體" w:hint="eastAsia"/>
          <w:sz w:val="24"/>
          <w:szCs w:val="24"/>
        </w:rPr>
        <w:t>3階段</w:t>
      </w:r>
      <w:r w:rsidRPr="009D11AD">
        <w:rPr>
          <w:rFonts w:hAnsi="標楷體"/>
          <w:sz w:val="24"/>
          <w:szCs w:val="24"/>
        </w:rPr>
        <w:t>，須分別取</w:t>
      </w:r>
      <w:r w:rsidRPr="009D11AD">
        <w:rPr>
          <w:rFonts w:hAnsi="標楷體" w:hint="eastAsia"/>
          <w:sz w:val="24"/>
          <w:szCs w:val="24"/>
        </w:rPr>
        <w:t>得經濟部標準檢驗局</w:t>
      </w:r>
      <w:r w:rsidR="00D441FD" w:rsidRPr="009D11AD">
        <w:rPr>
          <w:rFonts w:hAnsi="標楷體" w:hint="eastAsia"/>
          <w:sz w:val="24"/>
          <w:szCs w:val="24"/>
        </w:rPr>
        <w:t>（</w:t>
      </w:r>
      <w:r w:rsidRPr="009D11AD">
        <w:rPr>
          <w:rFonts w:hAnsi="標楷體" w:hint="eastAsia"/>
          <w:sz w:val="24"/>
          <w:szCs w:val="24"/>
        </w:rPr>
        <w:t>下稱標準局</w:t>
      </w:r>
      <w:r w:rsidR="00D441FD" w:rsidRPr="009D11AD">
        <w:rPr>
          <w:rFonts w:hAnsi="標楷體" w:hint="eastAsia"/>
          <w:sz w:val="24"/>
          <w:szCs w:val="24"/>
        </w:rPr>
        <w:t>）</w:t>
      </w:r>
      <w:r w:rsidRPr="009D11AD">
        <w:rPr>
          <w:rFonts w:hAnsi="標楷體" w:hint="eastAsia"/>
          <w:sz w:val="24"/>
          <w:szCs w:val="24"/>
        </w:rPr>
        <w:t>核發之設計審查建議書、戶外電池儲能系統案場之自願性驗證證書</w:t>
      </w:r>
      <w:r w:rsidR="00D441FD" w:rsidRPr="009D11AD">
        <w:rPr>
          <w:rFonts w:hAnsi="標楷體" w:hint="eastAsia"/>
          <w:sz w:val="24"/>
          <w:szCs w:val="24"/>
        </w:rPr>
        <w:t>（</w:t>
      </w:r>
      <w:r w:rsidRPr="009D11AD">
        <w:rPr>
          <w:rFonts w:hAnsi="標楷體" w:hint="eastAsia"/>
          <w:sz w:val="24"/>
          <w:szCs w:val="24"/>
        </w:rPr>
        <w:t>VPC</w:t>
      </w:r>
      <w:r w:rsidR="00D441FD" w:rsidRPr="009D11AD">
        <w:rPr>
          <w:rFonts w:hAnsi="標楷體" w:hint="eastAsia"/>
          <w:sz w:val="24"/>
          <w:szCs w:val="24"/>
        </w:rPr>
        <w:t>）</w:t>
      </w:r>
      <w:r w:rsidRPr="009D11AD">
        <w:rPr>
          <w:rFonts w:hAnsi="標楷體" w:hint="eastAsia"/>
          <w:sz w:val="24"/>
          <w:szCs w:val="24"/>
        </w:rPr>
        <w:t>及</w:t>
      </w:r>
      <w:r w:rsidRPr="009D11AD">
        <w:rPr>
          <w:rFonts w:hAnsi="標楷體"/>
          <w:sz w:val="24"/>
          <w:szCs w:val="24"/>
        </w:rPr>
        <w:t>定期試驗</w:t>
      </w:r>
      <w:r w:rsidRPr="009D11AD">
        <w:rPr>
          <w:rFonts w:hAnsi="標楷體" w:hint="eastAsia"/>
          <w:sz w:val="24"/>
          <w:szCs w:val="24"/>
        </w:rPr>
        <w:t>自願性驗證證書；另標準局實施上述VPC驗證前，未經第三方驗證之既設</w:t>
      </w:r>
      <w:r w:rsidR="00D441FD" w:rsidRPr="009D11AD">
        <w:rPr>
          <w:rFonts w:hAnsi="標楷體" w:hint="eastAsia"/>
          <w:sz w:val="24"/>
          <w:szCs w:val="24"/>
        </w:rPr>
        <w:t>（</w:t>
      </w:r>
      <w:r w:rsidRPr="009D11AD">
        <w:rPr>
          <w:rFonts w:hAnsi="標楷體" w:hint="eastAsia"/>
          <w:sz w:val="24"/>
          <w:szCs w:val="24"/>
        </w:rPr>
        <w:t>營運中</w:t>
      </w:r>
      <w:r w:rsidR="00D441FD" w:rsidRPr="009D11AD">
        <w:rPr>
          <w:rFonts w:hAnsi="標楷體" w:hint="eastAsia"/>
          <w:sz w:val="24"/>
          <w:szCs w:val="24"/>
        </w:rPr>
        <w:t>）</w:t>
      </w:r>
      <w:r w:rsidRPr="009D11AD">
        <w:rPr>
          <w:rFonts w:hAnsi="標楷體" w:hint="eastAsia"/>
          <w:sz w:val="24"/>
          <w:szCs w:val="24"/>
        </w:rPr>
        <w:t>案場，得於VPC驗證實施後6個月內完成現場驗收試驗。後續因業者反映時程緊迫，取得驗證困難，經標準局於112年3月16日召開「研商建置中儲能系統案場審查管理會議」決議，111年11月14日前既設</w:t>
      </w:r>
      <w:r w:rsidR="00D441FD" w:rsidRPr="009D11AD">
        <w:rPr>
          <w:rFonts w:hAnsi="標楷體" w:hint="eastAsia"/>
          <w:sz w:val="24"/>
          <w:szCs w:val="24"/>
        </w:rPr>
        <w:t>（</w:t>
      </w:r>
      <w:r w:rsidRPr="009D11AD">
        <w:rPr>
          <w:rFonts w:hAnsi="標楷體" w:hint="eastAsia"/>
          <w:sz w:val="24"/>
          <w:szCs w:val="24"/>
        </w:rPr>
        <w:t>營運中</w:t>
      </w:r>
      <w:r w:rsidR="00D441FD" w:rsidRPr="009D11AD">
        <w:rPr>
          <w:rFonts w:hAnsi="標楷體" w:hint="eastAsia"/>
          <w:sz w:val="24"/>
          <w:szCs w:val="24"/>
        </w:rPr>
        <w:t>）</w:t>
      </w:r>
      <w:r w:rsidRPr="009D11AD">
        <w:rPr>
          <w:rFonts w:hAnsi="標楷體" w:hint="eastAsia"/>
          <w:sz w:val="24"/>
          <w:szCs w:val="24"/>
        </w:rPr>
        <w:t>或已取得台灣電力</w:t>
      </w:r>
      <w:r w:rsidR="00370AC3" w:rsidRPr="009D11AD">
        <w:rPr>
          <w:rFonts w:hAnsi="標楷體" w:hint="eastAsia"/>
          <w:sz w:val="24"/>
          <w:szCs w:val="24"/>
        </w:rPr>
        <w:t>股份有限</w:t>
      </w:r>
      <w:r w:rsidRPr="009D11AD">
        <w:rPr>
          <w:rFonts w:hAnsi="標楷體" w:hint="eastAsia"/>
          <w:sz w:val="24"/>
          <w:szCs w:val="24"/>
        </w:rPr>
        <w:t>公司併聯審查同意書之儲能案場，有關</w:t>
      </w:r>
      <w:r w:rsidRPr="009D11AD">
        <w:rPr>
          <w:rFonts w:hAnsi="標楷體"/>
          <w:sz w:val="24"/>
          <w:szCs w:val="24"/>
        </w:rPr>
        <w:t>提升儲能系統消防安全管理指引</w:t>
      </w:r>
      <w:r w:rsidRPr="009D11AD">
        <w:rPr>
          <w:rFonts w:hAnsi="標楷體" w:hint="eastAsia"/>
          <w:sz w:val="24"/>
          <w:szCs w:val="24"/>
        </w:rPr>
        <w:t>得不</w:t>
      </w:r>
      <w:r w:rsidRPr="000F6323">
        <w:rPr>
          <w:rFonts w:hAnsi="標楷體" w:hint="eastAsia"/>
          <w:sz w:val="24"/>
          <w:szCs w:val="24"/>
        </w:rPr>
        <w:t>溯及既往</w:t>
      </w:r>
      <w:r w:rsidRPr="000F6323">
        <w:rPr>
          <w:rFonts w:hAnsi="標楷體"/>
          <w:sz w:val="24"/>
          <w:szCs w:val="24"/>
        </w:rPr>
        <w:t>，惟業者須於</w:t>
      </w:r>
      <w:r w:rsidRPr="000F6323">
        <w:rPr>
          <w:rFonts w:hAnsi="標楷體" w:hint="eastAsia"/>
          <w:sz w:val="24"/>
          <w:szCs w:val="24"/>
        </w:rPr>
        <w:t>6個月內提供消防設備師簽證之改善計畫，最遲於2年後定期試驗階段取得確認簽證。經統計截至111年底已取得台灣電力</w:t>
      </w:r>
      <w:r w:rsidR="00370AC3" w:rsidRPr="000F6323">
        <w:rPr>
          <w:rFonts w:hAnsi="標楷體" w:hint="eastAsia"/>
          <w:sz w:val="24"/>
          <w:szCs w:val="24"/>
        </w:rPr>
        <w:t>股份有限</w:t>
      </w:r>
      <w:r w:rsidRPr="000F6323">
        <w:rPr>
          <w:rFonts w:hAnsi="標楷體" w:hint="eastAsia"/>
          <w:sz w:val="24"/>
          <w:szCs w:val="24"/>
        </w:rPr>
        <w:t>公司併聯審查同意書業者</w:t>
      </w:r>
      <w:r w:rsidRPr="000F6323">
        <w:rPr>
          <w:rFonts w:hAnsi="標楷體"/>
          <w:sz w:val="24"/>
          <w:szCs w:val="24"/>
        </w:rPr>
        <w:t>計</w:t>
      </w:r>
      <w:r w:rsidRPr="000F6323">
        <w:rPr>
          <w:rFonts w:hAnsi="標楷體" w:hint="eastAsia"/>
          <w:sz w:val="24"/>
          <w:szCs w:val="24"/>
        </w:rPr>
        <w:t>24家，共26個案場</w:t>
      </w:r>
      <w:r w:rsidR="00D441FD" w:rsidRPr="000F6323">
        <w:rPr>
          <w:rFonts w:hAnsi="標楷體" w:hint="eastAsia"/>
          <w:sz w:val="24"/>
          <w:szCs w:val="24"/>
        </w:rPr>
        <w:t>（</w:t>
      </w:r>
      <w:r w:rsidRPr="000F6323">
        <w:rPr>
          <w:rFonts w:hAnsi="標楷體" w:hint="eastAsia"/>
          <w:sz w:val="24"/>
          <w:szCs w:val="24"/>
        </w:rPr>
        <w:t>95.8MW</w:t>
      </w:r>
      <w:r w:rsidR="00D441FD" w:rsidRPr="000F6323">
        <w:rPr>
          <w:rFonts w:hAnsi="標楷體" w:hint="eastAsia"/>
          <w:sz w:val="24"/>
          <w:szCs w:val="24"/>
        </w:rPr>
        <w:t>）</w:t>
      </w:r>
      <w:r w:rsidRPr="000F6323">
        <w:rPr>
          <w:rFonts w:hAnsi="標楷體" w:hint="eastAsia"/>
          <w:sz w:val="24"/>
          <w:szCs w:val="24"/>
        </w:rPr>
        <w:t>，未經第三方驗證者計22家，共24個案場</w:t>
      </w:r>
      <w:r w:rsidR="00D441FD" w:rsidRPr="000F6323">
        <w:rPr>
          <w:rFonts w:hAnsi="標楷體" w:hint="eastAsia"/>
          <w:sz w:val="24"/>
          <w:szCs w:val="24"/>
        </w:rPr>
        <w:t>（</w:t>
      </w:r>
      <w:r w:rsidRPr="000F6323">
        <w:rPr>
          <w:rFonts w:hAnsi="標楷體" w:hint="eastAsia"/>
          <w:sz w:val="24"/>
          <w:szCs w:val="24"/>
        </w:rPr>
        <w:t>92.6MW</w:t>
      </w:r>
      <w:r w:rsidR="00D441FD" w:rsidRPr="000F6323">
        <w:rPr>
          <w:rFonts w:hAnsi="標楷體" w:hint="eastAsia"/>
          <w:sz w:val="24"/>
          <w:szCs w:val="24"/>
        </w:rPr>
        <w:t>）</w:t>
      </w:r>
      <w:r w:rsidRPr="000F6323">
        <w:rPr>
          <w:rFonts w:hAnsi="標楷體" w:hint="eastAsia"/>
          <w:sz w:val="24"/>
          <w:szCs w:val="24"/>
        </w:rPr>
        <w:t>，上述案場最遲可於2年後始取得符合</w:t>
      </w:r>
      <w:r w:rsidRPr="000F6323">
        <w:rPr>
          <w:rFonts w:hAnsi="標楷體"/>
          <w:sz w:val="24"/>
          <w:szCs w:val="24"/>
        </w:rPr>
        <w:t>消防安全標準之</w:t>
      </w:r>
      <w:r w:rsidRPr="000F6323">
        <w:rPr>
          <w:rFonts w:hAnsi="標楷體" w:hint="eastAsia"/>
          <w:sz w:val="24"/>
          <w:szCs w:val="24"/>
        </w:rPr>
        <w:t>驗證，存有消防安全空窗期之疑慮，增加火災事故風險。鑑於近年儲能案場之設置屢因民眾對安全性不信任而遭抗爭，影響儲能系統之建置進度，不利促進穩定供電，經函請行政院督促能源局及內政部等相關權責機關研謀善策妥處。據復：</w:t>
      </w:r>
      <w:r w:rsidR="00725ADB" w:rsidRPr="00CE57F9">
        <w:rPr>
          <w:rFonts w:hAnsi="標楷體" w:hint="eastAsia"/>
          <w:sz w:val="24"/>
          <w:szCs w:val="24"/>
        </w:rPr>
        <w:t>內政部消防署規劃修正儲能系統消防安全管理指引，要求既設及建置中之案場須設置火災緊急應變安全防護設施及制定緊急應變計畫。另能源局將持續輔導儲能系統廠商進行消防安全優化改善，及督導相關簽證與定期檢修作業，消除民眾疑慮，俾順利推動儲能系統建置，促進穩定供電</w:t>
      </w:r>
      <w:r w:rsidRPr="0016595C">
        <w:rPr>
          <w:rFonts w:hAnsi="標楷體" w:hint="eastAsia"/>
          <w:color w:val="000000" w:themeColor="text1"/>
          <w:sz w:val="24"/>
          <w:szCs w:val="24"/>
        </w:rPr>
        <w:t>。</w:t>
      </w:r>
    </w:p>
    <w:p w14:paraId="44478E4C" w14:textId="12819F92" w:rsidR="00421477" w:rsidRPr="009D11AD" w:rsidRDefault="00421477" w:rsidP="00860D54">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（七）　政府秉持養殖為本、綠能加值之精神推動漁電共生，惟漁電公告區夾雜不符編定用途土地且未揭露合法用水資訊，不利業者整合申辦；又特定農業區無養殖事實之養殖池不符申設條件，卻仍劃入漁電公告區、屋頂型漁電共生未經生態環境影響檢核、核准設置案場養殖產量與品質之驗證措施不足等，亟待研謀妥處及強化管控機制</w:t>
      </w:r>
      <w:r w:rsidRPr="009D11AD">
        <w:rPr>
          <w:rFonts w:hAnsi="標楷體" w:hint="eastAsia"/>
          <w:b/>
          <w:color w:val="000000" w:themeColor="text1"/>
          <w:spacing w:val="-2"/>
          <w:sz w:val="28"/>
          <w:szCs w:val="28"/>
        </w:rPr>
        <w:t>。</w:t>
      </w:r>
    </w:p>
    <w:p w14:paraId="082AC464" w14:textId="798728AE" w:rsidR="00421477" w:rsidRPr="009D11AD" w:rsidRDefault="00A61199">
      <w:pPr>
        <w:overflowPunct w:val="0"/>
        <w:spacing w:line="420" w:lineRule="exact"/>
        <w:ind w:firstLineChars="200" w:firstLine="480"/>
        <w:jc w:val="both"/>
        <w:rPr>
          <w:rFonts w:ascii="標楷體" w:eastAsia="標楷體" w:hAnsi="標楷體"/>
          <w:bCs/>
          <w:szCs w:val="24"/>
        </w:rPr>
      </w:pPr>
      <w:r w:rsidRPr="00DA2751">
        <w:rPr>
          <w:rFonts w:ascii="標楷體" w:eastAsia="標楷體" w:hAnsi="標楷體"/>
          <w:noProof/>
        </w:rPr>
        <w:lastRenderedPageBreak/>
        <mc:AlternateContent>
          <mc:Choice Requires="wps">
            <w:drawing>
              <wp:anchor distT="0" distB="0" distL="114300" distR="114300" simplePos="0" relativeHeight="251675136" behindDoc="1" locked="0" layoutInCell="1" allowOverlap="1" wp14:anchorId="6BBCEE71" wp14:editId="07C5D133">
                <wp:simplePos x="0" y="0"/>
                <wp:positionH relativeFrom="column">
                  <wp:posOffset>2768600</wp:posOffset>
                </wp:positionH>
                <wp:positionV relativeFrom="paragraph">
                  <wp:posOffset>7708</wp:posOffset>
                </wp:positionV>
                <wp:extent cx="3542030" cy="5280660"/>
                <wp:effectExtent l="0" t="0" r="0" b="0"/>
                <wp:wrapSquare wrapText="bothSides"/>
                <wp:docPr id="47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2030" cy="5280660"/>
                        </a:xfrm>
                        <a:prstGeom prst="rect">
                          <a:avLst/>
                        </a:prstGeom>
                        <a:noFill/>
                        <a:ln w="9525">
                          <a:noFill/>
                          <a:miter lim="800000"/>
                          <a:headEnd/>
                          <a:tailEnd/>
                        </a:ln>
                      </wps:spPr>
                      <wps:txbx>
                        <w:txbxContent>
                          <w:p w14:paraId="38540C7F" w14:textId="5AA2037B" w:rsidR="00CE57F9" w:rsidRPr="001B2F9E" w:rsidRDefault="00CE57F9" w:rsidP="00421477">
                            <w:pPr>
                              <w:spacing w:line="360" w:lineRule="exact"/>
                              <w:jc w:val="center"/>
                              <w:rPr>
                                <w:rFonts w:ascii="標楷體" w:eastAsia="標楷體" w:hAnsi="標楷體" w:cs="Arial Unicode MS"/>
                                <w:b/>
                              </w:rPr>
                            </w:pPr>
                            <w:r w:rsidRPr="00AD323A">
                              <w:rPr>
                                <w:rFonts w:ascii="標楷體" w:eastAsia="標楷體" w:hAnsi="標楷體" w:cs="Arial Unicode MS" w:hint="eastAsia"/>
                                <w:b/>
                              </w:rPr>
                              <w:t>圖</w:t>
                            </w:r>
                            <w:r>
                              <w:rPr>
                                <w:rFonts w:ascii="標楷體" w:eastAsia="標楷體" w:hAnsi="標楷體" w:cs="Arial Unicode MS"/>
                                <w:b/>
                              </w:rPr>
                              <w:t>5</w:t>
                            </w:r>
                            <w:r w:rsidRPr="001B2F9E">
                              <w:rPr>
                                <w:rFonts w:ascii="標楷體" w:eastAsia="標楷體" w:hAnsi="標楷體" w:cs="Arial Unicode MS" w:hint="eastAsia"/>
                                <w:b/>
                              </w:rPr>
                              <w:t xml:space="preserve">　</w:t>
                            </w:r>
                            <w:r w:rsidRPr="00F2164D">
                              <w:rPr>
                                <w:rFonts w:ascii="標楷體" w:eastAsia="標楷體" w:hAnsi="標楷體" w:cs="Arial Unicode MS" w:hint="eastAsia"/>
                                <w:b/>
                              </w:rPr>
                              <w:t>地面型漁電共生設</w:t>
                            </w:r>
                            <w:r w:rsidRPr="001B2F9E">
                              <w:rPr>
                                <w:rFonts w:ascii="標楷體" w:eastAsia="標楷體" w:hAnsi="標楷體" w:cs="Arial Unicode MS" w:hint="eastAsia"/>
                                <w:b/>
                              </w:rPr>
                              <w:t>置流程</w:t>
                            </w:r>
                          </w:p>
                          <w:p w14:paraId="0B702614" w14:textId="604760BE" w:rsidR="00CE57F9" w:rsidRPr="003832E7" w:rsidRDefault="00CE57F9" w:rsidP="00421477">
                            <w:pPr>
                              <w:jc w:val="center"/>
                              <w:rPr>
                                <w:rFonts w:ascii="標楷體" w:eastAsia="標楷體" w:hAnsi="標楷體" w:cs="Arial Unicode MS"/>
                                <w:b/>
                                <w:sz w:val="28"/>
                              </w:rPr>
                            </w:pPr>
                            <w:r w:rsidRPr="00596B03">
                              <w:rPr>
                                <w:noProof/>
                              </w:rPr>
                              <w:drawing>
                                <wp:inline distT="0" distB="0" distL="0" distR="0" wp14:anchorId="6F770B77" wp14:editId="44FFD256">
                                  <wp:extent cx="3333750" cy="4676775"/>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33750" cy="4676775"/>
                                          </a:xfrm>
                                          <a:prstGeom prst="rect">
                                            <a:avLst/>
                                          </a:prstGeom>
                                          <a:noFill/>
                                          <a:ln>
                                            <a:noFill/>
                                          </a:ln>
                                        </pic:spPr>
                                      </pic:pic>
                                    </a:graphicData>
                                  </a:graphic>
                                </wp:inline>
                              </w:drawing>
                            </w:r>
                          </w:p>
                          <w:p w14:paraId="68717ABF" w14:textId="3803C633" w:rsidR="00CE57F9" w:rsidRPr="00DA2751" w:rsidRDefault="00CE57F9" w:rsidP="00105077">
                            <w:pPr>
                              <w:spacing w:line="200" w:lineRule="exact"/>
                              <w:ind w:leftChars="134" w:left="322"/>
                              <w:rPr>
                                <w:rFonts w:ascii="標楷體" w:eastAsia="標楷體" w:hAnsi="標楷體"/>
                                <w:color w:val="000000" w:themeColor="text1"/>
                                <w:sz w:val="18"/>
                                <w:szCs w:val="18"/>
                              </w:rPr>
                            </w:pPr>
                            <w:r w:rsidRPr="00DA2751">
                              <w:rPr>
                                <w:rFonts w:ascii="標楷體" w:eastAsia="標楷體" w:hAnsi="標楷體" w:hint="eastAsia"/>
                                <w:color w:val="000000" w:themeColor="text1"/>
                                <w:sz w:val="18"/>
                                <w:szCs w:val="18"/>
                              </w:rPr>
                              <w:t>資料來源：依據農業委員會漁業署提供資料繪製。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BCEE71" id="_x0000_s1037" type="#_x0000_t202" style="position:absolute;left:0;text-align:left;margin-left:218pt;margin-top:.6pt;width:278.9pt;height:415.8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" filled="f" stroked="f">
                <v:textbox>
                  <w:txbxContent>
                    <w:p w14:paraId="38540C7F" w14:textId="5AA2037B" w:rsidR="00CE57F9" w:rsidRPr="001B2F9E" w:rsidRDefault="00CE57F9" w:rsidP="00421477">
                      <w:pPr>
                        <w:spacing w:line="360" w:lineRule="exact"/>
                        <w:jc w:val="center"/>
                        <w:rPr>
                          <w:rFonts w:ascii="標楷體" w:eastAsia="標楷體" w:hAnsi="標楷體" w:cs="Arial Unicode MS"/>
                          <w:b/>
                        </w:rPr>
                      </w:pPr>
                      <w:r w:rsidRPr="00AD323A">
                        <w:rPr>
                          <w:rFonts w:ascii="標楷體" w:eastAsia="標楷體" w:hAnsi="標楷體" w:cs="Arial Unicode MS" w:hint="eastAsia"/>
                          <w:b/>
                        </w:rPr>
                        <w:t>圖</w:t>
                      </w:r>
                      <w:r>
                        <w:rPr>
                          <w:rFonts w:ascii="標楷體" w:eastAsia="標楷體" w:hAnsi="標楷體" w:cs="Arial Unicode MS"/>
                          <w:b/>
                        </w:rPr>
                        <w:t>5</w:t>
                      </w:r>
                      <w:r w:rsidRPr="001B2F9E">
                        <w:rPr>
                          <w:rFonts w:ascii="標楷體" w:eastAsia="標楷體" w:hAnsi="標楷體" w:cs="Arial Unicode MS" w:hint="eastAsia"/>
                          <w:b/>
                        </w:rPr>
                        <w:t xml:space="preserve">　</w:t>
                      </w:r>
                      <w:r w:rsidRPr="00F2164D">
                        <w:rPr>
                          <w:rFonts w:ascii="標楷體" w:eastAsia="標楷體" w:hAnsi="標楷體" w:cs="Arial Unicode MS" w:hint="eastAsia"/>
                          <w:b/>
                        </w:rPr>
                        <w:t>地面型漁電共生設</w:t>
                      </w:r>
                      <w:r w:rsidRPr="001B2F9E">
                        <w:rPr>
                          <w:rFonts w:ascii="標楷體" w:eastAsia="標楷體" w:hAnsi="標楷體" w:cs="Arial Unicode MS" w:hint="eastAsia"/>
                          <w:b/>
                        </w:rPr>
                        <w:t>置流程</w:t>
                      </w:r>
                    </w:p>
                    <w:p w14:paraId="0B702614" w14:textId="604760BE" w:rsidR="00CE57F9" w:rsidRPr="003832E7" w:rsidRDefault="00CE57F9" w:rsidP="00421477">
                      <w:pPr>
                        <w:jc w:val="center"/>
                        <w:rPr>
                          <w:rFonts w:ascii="標楷體" w:eastAsia="標楷體" w:hAnsi="標楷體" w:cs="Arial Unicode MS"/>
                          <w:b/>
                          <w:sz w:val="28"/>
                        </w:rPr>
                      </w:pPr>
                      <w:r w:rsidRPr="00596B03">
                        <w:rPr>
                          <w:noProof/>
                        </w:rPr>
                        <w:drawing>
                          <wp:inline distT="0" distB="0" distL="0" distR="0" wp14:anchorId="6F770B77" wp14:editId="44FFD256">
                            <wp:extent cx="3333750" cy="4676775"/>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33750" cy="4676775"/>
                                    </a:xfrm>
                                    <a:prstGeom prst="rect">
                                      <a:avLst/>
                                    </a:prstGeom>
                                    <a:noFill/>
                                    <a:ln>
                                      <a:noFill/>
                                    </a:ln>
                                  </pic:spPr>
                                </pic:pic>
                              </a:graphicData>
                            </a:graphic>
                          </wp:inline>
                        </w:drawing>
                      </w:r>
                    </w:p>
                    <w:p w14:paraId="68717ABF" w14:textId="3803C633" w:rsidR="00CE57F9" w:rsidRPr="00DA2751" w:rsidRDefault="00CE57F9" w:rsidP="00105077">
                      <w:pPr>
                        <w:spacing w:line="200" w:lineRule="exact"/>
                        <w:ind w:leftChars="134" w:left="322"/>
                        <w:rPr>
                          <w:rFonts w:ascii="標楷體" w:eastAsia="標楷體" w:hAnsi="標楷體"/>
                          <w:color w:val="000000" w:themeColor="text1"/>
                          <w:sz w:val="18"/>
                          <w:szCs w:val="18"/>
                        </w:rPr>
                      </w:pPr>
                      <w:r w:rsidRPr="00DA2751">
                        <w:rPr>
                          <w:rFonts w:ascii="標楷體" w:eastAsia="標楷體" w:hAnsi="標楷體" w:hint="eastAsia"/>
                          <w:color w:val="000000" w:themeColor="text1"/>
                          <w:sz w:val="18"/>
                          <w:szCs w:val="18"/>
                        </w:rPr>
                        <w:t>資料來源：依據農業委員會漁業署提供資料繪製。</w:t>
                      </w:r>
                    </w:p>
                  </w:txbxContent>
                </v:textbox>
                <w10:wrap type="square"/>
              </v:shape>
            </w:pict>
          </mc:Fallback>
        </mc:AlternateContent>
      </w:r>
      <w:r w:rsidR="00421477" w:rsidRPr="009D11AD">
        <w:rPr>
          <w:rFonts w:ascii="標楷體" w:eastAsia="標楷體" w:hAnsi="標楷體" w:hint="eastAsia"/>
          <w:noProof/>
          <w:szCs w:val="24"/>
        </w:rPr>
        <w:t>政府發展再生能源，規劃114年達成綠能占總發電量20％之政策目標，並以太陽光電累積裝置容量20</w:t>
      </w:r>
      <w:r w:rsidR="005B6A55" w:rsidRPr="009D11AD">
        <w:rPr>
          <w:rFonts w:ascii="標楷體" w:eastAsia="標楷體" w:hAnsi="標楷體"/>
          <w:noProof/>
          <w:szCs w:val="24"/>
        </w:rPr>
        <w:t>,</w:t>
      </w:r>
      <w:r w:rsidR="005B6A55" w:rsidRPr="009D11AD">
        <w:rPr>
          <w:rFonts w:ascii="標楷體" w:eastAsia="標楷體" w:hAnsi="標楷體" w:hint="eastAsia"/>
          <w:noProof/>
          <w:szCs w:val="24"/>
        </w:rPr>
        <w:t>000M</w:t>
      </w:r>
      <w:r w:rsidR="00421477" w:rsidRPr="009D11AD">
        <w:rPr>
          <w:rFonts w:ascii="標楷體" w:eastAsia="標楷體" w:hAnsi="標楷體" w:hint="eastAsia"/>
          <w:noProof/>
          <w:szCs w:val="24"/>
        </w:rPr>
        <w:t>W</w:t>
      </w:r>
      <w:r w:rsidR="005B6A55" w:rsidRPr="009D11AD">
        <w:rPr>
          <w:rFonts w:ascii="標楷體" w:eastAsia="標楷體" w:hAnsi="標楷體" w:hint="eastAsia"/>
          <w:noProof/>
          <w:szCs w:val="24"/>
        </w:rPr>
        <w:t>（百萬瓦</w:t>
      </w:r>
      <w:r w:rsidR="00421477" w:rsidRPr="009D11AD">
        <w:rPr>
          <w:rFonts w:ascii="標楷體" w:eastAsia="標楷體" w:hAnsi="標楷體" w:hint="eastAsia"/>
          <w:noProof/>
          <w:szCs w:val="24"/>
        </w:rPr>
        <w:t>）為主要推動策略，其中秉持養殖為本、綠能加值之精神推動漁電共生，目標裝置容量</w:t>
      </w:r>
      <w:r w:rsidR="00421477" w:rsidRPr="00CE57F9">
        <w:rPr>
          <w:rFonts w:ascii="標楷體" w:eastAsia="標楷體" w:hAnsi="標楷體" w:hint="eastAsia"/>
          <w:noProof/>
          <w:szCs w:val="24"/>
        </w:rPr>
        <w:t>為</w:t>
      </w:r>
      <w:r w:rsidR="00176A19" w:rsidRPr="00CE57F9">
        <w:rPr>
          <w:rFonts w:ascii="標楷體" w:eastAsia="標楷體" w:hAnsi="標楷體"/>
          <w:noProof/>
          <w:szCs w:val="24"/>
        </w:rPr>
        <w:t>4,400MW</w:t>
      </w:r>
      <w:r w:rsidR="00421477" w:rsidRPr="009D11AD">
        <w:rPr>
          <w:rFonts w:ascii="標楷體" w:eastAsia="標楷體" w:hAnsi="標楷體" w:hint="eastAsia"/>
          <w:noProof/>
          <w:szCs w:val="24"/>
        </w:rPr>
        <w:t>，約需1萬餘公頃土地。經濟部為引導業者於適宜區位設置太陽光電，納入「太陽光電環境與社會檢核機制」（下稱環社檢核）排除爭議區位，藉以加速建置效率。案經農業委員會於109年盤點養殖池較無生態疑慮，且具漁業經營結合綠能之可行區位基礎圖資，送經濟部辦理環社檢核後，共同公告先行區。嗣為配合漁電共生整體目標，經濟部規劃擴大辦理非先行區，經劃分優先區、關注減緩區及迴避區（</w:t>
      </w:r>
      <w:r w:rsidR="00421477" w:rsidRPr="00CE57F9">
        <w:rPr>
          <w:rFonts w:ascii="標楷體" w:eastAsia="標楷體" w:hAnsi="標楷體" w:hint="eastAsia"/>
          <w:noProof/>
          <w:szCs w:val="24"/>
        </w:rPr>
        <w:t>圖</w:t>
      </w:r>
      <w:r w:rsidR="00105077" w:rsidRPr="00CE57F9">
        <w:rPr>
          <w:rFonts w:ascii="標楷體" w:eastAsia="標楷體" w:hAnsi="標楷體" w:hint="eastAsia"/>
          <w:noProof/>
          <w:szCs w:val="24"/>
        </w:rPr>
        <w:t>5</w:t>
      </w:r>
      <w:r w:rsidR="00421477" w:rsidRPr="00CE57F9">
        <w:rPr>
          <w:rFonts w:ascii="標楷體" w:eastAsia="標楷體" w:hAnsi="標楷體" w:hint="eastAsia"/>
          <w:noProof/>
          <w:szCs w:val="24"/>
        </w:rPr>
        <w:t>）</w:t>
      </w:r>
      <w:r w:rsidR="00421477" w:rsidRPr="009D11AD">
        <w:rPr>
          <w:rFonts w:ascii="標楷體" w:eastAsia="標楷體" w:hAnsi="標楷體" w:hint="eastAsia"/>
          <w:noProof/>
          <w:szCs w:val="24"/>
        </w:rPr>
        <w:t>，並建置漁電共生環社檢核網站，提供光電業者查詢區位資訊。截至111年9月底止，政府已公告先行區、優先區及關注減緩區（下稱漁電公告區）達15,921.28公頃，已容許設置（地面型、屋頂型）綠能設施1,417.18公頃，完工107.36公頃，發電量</w:t>
      </w:r>
      <w:r w:rsidR="00421477" w:rsidRPr="00CE57F9">
        <w:rPr>
          <w:rFonts w:ascii="標楷體" w:eastAsia="標楷體" w:hAnsi="標楷體" w:hint="eastAsia"/>
          <w:noProof/>
          <w:szCs w:val="24"/>
        </w:rPr>
        <w:t>108.68MW</w:t>
      </w:r>
      <w:r w:rsidR="00421477" w:rsidRPr="009D11AD">
        <w:rPr>
          <w:rFonts w:ascii="標楷體" w:eastAsia="標楷體" w:hAnsi="標楷體" w:hint="eastAsia"/>
          <w:noProof/>
          <w:szCs w:val="24"/>
        </w:rPr>
        <w:t>。經查漁電共生推動情形，核有：</w:t>
      </w:r>
      <w:r w:rsidR="00421477" w:rsidRPr="009D11AD">
        <w:rPr>
          <w:rFonts w:ascii="標楷體" w:eastAsia="標楷體" w:hAnsi="標楷體"/>
          <w:noProof/>
          <w:szCs w:val="24"/>
        </w:rPr>
        <w:t>1.</w:t>
      </w:r>
      <w:r w:rsidR="00421477" w:rsidRPr="009D11AD">
        <w:rPr>
          <w:rFonts w:ascii="標楷體" w:eastAsia="標楷體" w:hAnsi="標楷體" w:hint="eastAsia"/>
          <w:noProof/>
          <w:szCs w:val="24"/>
        </w:rPr>
        <w:t>漁電共生係農業經營與綠能設施之結合，依申請農業用地作農業設施容許使用審查辦法（下稱容許辦法）第6條第1項第3款及第7款規定，申請農業用地作農業設施容許使用，養殖池土地須符合編定用途且取得合法用水，惟漁電公告區之養殖池因早期地籍不清、重測、界址偏移等因素，多夾雜未符編定用途土地，尤以水利及交通用地為甚。以先行區10,880個養殖池（4,702公頃）為例，計有4,301個（占39.53％）養殖池涵蓋水利、交通等用地，未符編定用途面積112.74公頃，影響後續申辦容許使用；2.合法用水為漁電共生容許使用要件之一，囿於漁電公告區近5成面積未取得養殖漁業登記證，雲林縣、嘉義縣及臺南市等市縣</w:t>
      </w:r>
      <w:r w:rsidR="005B6A55" w:rsidRPr="009D11AD">
        <w:rPr>
          <w:rFonts w:ascii="標楷體" w:eastAsia="標楷體" w:hAnsi="標楷體" w:hint="eastAsia"/>
          <w:noProof/>
          <w:szCs w:val="24"/>
        </w:rPr>
        <w:t>政府</w:t>
      </w:r>
      <w:r w:rsidR="00421477" w:rsidRPr="009D11AD">
        <w:rPr>
          <w:rFonts w:ascii="標楷體" w:eastAsia="標楷體" w:hAnsi="標楷體" w:hint="eastAsia"/>
          <w:noProof/>
          <w:szCs w:val="24"/>
        </w:rPr>
        <w:t>核發登記證又不以具備水權為要件，致難以掌握各養殖池合法用水情形，允宜跨部會研議適當揭露養殖池合法用水資訊，俾利光電業者評估申辦容許使用之可行性；3.農業委員會為保障特定農業區優良農地，於106年6月28日修正容許辦法附表4，限定特定農業區農牧用地僅既存養殖池且配置循環水設施（備），始得申請作室外水產養殖生產設施，另針對申請室內水產養殖生產設施亦將比照納入規範，間接限縮特定農業區可申辦</w:t>
      </w:r>
      <w:r w:rsidR="00421477" w:rsidRPr="009D11AD">
        <w:rPr>
          <w:rFonts w:ascii="標楷體" w:eastAsia="標楷體" w:hAnsi="標楷體" w:hint="eastAsia"/>
          <w:noProof/>
          <w:szCs w:val="24"/>
        </w:rPr>
        <w:lastRenderedPageBreak/>
        <w:t>地面型及屋頂型漁電共生區域。經以經濟部公開之漁電共生「環社議題辨認結果地號對照表」及農業委員會漁業署提供之105、106年度養殖池申（查）報清冊比對結果，位處特定農業區農牧用地之公告漁電共生優先區、關注減緩區計有767.2</w:t>
      </w:r>
      <w:r w:rsidR="005B6A55" w:rsidRPr="009D11AD">
        <w:rPr>
          <w:rFonts w:ascii="標楷體" w:eastAsia="標楷體" w:hAnsi="標楷體" w:hint="eastAsia"/>
          <w:noProof/>
          <w:szCs w:val="24"/>
        </w:rPr>
        <w:t>5</w:t>
      </w:r>
      <w:r w:rsidR="00421477" w:rsidRPr="009D11AD">
        <w:rPr>
          <w:rFonts w:ascii="標楷體" w:eastAsia="標楷體" w:hAnsi="標楷體" w:hint="eastAsia"/>
          <w:noProof/>
          <w:szCs w:val="24"/>
        </w:rPr>
        <w:t>公頃，其中95.02公頃106年度養殖池申（查）報狀態為「休養或廢棄池」、「非魚塭」或連續2年為「空池（整池）」或「休養或廢棄池」，推估容許辦法106年6月28日修正前已無養殖事實，不符漁電共生申設條件卻仍劃入漁電公告區，允宜研議排除或督促市縣政府於受理申辦時嚴謹把關，以保障優良農地；4.依據農</w:t>
      </w:r>
      <w:r w:rsidR="00421477" w:rsidRPr="00CE57F9">
        <w:rPr>
          <w:rFonts w:ascii="標楷體" w:eastAsia="標楷體" w:hAnsi="標楷體" w:hint="eastAsia"/>
          <w:noProof/>
          <w:szCs w:val="24"/>
        </w:rPr>
        <w:t>業委員會漁業署提供之漁電共生容許使用通過案件總表，截至111年9月底止，已容許設置案件計589件，以屋頂型554件居多，且約7成（388件）位處關注減緩區或非公告區，因</w:t>
      </w:r>
      <w:r w:rsidR="00713654" w:rsidRPr="00CE57F9">
        <w:rPr>
          <w:rFonts w:ascii="標楷體" w:eastAsia="標楷體" w:hAnsi="標楷體" w:hint="eastAsia"/>
          <w:noProof/>
          <w:szCs w:val="24"/>
        </w:rPr>
        <w:t>屋頂型漁電共生</w:t>
      </w:r>
      <w:r w:rsidR="00421477" w:rsidRPr="00CE57F9">
        <w:rPr>
          <w:rFonts w:ascii="標楷體" w:eastAsia="標楷體" w:hAnsi="標楷體" w:hint="eastAsia"/>
          <w:noProof/>
          <w:szCs w:val="24"/>
        </w:rPr>
        <w:t>不須經環社檢核分級提出環境友善措施或環境因應對策，允宜審酌其對生態環境之影響程度，跨部會研商強化環社檢核機制之必要性；5</w:t>
      </w:r>
      <w:r w:rsidR="00421477" w:rsidRPr="00CE57F9">
        <w:rPr>
          <w:rFonts w:ascii="標楷體" w:eastAsia="標楷體" w:hAnsi="標楷體"/>
          <w:noProof/>
          <w:szCs w:val="24"/>
        </w:rPr>
        <w:t>.</w:t>
      </w:r>
      <w:r w:rsidR="00421477" w:rsidRPr="00CE57F9">
        <w:rPr>
          <w:rFonts w:ascii="標楷體" w:eastAsia="標楷體" w:hAnsi="標楷體" w:hint="eastAsia"/>
          <w:noProof/>
          <w:szCs w:val="24"/>
        </w:rPr>
        <w:t>漁電共生核准設置案場應實際從事養殖經營，依農業委員會函示，將以其漁產物具產銷履歷（或國際相關認驗證）、購買魚苗及飼料單據、放養量申報及</w:t>
      </w:r>
      <w:r w:rsidR="00421477" w:rsidRPr="009D11AD">
        <w:rPr>
          <w:rFonts w:ascii="標楷體" w:eastAsia="標楷體" w:hAnsi="標楷體" w:hint="eastAsia"/>
          <w:noProof/>
          <w:szCs w:val="24"/>
        </w:rPr>
        <w:t>魚貨交易等文件，作為判斷之參據；營運期間若未依經營計畫書辦理或未落實放養量申報，將以所提經營養殖物種於漁業統計年報近3年產量平均值7成，作為養殖經營事實之判定。惟據農業委員會漁業署說明，申請水產品產銷履歷驗證數量仍少，又購買魚苗及飼料單據、放養量申報等機制主要係為確保養殖行為，尚難等同保障產量與品質，允宜強化漁產物產量及品質之驗證措施，以兼顧漁業永續經營及綠能發展等情事，經函請行政院督促相關機關研謀改善。據復：1.農業委員會、經濟部於112年2月2日邀集交通部、財政部召開「非農業用地之既存魚塭辦理容許使用執行方式研商會議」，決議非農業用地之既存魚塭仍應納入電業籌設申請範圍，將採兩階段方式辦理，先就農業用地申請容許使用，俟通過容許後再依程序辦理非農業用地變更編定或補辦編定，以利加速太陽光電設置；非農業用地部分，光電業者須於取得電業執照前完成用地變更程序，農業委員會並於112年2月16日函請市縣政府遵循辦理；2.農業委員會漁業署將協請經濟部（水利署）及市縣政府提供魚塭合法用水資料，強化魚塭資訊整合；3.農業委員會業於112年2月20日修正容許辦法附表4，增訂僅限106年6月28日前既存養殖池且該期間有在養事實者，得申請室內水產養殖設施；有關在養事實之認定，應檢附用電證明、進苗證明或其他足資證明之文件；4.依112年2月20日修正之容許辦法附表4，既設室內水產養殖設施申請設置綠能設施（屋頂型漁電共生），僅限位於通過環社檢核機制，並經公告可優先推動漁業經營結合綠能之區位範圍；5</w:t>
      </w:r>
      <w:r w:rsidR="00421477" w:rsidRPr="009D11AD">
        <w:rPr>
          <w:rFonts w:ascii="標楷體" w:eastAsia="標楷體" w:hAnsi="標楷體"/>
          <w:noProof/>
          <w:szCs w:val="24"/>
        </w:rPr>
        <w:t>.</w:t>
      </w:r>
      <w:r w:rsidR="00421477" w:rsidRPr="009D11AD">
        <w:rPr>
          <w:rFonts w:ascii="標楷體" w:eastAsia="標楷體" w:hAnsi="標楷體" w:hint="eastAsia"/>
          <w:noProof/>
          <w:szCs w:val="24"/>
        </w:rPr>
        <w:t>為強化查核養殖漁業經營事實，農業委員會業</w:t>
      </w:r>
      <w:r w:rsidR="00421477" w:rsidRPr="00577CF1">
        <w:rPr>
          <w:rFonts w:ascii="標楷體" w:eastAsia="標楷體" w:hAnsi="標楷體" w:hint="eastAsia"/>
          <w:noProof/>
          <w:spacing w:val="-4"/>
          <w:szCs w:val="24"/>
        </w:rPr>
        <w:t>於111年12月8日函請市縣政府於核發農業容許（綠能容許）時，要求申請者主動取得水產品產銷履歷（或國際相關認驗證），並持續督促市縣政府落實依容許辦法第3</w:t>
      </w:r>
      <w:r w:rsidR="00421477" w:rsidRPr="00577CF1">
        <w:rPr>
          <w:rFonts w:ascii="標楷體" w:eastAsia="標楷體" w:hAnsi="標楷體"/>
          <w:noProof/>
          <w:spacing w:val="-4"/>
          <w:szCs w:val="24"/>
        </w:rPr>
        <w:t>3</w:t>
      </w:r>
      <w:r w:rsidR="00421477" w:rsidRPr="00577CF1">
        <w:rPr>
          <w:rFonts w:ascii="標楷體" w:eastAsia="標楷體" w:hAnsi="標楷體" w:hint="eastAsia"/>
          <w:noProof/>
          <w:spacing w:val="-4"/>
          <w:szCs w:val="24"/>
        </w:rPr>
        <w:t>條第2項規定辦理抽查。</w:t>
      </w:r>
    </w:p>
    <w:p w14:paraId="51129017" w14:textId="35ADCEB5" w:rsidR="00C53AA5" w:rsidRPr="00A85ADC" w:rsidRDefault="00043315" w:rsidP="00A85ADC">
      <w:pPr>
        <w:pStyle w:val="2"/>
        <w:overflowPunct w:val="0"/>
        <w:spacing w:beforeLines="20" w:before="72" w:afterLines="20" w:after="72" w:line="460" w:lineRule="exact"/>
        <w:ind w:left="0" w:firstLineChars="200" w:firstLine="561"/>
        <w:rPr>
          <w:b/>
          <w:sz w:val="28"/>
          <w:szCs w:val="28"/>
        </w:rPr>
      </w:pPr>
      <w:r w:rsidRPr="00A85ADC">
        <w:rPr>
          <w:rFonts w:hint="eastAsia"/>
          <w:b/>
          <w:sz w:val="28"/>
          <w:szCs w:val="28"/>
        </w:rPr>
        <w:t>（八）　政府為保障國民居住權益，已積極推動社會住宅及租金補貼等各項住宅政策及協助措施，惟房價居高不下及租屋黑市普遍存在，以致相關政策措施在解決青年世代之居住問題，尚無法有效協助並發揮作用，允宜妥謀因應善策，</w:t>
      </w:r>
      <w:r w:rsidRPr="00E9304D">
        <w:rPr>
          <w:rFonts w:hint="eastAsia"/>
          <w:b/>
          <w:sz w:val="28"/>
          <w:szCs w:val="28"/>
        </w:rPr>
        <w:lastRenderedPageBreak/>
        <w:t>協助青年有穩定可負擔的安居之所，以落實居住正義。</w:t>
      </w:r>
    </w:p>
    <w:p w14:paraId="14208699" w14:textId="48F89022" w:rsidR="00043315" w:rsidRPr="009D11AD" w:rsidRDefault="00043315" w:rsidP="00DA2751">
      <w:pPr>
        <w:overflowPunct w:val="0"/>
        <w:snapToGrid w:val="0"/>
        <w:spacing w:line="420" w:lineRule="exact"/>
        <w:ind w:firstLineChars="200" w:firstLine="480"/>
        <w:jc w:val="both"/>
        <w:rPr>
          <w:rFonts w:ascii="標楷體" w:eastAsia="標楷體" w:hAnsi="標楷體"/>
          <w:szCs w:val="24"/>
        </w:rPr>
      </w:pPr>
      <w:r w:rsidRPr="009D11AD">
        <w:rPr>
          <w:rFonts w:ascii="標楷體" w:eastAsia="標楷體" w:hAnsi="標楷體" w:hint="eastAsia"/>
          <w:szCs w:val="24"/>
        </w:rPr>
        <w:t>我國當前住宅與房市問題，包含高房價、高空屋、高自有率及社會住宅短缺</w:t>
      </w:r>
      <w:r w:rsidR="00833AB5" w:rsidRPr="00423AFC">
        <w:rPr>
          <w:rFonts w:ascii="標楷體" w:eastAsia="標楷體" w:hAnsi="標楷體" w:hint="eastAsia"/>
          <w:szCs w:val="24"/>
        </w:rPr>
        <w:t>等</w:t>
      </w:r>
      <w:r w:rsidRPr="009D11AD">
        <w:rPr>
          <w:rFonts w:ascii="標楷體" w:eastAsia="標楷體" w:hAnsi="標楷體" w:hint="eastAsia"/>
          <w:szCs w:val="24"/>
        </w:rPr>
        <w:t>，青年族群因尚在就學或就業未久，經濟基礎尚未穩固，</w:t>
      </w:r>
      <w:r w:rsidR="00833AB5">
        <w:rPr>
          <w:rFonts w:ascii="標楷體" w:eastAsia="標楷體" w:hAnsi="標楷體" w:hint="eastAsia"/>
          <w:szCs w:val="24"/>
        </w:rPr>
        <w:t>居住負擔更加沈重，</w:t>
      </w:r>
      <w:r w:rsidR="00833AB5" w:rsidRPr="00CE57F9">
        <w:rPr>
          <w:rFonts w:ascii="標楷體" w:eastAsia="標楷體" w:hAnsi="標楷體" w:hint="eastAsia"/>
          <w:szCs w:val="24"/>
        </w:rPr>
        <w:t>須付出更多的努力才得以獲得適居的住所</w:t>
      </w:r>
      <w:r w:rsidRPr="00CE57F9">
        <w:rPr>
          <w:rFonts w:ascii="標楷體" w:eastAsia="標楷體" w:hAnsi="標楷體" w:hint="eastAsia"/>
          <w:szCs w:val="24"/>
        </w:rPr>
        <w:t>。政府為解決上述問題，並保障國民居住權益，由內政部等機關積極推動各項住宅政策及協助措施，以使國人享有優質能負擔的居住環境。相關政策措施包括：內政部「整合住宅補貼資源實施方案」，每年提供一定所得及財產以下家庭或個人租金補貼、自購及修繕住宅貸款利息補貼，其中租金補貼部分，自111年度起擴大為「300億元中央擴大租金補貼專案計畫」（下稱300億元租金補貼專案計畫），預計補助50萬戶；內政部自106年起推動只租不售之社會住宅政策，預計8年（106至113年）間透過政府興建與包租代管，興辦20萬戶社會住宅；財政部為協助無自有住宅者購置房屋，由臺灣銀行</w:t>
      </w:r>
      <w:r w:rsidR="004D0849" w:rsidRPr="00CE57F9">
        <w:rPr>
          <w:rFonts w:ascii="標楷體" w:eastAsia="標楷體" w:hAnsi="標楷體" w:hint="eastAsia"/>
          <w:szCs w:val="24"/>
        </w:rPr>
        <w:t>股份有限公司</w:t>
      </w:r>
      <w:r w:rsidRPr="00CE57F9">
        <w:rPr>
          <w:rFonts w:ascii="標楷體" w:eastAsia="標楷體" w:hAnsi="標楷體" w:hint="eastAsia"/>
          <w:szCs w:val="24"/>
        </w:rPr>
        <w:t>等8家公股銀行配合以自有資金辦理「青年安心成家購屋優惠貸款」等。</w:t>
      </w:r>
      <w:r w:rsidR="00833AB5" w:rsidRPr="00CE57F9">
        <w:rPr>
          <w:rFonts w:ascii="標楷體" w:eastAsia="標楷體" w:hAnsi="標楷體" w:hint="eastAsia"/>
          <w:szCs w:val="24"/>
        </w:rPr>
        <w:t>經查政府推動各項住宅政策及協助措施，對於協助青年世代解決居住問題</w:t>
      </w:r>
      <w:r w:rsidRPr="00CE57F9">
        <w:rPr>
          <w:rFonts w:ascii="標楷體" w:eastAsia="標楷體" w:hAnsi="標楷體" w:hint="eastAsia"/>
          <w:szCs w:val="24"/>
        </w:rPr>
        <w:t>，核有下列事項：</w:t>
      </w:r>
    </w:p>
    <w:p w14:paraId="3ED84983" w14:textId="6EB7A2F7" w:rsidR="00043315" w:rsidRPr="009D11AD" w:rsidRDefault="00043315" w:rsidP="00DA2751">
      <w:pPr>
        <w:overflowPunct w:val="0"/>
        <w:snapToGrid w:val="0"/>
        <w:spacing w:line="416" w:lineRule="exact"/>
        <w:ind w:firstLineChars="450" w:firstLine="1081"/>
        <w:jc w:val="both"/>
        <w:rPr>
          <w:rFonts w:ascii="標楷體" w:eastAsia="標楷體" w:hAnsi="標楷體"/>
          <w:szCs w:val="24"/>
        </w:rPr>
      </w:pPr>
      <w:r w:rsidRPr="009D11AD">
        <w:rPr>
          <w:rFonts w:ascii="標楷體" w:eastAsia="標楷體" w:hAnsi="標楷體" w:hint="eastAsia"/>
          <w:b/>
          <w:szCs w:val="24"/>
        </w:rPr>
        <w:t>1.</w:t>
      </w:r>
      <w:r w:rsidRPr="009D11AD">
        <w:rPr>
          <w:rFonts w:ascii="標楷體" w:eastAsia="標楷體" w:hAnsi="標楷體" w:hint="eastAsia"/>
          <w:b/>
          <w:color w:val="000000"/>
          <w:szCs w:val="22"/>
        </w:rPr>
        <w:t xml:space="preserve">　</w:t>
      </w:r>
      <w:r w:rsidRPr="009D11AD">
        <w:rPr>
          <w:rFonts w:ascii="標楷體" w:eastAsia="標楷體" w:hAnsi="標楷體" w:hint="eastAsia"/>
          <w:b/>
          <w:szCs w:val="24"/>
        </w:rPr>
        <w:t>青年世代因高房價及低薪資而處於「買不起、租不好」之居住困境，政府雖已積極推動各項住宅政策措施，惟尚無法有效協助並發揮作用，未能確實減輕其居住負擔：</w:t>
      </w:r>
      <w:r w:rsidRPr="009D11AD">
        <w:rPr>
          <w:rFonts w:ascii="標楷體" w:eastAsia="標楷體" w:hAnsi="標楷體" w:hint="eastAsia"/>
          <w:szCs w:val="24"/>
        </w:rPr>
        <w:t>青年族群處於高房價及低薪資的環境下，購屋已是難以實現的目標，僅能以租屋來解決其居住需求。然而，近11年全國租金指數由101年1月之92.44成長至112年4月之103.38，租金指數已不斷創歷史新高，使得青年必須支付更高的租金始能解決其居住需求；如負擔能力不足，則須被迫承租環境及安全不盡理想之住所。經查內政部等機關已積極推動各項住宅政策及協助措施，對於青年族群所面臨之居住問題，以提供社會住宅及補貼式居住協助措施為主要對策。惟經檢視中央及地方政府興辦社會住宅情形，及前揭所推出租屋與購屋等相關居住協助措施，其協助或補助對象大多不以青年族群為限。在補助資源有限之情況下，亟待政府從下</w:t>
      </w:r>
      <w:r w:rsidR="009F3457" w:rsidRPr="009D11AD">
        <w:rPr>
          <w:rFonts w:ascii="標楷體" w:eastAsia="標楷體" w:hAnsi="標楷體" w:hint="eastAsia"/>
          <w:szCs w:val="24"/>
        </w:rPr>
        <w:t>述</w:t>
      </w:r>
      <w:r w:rsidRPr="009D11AD">
        <w:rPr>
          <w:rFonts w:ascii="標楷體" w:eastAsia="標楷體" w:hAnsi="標楷體" w:hint="eastAsia"/>
          <w:szCs w:val="24"/>
        </w:rPr>
        <w:t>3面向，就其所遭遇問題妥為規劃整體執行策略及周延配套措施，以確實減輕青年族群之居住負擔</w:t>
      </w:r>
      <w:r w:rsidR="009F3457" w:rsidRPr="009D11AD">
        <w:rPr>
          <w:rFonts w:ascii="標楷體" w:eastAsia="標楷體" w:hAnsi="標楷體" w:hint="eastAsia"/>
          <w:szCs w:val="24"/>
        </w:rPr>
        <w:t>：</w:t>
      </w:r>
      <w:r w:rsidRPr="009D11AD">
        <w:rPr>
          <w:rFonts w:ascii="標楷體" w:eastAsia="標楷體" w:hAnsi="標楷體" w:hint="eastAsia"/>
          <w:szCs w:val="24"/>
        </w:rPr>
        <w:t>（1）興辦社會住宅方面：截至112年3月底止，已完工（含既有）社會住宅2萬4,636戶，雖較105年11月之7,281戶增加1萬7,355戶，惟其數量遠低於經濟或社會弱勢族群需求，遑論青年族群；且從已招租社會住宅之平均中籤率觀之，臺北市、新北市、桃園市、臺中市及高雄市分別為5.70％、13.95％、26.55％、14.29％及7.18％，社會住宅在各地供不應求，青年族群中籤入住愈顯不易；（2）租屋方面：中央及地方政府均以提供租金補貼為主要協助措施，惟實際受限於房東意願，仍有許多符合資格之租屋族難以受惠，無法確實減輕其租屋負擔。如內政部辦理300億元租金補貼專案計畫，預計補貼50萬戶，惟實際申請32萬6,706戶、核定27萬8,717戶，執行率僅達55.74％，成效不盡理想；（3）購屋方面：財政部、內政部及部分市縣政府雖提供購屋優惠貸款或住宅貸款利息補貼等措施，但房價太高，青年族群經濟基礎仍未穩固，以其薪資或負擔能力，即使提供較高額度貸款、延長貸款年限或補貼貸款利息，購屋負擔依舊沈重。經函請行政院督促內政部會同相關主管機關，在政策擬定推動方面，允宜參考各界所提倡議，</w:t>
      </w:r>
      <w:r w:rsidRPr="004A0E31">
        <w:rPr>
          <w:rFonts w:ascii="標楷體" w:eastAsia="標楷體" w:hAnsi="標楷體" w:hint="eastAsia"/>
          <w:szCs w:val="24"/>
        </w:rPr>
        <w:lastRenderedPageBreak/>
        <w:t>從法規、制度及執行面，審慎規劃青年居住之供給、協助對策及配套措施，並結合中央有關部</w:t>
      </w:r>
      <w:r w:rsidRPr="009D11AD">
        <w:rPr>
          <w:rFonts w:ascii="標楷體" w:eastAsia="標楷體" w:hAnsi="標楷體" w:hint="eastAsia"/>
          <w:szCs w:val="24"/>
        </w:rPr>
        <w:t>會及地方政府資源共同協力合作；在健全住宅租售市場方面，允宜通盤檢討並持續精進已推動之政策措施，以抑制房市炒作，讓房價回歸合理價格，並逐步導正租屋市場地下化情形；在增加青年住宅供給方面，除加速社會住宅興建量能外，允宜研議運用閒置公有房舍（如校舍、眷改餘屋）及民間空屋作為出租住宅之可行性，或獎勵民間興辦社會住宅及企業提供員工宿舍等多元方式增加住宅供給量，以滿足青年居住需求。</w:t>
      </w:r>
      <w:r w:rsidR="001A4E56" w:rsidRPr="00DA2751">
        <w:rPr>
          <w:rFonts w:ascii="標楷體" w:eastAsia="標楷體" w:hAnsi="標楷體" w:hint="eastAsia"/>
          <w:szCs w:val="24"/>
        </w:rPr>
        <w:t>據復</w:t>
      </w:r>
      <w:r w:rsidR="001A4E56" w:rsidRPr="00833AB5">
        <w:rPr>
          <w:rFonts w:ascii="標楷體" w:eastAsia="標楷體" w:hAnsi="標楷體" w:hint="eastAsia"/>
          <w:szCs w:val="24"/>
        </w:rPr>
        <w:t>：</w:t>
      </w:r>
      <w:r w:rsidR="004A0E31" w:rsidRPr="00CE57F9">
        <w:rPr>
          <w:rFonts w:ascii="標楷體" w:eastAsia="標楷體" w:hAnsi="標楷體" w:hint="eastAsia"/>
          <w:szCs w:val="24"/>
        </w:rPr>
        <w:t>為解決高房價問題，</w:t>
      </w:r>
      <w:r w:rsidR="00776043" w:rsidRPr="00CE57F9">
        <w:rPr>
          <w:rFonts w:ascii="標楷體" w:eastAsia="標楷體" w:hAnsi="標楷體" w:hint="eastAsia"/>
          <w:szCs w:val="24"/>
        </w:rPr>
        <w:t>該院</w:t>
      </w:r>
      <w:r w:rsidR="00833AB5" w:rsidRPr="00CE57F9">
        <w:rPr>
          <w:rFonts w:ascii="標楷體" w:eastAsia="標楷體" w:hAnsi="標楷體" w:hint="eastAsia"/>
          <w:szCs w:val="24"/>
        </w:rPr>
        <w:t>已提出「健全房地產市場方案」由相關部會推動因應對策，內政部將持續不定期辦理預售屋聯合稽查；</w:t>
      </w:r>
      <w:r w:rsidR="00776043" w:rsidRPr="00CE57F9">
        <w:rPr>
          <w:rFonts w:ascii="標楷體" w:eastAsia="標楷體" w:hAnsi="標楷體" w:hint="eastAsia"/>
          <w:szCs w:val="24"/>
        </w:rPr>
        <w:t>內政</w:t>
      </w:r>
      <w:r w:rsidR="00833AB5" w:rsidRPr="00CE57F9">
        <w:rPr>
          <w:rFonts w:ascii="標楷體" w:eastAsia="標楷體" w:hAnsi="標楷體" w:hint="eastAsia"/>
          <w:szCs w:val="24"/>
        </w:rPr>
        <w:t>部並提出平均地權條例修正案，經總統於</w:t>
      </w:r>
      <w:r w:rsidR="00833AB5" w:rsidRPr="00CE57F9">
        <w:rPr>
          <w:rFonts w:ascii="標楷體" w:eastAsia="標楷體" w:hAnsi="標楷體"/>
          <w:szCs w:val="24"/>
        </w:rPr>
        <w:t>112年2月8日公布</w:t>
      </w:r>
      <w:r w:rsidR="00071712" w:rsidRPr="00CE57F9">
        <w:rPr>
          <w:rFonts w:ascii="標楷體" w:eastAsia="標楷體" w:hAnsi="標楷體" w:hint="eastAsia"/>
          <w:szCs w:val="24"/>
        </w:rPr>
        <w:t>、同</w:t>
      </w:r>
      <w:r w:rsidR="00833AB5" w:rsidRPr="00CE57F9">
        <w:rPr>
          <w:rFonts w:ascii="標楷體" w:eastAsia="標楷體" w:hAnsi="標楷體"/>
          <w:szCs w:val="24"/>
        </w:rPr>
        <w:t>年7月1日施行，其重點包括重罰炒作行為、限制預售屋換約轉售、建立私法人購買住宅許可制等，藉以防杜住宅淪為炒作工具，回歸反映正常</w:t>
      </w:r>
      <w:r w:rsidR="004A0E31" w:rsidRPr="00CE57F9">
        <w:rPr>
          <w:rFonts w:ascii="標楷體" w:eastAsia="標楷體" w:hAnsi="標楷體"/>
          <w:szCs w:val="24"/>
        </w:rPr>
        <w:t>理性交易價格。另</w:t>
      </w:r>
      <w:r w:rsidR="00776043" w:rsidRPr="00CE57F9">
        <w:rPr>
          <w:rFonts w:ascii="標楷體" w:eastAsia="標楷體" w:hAnsi="標楷體" w:hint="eastAsia"/>
          <w:szCs w:val="24"/>
        </w:rPr>
        <w:t>內政</w:t>
      </w:r>
      <w:r w:rsidR="004A0E31" w:rsidRPr="00CE57F9">
        <w:rPr>
          <w:rFonts w:ascii="標楷體" w:eastAsia="標楷體" w:hAnsi="標楷體"/>
          <w:szCs w:val="24"/>
        </w:rPr>
        <w:t>部每年持續辦理自購住宅貸款利息補貼，</w:t>
      </w:r>
      <w:r w:rsidR="00833AB5" w:rsidRPr="00CE57F9">
        <w:rPr>
          <w:rFonts w:ascii="標楷體" w:eastAsia="標楷體" w:hAnsi="標楷體"/>
          <w:szCs w:val="24"/>
        </w:rPr>
        <w:t>可減輕</w:t>
      </w:r>
      <w:r w:rsidR="004A0E31" w:rsidRPr="00CE57F9">
        <w:rPr>
          <w:rFonts w:ascii="標楷體" w:eastAsia="標楷體" w:hAnsi="標楷體"/>
          <w:szCs w:val="24"/>
        </w:rPr>
        <w:t>購屋族</w:t>
      </w:r>
      <w:r w:rsidR="00833AB5" w:rsidRPr="00CE57F9">
        <w:rPr>
          <w:rFonts w:ascii="標楷體" w:eastAsia="標楷體" w:hAnsi="標楷體"/>
          <w:szCs w:val="24"/>
        </w:rPr>
        <w:t>財務負擔，再加上</w:t>
      </w:r>
      <w:r w:rsidR="00776043" w:rsidRPr="00CE57F9">
        <w:rPr>
          <w:rFonts w:ascii="標楷體" w:eastAsia="標楷體" w:hAnsi="標楷體" w:hint="eastAsia"/>
          <w:szCs w:val="24"/>
        </w:rPr>
        <w:t>已</w:t>
      </w:r>
      <w:r w:rsidR="00833AB5" w:rsidRPr="00CE57F9">
        <w:rPr>
          <w:rFonts w:ascii="標楷體" w:eastAsia="標楷體" w:hAnsi="標楷體"/>
          <w:szCs w:val="24"/>
        </w:rPr>
        <w:t>受理申請之「中產以下自用住宅貸款戶支持專案」，政府對於購屋者已積極提供協助</w:t>
      </w:r>
      <w:r w:rsidR="001A4E56" w:rsidRPr="009D11AD">
        <w:rPr>
          <w:rFonts w:ascii="標楷體" w:eastAsia="標楷體" w:hAnsi="標楷體" w:hint="eastAsia"/>
          <w:szCs w:val="24"/>
        </w:rPr>
        <w:t>。</w:t>
      </w:r>
    </w:p>
    <w:p w14:paraId="0A890DB2" w14:textId="3660B116" w:rsidR="00043315" w:rsidRPr="009D11AD" w:rsidRDefault="00043315" w:rsidP="00DA2751">
      <w:pPr>
        <w:overflowPunct w:val="0"/>
        <w:snapToGrid w:val="0"/>
        <w:spacing w:line="416" w:lineRule="exact"/>
        <w:ind w:firstLineChars="450" w:firstLine="1081"/>
        <w:jc w:val="both"/>
        <w:rPr>
          <w:rFonts w:ascii="標楷體" w:eastAsia="標楷體" w:hAnsi="標楷體"/>
          <w:szCs w:val="24"/>
        </w:rPr>
      </w:pPr>
      <w:r w:rsidRPr="009D11AD">
        <w:rPr>
          <w:rFonts w:ascii="標楷體" w:eastAsia="標楷體" w:hAnsi="標楷體" w:hint="eastAsia"/>
          <w:b/>
          <w:szCs w:val="24"/>
        </w:rPr>
        <w:t>2</w:t>
      </w:r>
      <w:r w:rsidRPr="009D11AD">
        <w:rPr>
          <w:rFonts w:ascii="標楷體" w:eastAsia="標楷體" w:hAnsi="標楷體"/>
          <w:b/>
          <w:szCs w:val="24"/>
        </w:rPr>
        <w:t>.</w:t>
      </w:r>
      <w:r w:rsidRPr="009D11AD">
        <w:rPr>
          <w:rFonts w:ascii="標楷體" w:eastAsia="標楷體" w:hAnsi="標楷體" w:hint="eastAsia"/>
          <w:b/>
          <w:color w:val="000000"/>
          <w:szCs w:val="22"/>
        </w:rPr>
        <w:t xml:space="preserve">　</w:t>
      </w:r>
      <w:r w:rsidRPr="009D11AD">
        <w:rPr>
          <w:rFonts w:ascii="標楷體" w:eastAsia="標楷體" w:hAnsi="標楷體" w:hint="eastAsia"/>
          <w:b/>
          <w:szCs w:val="24"/>
        </w:rPr>
        <w:t>青年及經濟社會弱勢家戶多仰賴住宅租賃市場解決居住問題，惟租屋黑市長期普遍存在，致使房客權利難獲保障，亦讓政府所推租金補貼等協助措施未能確實發揮政策效益：</w:t>
      </w:r>
      <w:r w:rsidRPr="009D11AD">
        <w:rPr>
          <w:rFonts w:ascii="標楷體" w:eastAsia="標楷體" w:hAnsi="標楷體" w:hint="eastAsia"/>
          <w:szCs w:val="24"/>
        </w:rPr>
        <w:t>房價高漲，無力負擔而選擇租屋的民眾增加，據行政院主計總處109年人口及住宅普查統計，全國租用住宅者87萬5,622戶，較99年之80萬8,104戶增加6萬7,518戶。整體而言，租賃住宅市場供不應求，尤以北部地區及單人家戶之租屋需求為高，連帶影響租金持續上漲。此外，由於國內租賃住宅市場以個人出租型態為主，多數房東不願多繳稅，或以自用住宅稅率申報，逃避租屋收入課稅，造成政府對於租賃住宅市場掌握資訊非常有限，而產生租屋黑市或地下化問題；又政府尚無法有效引導房東揭露其租屋事實，促使租賃住宅市場透明化，以致中央及地方機關雖已積極推動租金補貼等居住協助措施，卻無法確實發揮政策效益，舉如：內政部辦理111年度300億元租金補貼專案計畫之執行率僅為55.74％；截至111年底止，臺北市「111年度臺北輕鬆住、租金分級補住宅租金加碼補貼」之執行率20.47％、新北市「111年度青年租金補貼」之執行率41.18％、臺中市育兒租金補貼</w:t>
      </w:r>
      <w:r w:rsidR="003B3BB7" w:rsidRPr="009D11AD">
        <w:rPr>
          <w:rFonts w:ascii="標楷體" w:eastAsia="標楷體" w:hAnsi="標楷體" w:hint="eastAsia"/>
          <w:szCs w:val="24"/>
        </w:rPr>
        <w:t>之</w:t>
      </w:r>
      <w:r w:rsidRPr="009D11AD">
        <w:rPr>
          <w:rFonts w:ascii="標楷體" w:eastAsia="標楷體" w:hAnsi="標楷體" w:hint="eastAsia"/>
          <w:szCs w:val="24"/>
        </w:rPr>
        <w:t>執行率23.02％、高雄市「111年度增額租金補貼作業計畫」之執行率0.52％等。另內政部為保障房客權利，雖已於「住宅租賃定型化契約應記載及不得記載事項」及「住宅租賃契約應約定及不得約定事項」，將不得申報租賃費用支出、不得遷入戶籍、由承租人負擔出租人增加之稅負等情，明確載明於不得記載及不得約定事項，惟房東不同意房客遷入戶籍、租金支出申報抵稅及申請租金補貼情形頻仍，甚或有以調漲租金或提前終止租約之方式，阻止房客申請租金補貼情事。經函請行政院督促內政部會同相關主管機關妥謀因應對策，逐步改善租屋黑市問題，強化保障租屋族群基本權益作為，並積極引導閒置空屋進入租屋市場增加供給，以促進租賃住宅市場健全發展，建構民眾安心租屋之居住環境。</w:t>
      </w:r>
      <w:r w:rsidR="001A4E56" w:rsidRPr="00DA2751">
        <w:rPr>
          <w:rFonts w:ascii="標楷體" w:eastAsia="標楷體" w:hAnsi="標楷體" w:hint="eastAsia"/>
          <w:szCs w:val="24"/>
        </w:rPr>
        <w:t>據復</w:t>
      </w:r>
      <w:r w:rsidR="001A4E56" w:rsidRPr="00BA05D5">
        <w:rPr>
          <w:rFonts w:ascii="標楷體" w:eastAsia="標楷體" w:hAnsi="標楷體" w:hint="eastAsia"/>
          <w:szCs w:val="24"/>
        </w:rPr>
        <w:t>：</w:t>
      </w:r>
      <w:r w:rsidR="004A0E31" w:rsidRPr="00CE57F9">
        <w:rPr>
          <w:rFonts w:ascii="標楷體" w:eastAsia="標楷體" w:hAnsi="標楷體" w:hint="eastAsia"/>
          <w:szCs w:val="24"/>
        </w:rPr>
        <w:t>（1）</w:t>
      </w:r>
      <w:r w:rsidR="00BA05D5" w:rsidRPr="00CE57F9">
        <w:rPr>
          <w:rFonts w:ascii="標楷體" w:eastAsia="標楷體" w:hAnsi="標楷體" w:hint="eastAsia"/>
          <w:szCs w:val="24"/>
        </w:rPr>
        <w:t>有關改善租屋黑市部分，內政部已研修租賃實價登錄與租賃住宅服務業提供租賃住宅資訊之申報項目，並將透過租賃實價登錄、租賃住宅服務業包租代管，以及擴大租金補貼申</w:t>
      </w:r>
      <w:r w:rsidR="00BA05D5" w:rsidRPr="00CE57F9">
        <w:rPr>
          <w:rFonts w:ascii="標楷體" w:eastAsia="標楷體" w:hAnsi="標楷體" w:hint="eastAsia"/>
          <w:szCs w:val="24"/>
        </w:rPr>
        <w:lastRenderedPageBreak/>
        <w:t>請等資料之蒐集，強化整合各租賃資料內容，進行分析統計，以促進租屋市場資訊掌握與透明化；另財政部已將租賃所得列入重點查核項目，加強查核持有多戶非自住住家用房屋者之租賃所得</w:t>
      </w:r>
      <w:r w:rsidR="00C152A1">
        <w:rPr>
          <w:rFonts w:ascii="標楷體" w:eastAsia="標楷體" w:hAnsi="標楷體" w:hint="eastAsia"/>
          <w:szCs w:val="24"/>
        </w:rPr>
        <w:t>；</w:t>
      </w:r>
      <w:r w:rsidR="004A0E31" w:rsidRPr="00CE57F9">
        <w:rPr>
          <w:rFonts w:ascii="標楷體" w:eastAsia="標楷體" w:hAnsi="標楷體" w:hint="eastAsia"/>
          <w:szCs w:val="24"/>
        </w:rPr>
        <w:t>（2）</w:t>
      </w:r>
      <w:r w:rsidR="00BA05D5" w:rsidRPr="00CE57F9">
        <w:rPr>
          <w:rFonts w:ascii="標楷體" w:eastAsia="標楷體" w:hAnsi="標楷體" w:hint="eastAsia"/>
          <w:szCs w:val="24"/>
        </w:rPr>
        <w:t>有關租屋權益保障部分，</w:t>
      </w:r>
      <w:r w:rsidR="00BA05D5" w:rsidRPr="00CE57F9">
        <w:rPr>
          <w:rFonts w:ascii="標楷體" w:eastAsia="標楷體" w:hAnsi="標楷體"/>
          <w:szCs w:val="24"/>
        </w:rPr>
        <w:t>112年2月8日租賃住宅市場發展及管理條例修正公布，</w:t>
      </w:r>
      <w:r w:rsidR="004A0E31" w:rsidRPr="00CE57F9">
        <w:rPr>
          <w:rFonts w:ascii="標楷體" w:eastAsia="標楷體" w:hAnsi="標楷體" w:hint="eastAsia"/>
          <w:szCs w:val="24"/>
        </w:rPr>
        <w:t>已</w:t>
      </w:r>
      <w:r w:rsidR="00BA05D5" w:rsidRPr="00CE57F9">
        <w:rPr>
          <w:rFonts w:ascii="標楷體" w:eastAsia="標楷體" w:hAnsi="標楷體"/>
          <w:szCs w:val="24"/>
        </w:rPr>
        <w:t>明定住宅租賃契約全面適用消費者保護法；另內政部於112年6月14日日修正發布「住宅租賃定型化契約應記載及不得記載事項」，明定不得記載承租人不得申請租金補貼之規定，保障承租人申請租金補貼權利</w:t>
      </w:r>
      <w:r w:rsidR="00C152A1">
        <w:rPr>
          <w:rFonts w:ascii="標楷體" w:eastAsia="標楷體" w:hAnsi="標楷體" w:hint="eastAsia"/>
          <w:szCs w:val="24"/>
        </w:rPr>
        <w:t>；</w:t>
      </w:r>
      <w:r w:rsidR="004A0E31" w:rsidRPr="00CE57F9">
        <w:rPr>
          <w:rFonts w:ascii="標楷體" w:eastAsia="標楷體" w:hAnsi="標楷體" w:hint="eastAsia"/>
          <w:szCs w:val="24"/>
        </w:rPr>
        <w:t>（3）</w:t>
      </w:r>
      <w:r w:rsidR="00BA05D5" w:rsidRPr="00CE57F9">
        <w:rPr>
          <w:rFonts w:ascii="標楷體" w:eastAsia="標楷體" w:hAnsi="標楷體"/>
          <w:szCs w:val="24"/>
        </w:rPr>
        <w:t>有關持續推動包租代管部分，包租代管服務網絡已逐步建構，引導閒置住宅釋出，擴大租屋供給，滿足租屋市場需求</w:t>
      </w:r>
      <w:r w:rsidR="001A4E56" w:rsidRPr="00CE57F9">
        <w:rPr>
          <w:rFonts w:ascii="標楷體" w:eastAsia="標楷體" w:hAnsi="標楷體" w:hint="eastAsia"/>
          <w:szCs w:val="24"/>
        </w:rPr>
        <w:t>。</w:t>
      </w:r>
    </w:p>
    <w:p w14:paraId="7664180F" w14:textId="0D763C33" w:rsidR="002E6473" w:rsidRPr="009D11AD" w:rsidRDefault="002E6473" w:rsidP="00860D54">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（九）　行政院為強化企業個資外洩罰責，</w:t>
      </w:r>
      <w:r w:rsidR="00A004DE">
        <w:rPr>
          <w:rFonts w:hAnsi="標楷體" w:hint="eastAsia"/>
          <w:b/>
          <w:color w:val="000000" w:themeColor="text1"/>
          <w:sz w:val="28"/>
          <w:szCs w:val="28"/>
        </w:rPr>
        <w:t>推動</w:t>
      </w:r>
      <w:r w:rsidRPr="009D11AD">
        <w:rPr>
          <w:rFonts w:hAnsi="標楷體" w:hint="eastAsia"/>
          <w:b/>
          <w:color w:val="000000" w:themeColor="text1"/>
          <w:sz w:val="28"/>
          <w:szCs w:val="28"/>
        </w:rPr>
        <w:t>個</w:t>
      </w:r>
      <w:r w:rsidR="00A004DE">
        <w:rPr>
          <w:rFonts w:hAnsi="標楷體" w:hint="eastAsia"/>
          <w:b/>
          <w:color w:val="000000" w:themeColor="text1"/>
          <w:sz w:val="28"/>
          <w:szCs w:val="28"/>
        </w:rPr>
        <w:t>人</w:t>
      </w:r>
      <w:r w:rsidRPr="009D11AD">
        <w:rPr>
          <w:rFonts w:hAnsi="標楷體" w:hint="eastAsia"/>
          <w:b/>
          <w:color w:val="000000" w:themeColor="text1"/>
          <w:sz w:val="28"/>
          <w:szCs w:val="28"/>
        </w:rPr>
        <w:t>資</w:t>
      </w:r>
      <w:r w:rsidR="00A004DE">
        <w:rPr>
          <w:rFonts w:hAnsi="標楷體" w:hint="eastAsia"/>
          <w:b/>
          <w:color w:val="000000" w:themeColor="text1"/>
          <w:sz w:val="28"/>
          <w:szCs w:val="28"/>
        </w:rPr>
        <w:t>料保護</w:t>
      </w:r>
      <w:r w:rsidRPr="009D11AD">
        <w:rPr>
          <w:rFonts w:hAnsi="標楷體" w:hint="eastAsia"/>
          <w:b/>
          <w:color w:val="000000" w:themeColor="text1"/>
          <w:sz w:val="28"/>
          <w:szCs w:val="28"/>
        </w:rPr>
        <w:t>法修正，業經立法院三讀通過，惟該法尚無規範公務機關個資外洩事件通報與應變機制及非公務機關延遲通報相關罰則，又部分主管機關辦理個資外洩案件通報與行政檢查有未臻周妥之處，亟待督促研謀因應，以維民眾權益</w:t>
      </w:r>
      <w:r w:rsidRPr="009D11AD">
        <w:rPr>
          <w:rFonts w:hAnsi="標楷體" w:hint="eastAsia"/>
          <w:b/>
          <w:color w:val="000000" w:themeColor="text1"/>
          <w:spacing w:val="-2"/>
          <w:sz w:val="28"/>
          <w:szCs w:val="28"/>
        </w:rPr>
        <w:t>。</w:t>
      </w:r>
    </w:p>
    <w:p w14:paraId="78FBF374" w14:textId="5730D53C" w:rsidR="002E6473" w:rsidRPr="00CE57F9" w:rsidRDefault="002E6473" w:rsidP="00DA2751">
      <w:pPr>
        <w:overflowPunct w:val="0"/>
        <w:adjustRightInd w:val="0"/>
        <w:snapToGrid w:val="0"/>
        <w:spacing w:line="416" w:lineRule="exact"/>
        <w:ind w:firstLineChars="210" w:firstLine="504"/>
        <w:jc w:val="both"/>
        <w:rPr>
          <w:rFonts w:ascii="標楷體" w:eastAsia="標楷體" w:hAnsi="標楷體"/>
          <w:bCs/>
          <w:szCs w:val="32"/>
        </w:rPr>
      </w:pPr>
      <w:r w:rsidRPr="009D11AD">
        <w:rPr>
          <w:rFonts w:ascii="標楷體" w:eastAsia="標楷體" w:hAnsi="標楷體" w:hint="eastAsia"/>
          <w:bCs/>
          <w:szCs w:val="32"/>
        </w:rPr>
        <w:t>政府為使個人資料（下稱個資）受到適當保護，經參考亞太經濟合作（</w:t>
      </w:r>
      <w:r w:rsidRPr="009D11AD">
        <w:rPr>
          <w:rFonts w:ascii="標楷體" w:eastAsia="標楷體" w:hAnsi="標楷體"/>
          <w:bCs/>
          <w:szCs w:val="32"/>
        </w:rPr>
        <w:t>Asia-Pacific Economic Cooperation</w:t>
      </w:r>
      <w:r w:rsidRPr="009D11AD">
        <w:rPr>
          <w:rFonts w:ascii="標楷體" w:eastAsia="標楷體" w:hAnsi="標楷體" w:hint="eastAsia"/>
          <w:bCs/>
          <w:szCs w:val="32"/>
        </w:rPr>
        <w:t>）個資隱私權保護分組制定之隱私權保護原則，於99年5月26日修正公布個人資料保護法（下稱個資法），規範任何人及機關團體都必須遵守個資保護，嗣於1</w:t>
      </w:r>
      <w:r w:rsidRPr="009D11AD">
        <w:rPr>
          <w:rFonts w:ascii="標楷體" w:eastAsia="標楷體" w:hAnsi="標楷體"/>
          <w:bCs/>
          <w:szCs w:val="32"/>
        </w:rPr>
        <w:t>04</w:t>
      </w:r>
      <w:r w:rsidRPr="009D11AD">
        <w:rPr>
          <w:rFonts w:ascii="標楷體" w:eastAsia="標楷體" w:hAnsi="標楷體" w:hint="eastAsia"/>
          <w:bCs/>
          <w:szCs w:val="32"/>
        </w:rPr>
        <w:t>年1</w:t>
      </w:r>
      <w:r w:rsidRPr="009D11AD">
        <w:rPr>
          <w:rFonts w:ascii="標楷體" w:eastAsia="標楷體" w:hAnsi="標楷體"/>
          <w:bCs/>
          <w:szCs w:val="32"/>
        </w:rPr>
        <w:t>2</w:t>
      </w:r>
      <w:r w:rsidRPr="009D11AD">
        <w:rPr>
          <w:rFonts w:ascii="標楷體" w:eastAsia="標楷體" w:hAnsi="標楷體" w:hint="eastAsia"/>
          <w:bCs/>
          <w:szCs w:val="32"/>
        </w:rPr>
        <w:t>月3</w:t>
      </w:r>
      <w:r w:rsidRPr="009D11AD">
        <w:rPr>
          <w:rFonts w:ascii="標楷體" w:eastAsia="標楷體" w:hAnsi="標楷體"/>
          <w:bCs/>
          <w:szCs w:val="32"/>
        </w:rPr>
        <w:t>0</w:t>
      </w:r>
      <w:r w:rsidRPr="009D11AD">
        <w:rPr>
          <w:rFonts w:ascii="標楷體" w:eastAsia="標楷體" w:hAnsi="標楷體" w:hint="eastAsia"/>
          <w:bCs/>
          <w:szCs w:val="32"/>
        </w:rPr>
        <w:t>日再次修正，並自1</w:t>
      </w:r>
      <w:r w:rsidRPr="009D11AD">
        <w:rPr>
          <w:rFonts w:ascii="標楷體" w:eastAsia="標楷體" w:hAnsi="標楷體"/>
          <w:bCs/>
          <w:szCs w:val="32"/>
        </w:rPr>
        <w:t>05</w:t>
      </w:r>
      <w:r w:rsidRPr="009D11AD">
        <w:rPr>
          <w:rFonts w:ascii="標楷體" w:eastAsia="標楷體" w:hAnsi="標楷體" w:hint="eastAsia"/>
          <w:bCs/>
          <w:szCs w:val="32"/>
        </w:rPr>
        <w:t>年</w:t>
      </w:r>
      <w:r w:rsidRPr="009D11AD">
        <w:rPr>
          <w:rFonts w:ascii="標楷體" w:eastAsia="標楷體" w:hAnsi="標楷體"/>
          <w:bCs/>
          <w:szCs w:val="32"/>
        </w:rPr>
        <w:t>3</w:t>
      </w:r>
      <w:r w:rsidRPr="009D11AD">
        <w:rPr>
          <w:rFonts w:ascii="標楷體" w:eastAsia="標楷體" w:hAnsi="標楷體" w:hint="eastAsia"/>
          <w:bCs/>
          <w:szCs w:val="32"/>
        </w:rPr>
        <w:t>月1</w:t>
      </w:r>
      <w:r w:rsidRPr="009D11AD">
        <w:rPr>
          <w:rFonts w:ascii="標楷體" w:eastAsia="標楷體" w:hAnsi="標楷體"/>
          <w:bCs/>
          <w:szCs w:val="32"/>
        </w:rPr>
        <w:t>5</w:t>
      </w:r>
      <w:r w:rsidRPr="009D11AD">
        <w:rPr>
          <w:rFonts w:ascii="標楷體" w:eastAsia="標楷體" w:hAnsi="標楷體" w:hint="eastAsia"/>
          <w:bCs/>
          <w:szCs w:val="32"/>
        </w:rPr>
        <w:t>日施行。行政院為防止非公務機關個資檔案外洩，加強所屬中央目的事業主管機關對非公務機關個資保護之監管，以落實非公務機關個資檔案之安全維護，於110年8月11日訂定行政院及所屬各機關落實個人資料保護聯繫作業要點（下稱聯繫要點），明定強化監管措施，要求各機關落實執行。又交通部為使汽車運輸業及民用航空事業採行適當安全措施保護個資檔案，分別訂定汽車運輸業個人資料檔案安全維護計畫及處理辦法（下稱汽車業安維辦法）、民用航空事業個人資料檔案安全維護計畫及處理辦法</w:t>
      </w:r>
      <w:r w:rsidR="004A12FC" w:rsidRPr="00CE57F9">
        <w:rPr>
          <w:rFonts w:ascii="標楷體" w:eastAsia="標楷體" w:hAnsi="標楷體" w:hint="eastAsia"/>
          <w:bCs/>
          <w:color w:val="000000" w:themeColor="text1"/>
          <w:szCs w:val="32"/>
        </w:rPr>
        <w:t>；經濟部為監管數位經濟相關產業類非公務機關個資檔案安全維護管理情形，訂定網際網路零售業及網際網路零售服務平台業個人資料檔案安全維護計畫及業務終止後個人資料處理作業辦法（</w:t>
      </w:r>
      <w:r w:rsidR="004A12FC" w:rsidRPr="00CE57F9">
        <w:rPr>
          <w:rFonts w:ascii="標楷體" w:eastAsia="標楷體" w:hAnsi="標楷體"/>
          <w:bCs/>
          <w:color w:val="000000" w:themeColor="text1"/>
          <w:szCs w:val="32"/>
        </w:rPr>
        <w:t>下稱</w:t>
      </w:r>
      <w:bookmarkStart w:id="1" w:name="_Hlk139442466"/>
      <w:r w:rsidR="004A12FC" w:rsidRPr="00CE57F9">
        <w:rPr>
          <w:rFonts w:ascii="標楷體" w:eastAsia="標楷體" w:hAnsi="標楷體" w:hint="eastAsia"/>
          <w:bCs/>
          <w:color w:val="000000" w:themeColor="text1"/>
          <w:szCs w:val="32"/>
        </w:rPr>
        <w:t>網際網路零售業安維辦法</w:t>
      </w:r>
      <w:bookmarkEnd w:id="1"/>
      <w:r w:rsidR="004A12FC" w:rsidRPr="00CE57F9">
        <w:rPr>
          <w:rFonts w:ascii="標楷體" w:eastAsia="標楷體" w:hAnsi="標楷體" w:hint="eastAsia"/>
          <w:bCs/>
          <w:color w:val="000000" w:themeColor="text1"/>
          <w:szCs w:val="32"/>
        </w:rPr>
        <w:t>）</w:t>
      </w:r>
      <w:r w:rsidRPr="00CE57F9">
        <w:rPr>
          <w:rFonts w:ascii="標楷體" w:eastAsia="標楷體" w:hAnsi="標楷體" w:hint="eastAsia"/>
          <w:bCs/>
          <w:szCs w:val="32"/>
        </w:rPr>
        <w:t>，以落實個資檔案之安全維護與管理，防止被竊取、竄改、毀損、滅失或洩漏等事宜。經查政府監督汽車運輸業</w:t>
      </w:r>
      <w:r w:rsidR="004A12FC" w:rsidRPr="00CE57F9">
        <w:rPr>
          <w:rFonts w:ascii="標楷體" w:eastAsia="標楷體" w:hAnsi="標楷體" w:hint="eastAsia"/>
          <w:bCs/>
          <w:szCs w:val="32"/>
        </w:rPr>
        <w:t>、</w:t>
      </w:r>
      <w:r w:rsidRPr="00CE57F9">
        <w:rPr>
          <w:rFonts w:ascii="標楷體" w:eastAsia="標楷體" w:hAnsi="標楷體" w:hint="eastAsia"/>
          <w:bCs/>
          <w:szCs w:val="32"/>
        </w:rPr>
        <w:t>民用航空事業</w:t>
      </w:r>
      <w:r w:rsidR="004A12FC" w:rsidRPr="00CE57F9">
        <w:rPr>
          <w:rFonts w:ascii="標楷體" w:eastAsia="標楷體" w:hAnsi="標楷體" w:hint="eastAsia"/>
          <w:bCs/>
          <w:color w:val="000000" w:themeColor="text1"/>
          <w:szCs w:val="32"/>
        </w:rPr>
        <w:t>、網際網路零售業及網際網路零售服務平台業</w:t>
      </w:r>
      <w:r w:rsidRPr="00CE57F9">
        <w:rPr>
          <w:rFonts w:ascii="標楷體" w:eastAsia="標楷體" w:hAnsi="標楷體" w:hint="eastAsia"/>
          <w:bCs/>
          <w:szCs w:val="32"/>
        </w:rPr>
        <w:t>個資檔案管理情形，核有下列事項：</w:t>
      </w:r>
    </w:p>
    <w:p w14:paraId="74B79AA7" w14:textId="1FE0FC82" w:rsidR="002E6473" w:rsidRPr="00DA2751" w:rsidRDefault="002E6473" w:rsidP="00DA2751">
      <w:pPr>
        <w:overflowPunct w:val="0"/>
        <w:adjustRightInd w:val="0"/>
        <w:snapToGrid w:val="0"/>
        <w:spacing w:line="416" w:lineRule="exact"/>
        <w:ind w:firstLineChars="450" w:firstLine="1081"/>
        <w:jc w:val="both"/>
        <w:rPr>
          <w:rFonts w:ascii="標楷體" w:eastAsia="標楷體" w:hAnsi="標楷體"/>
          <w:kern w:val="0"/>
          <w:szCs w:val="32"/>
        </w:rPr>
      </w:pPr>
      <w:r w:rsidRPr="009D11AD">
        <w:rPr>
          <w:rFonts w:ascii="標楷體" w:eastAsia="標楷體" w:hAnsi="標楷體"/>
          <w:b/>
          <w:kern w:val="0"/>
          <w:szCs w:val="32"/>
        </w:rPr>
        <w:t>1</w:t>
      </w:r>
      <w:r w:rsidRPr="009D11AD">
        <w:rPr>
          <w:rFonts w:ascii="標楷體" w:eastAsia="標楷體" w:hAnsi="標楷體" w:hint="eastAsia"/>
          <w:b/>
          <w:kern w:val="0"/>
          <w:szCs w:val="32"/>
        </w:rPr>
        <w:t>.</w:t>
      </w:r>
      <w:r w:rsidRPr="009D11AD">
        <w:rPr>
          <w:rFonts w:ascii="標楷體" w:eastAsia="標楷體" w:hAnsi="標楷體" w:hint="eastAsia"/>
          <w:b/>
          <w:color w:val="000000"/>
          <w:szCs w:val="22"/>
        </w:rPr>
        <w:t xml:space="preserve">　</w:t>
      </w:r>
      <w:r w:rsidRPr="009D11AD">
        <w:rPr>
          <w:rFonts w:ascii="標楷體" w:eastAsia="標楷體" w:hAnsi="標楷體" w:hint="eastAsia"/>
          <w:b/>
          <w:kern w:val="0"/>
          <w:szCs w:val="32"/>
        </w:rPr>
        <w:t>個資法尚無規範公務機關發生個資外洩事件之通報與應辦機制，及非公務機關發生應通報案件而遲延通報之相關罰則：</w:t>
      </w:r>
      <w:r w:rsidRPr="00DA2751">
        <w:rPr>
          <w:rFonts w:ascii="標楷體" w:eastAsia="標楷體" w:hAnsi="標楷體" w:hint="eastAsia"/>
          <w:kern w:val="0"/>
          <w:szCs w:val="32"/>
        </w:rPr>
        <w:t>國家發展委員會為符合</w:t>
      </w:r>
      <w:r w:rsidRPr="00DA2751">
        <w:rPr>
          <w:rFonts w:ascii="標楷體" w:eastAsia="標楷體" w:hAnsi="標楷體"/>
          <w:kern w:val="0"/>
          <w:szCs w:val="32"/>
        </w:rPr>
        <w:t>111年憲法法庭宣示第13號判決意旨、國家人權行動計畫之規劃及國際趨勢，並提高個資外洩事件相關罰責，提出個資法第1條之1、第48條、第56條修正草案，增訂由個資保護委員會擔任個資法主管機關，暨修正非公務機關違反安全維護義務之裁罰方式及額度，改為逕行處罰同時命改正，並提高罰鍰上限，經行政院核轉立法院審議，業經立法院於112年5月16日三讀通過。行政院後續將儘速設立個資保護委員會籌備處，推動組織法草案及第2階段個資法修正工作。經查公務機關保管個資發生</w:t>
      </w:r>
      <w:r w:rsidRPr="004A0E31">
        <w:rPr>
          <w:rFonts w:ascii="標楷體" w:eastAsia="標楷體" w:hAnsi="標楷體"/>
          <w:kern w:val="0"/>
          <w:szCs w:val="32"/>
        </w:rPr>
        <w:lastRenderedPageBreak/>
        <w:t>外洩時，因個資法僅規範公務機關對個資之蒐集、處理及利用，未訂定相關通報機制，如公務</w:t>
      </w:r>
      <w:r w:rsidRPr="00DA2751">
        <w:rPr>
          <w:rFonts w:ascii="標楷體" w:eastAsia="標楷體" w:hAnsi="標楷體"/>
          <w:kern w:val="0"/>
          <w:szCs w:val="32"/>
        </w:rPr>
        <w:t>機關個資外洩案件經研判屬資通安全事件者，得依循各該機關按資通安全管理法第14條第1項及第2項規定所設置之通報及應變機制，於知悉資通安全事件時，辦理通報上級機關或監</w:t>
      </w:r>
      <w:r w:rsidRPr="00DA2751">
        <w:rPr>
          <w:rFonts w:ascii="標楷體" w:eastAsia="標楷體" w:hAnsi="標楷體" w:hint="eastAsia"/>
          <w:kern w:val="0"/>
          <w:szCs w:val="32"/>
        </w:rPr>
        <w:t>督機關，並應通報主管機關等事宜；惟另屬非資通安全事件者，因個資法條文並無訂定公務機關應通報及應變機制之一致標準規範，當事件發生時，未能即時採取緊急警示與危機處理等相關措施，以有效縮短處理應變時間，及儘速降低對民眾損害之影響程度，恐使公務機關違法之損害賠償風險驟增。又聯繫要點第</w:t>
      </w:r>
      <w:r w:rsidRPr="00DA2751">
        <w:rPr>
          <w:rFonts w:ascii="標楷體" w:eastAsia="標楷體" w:hAnsi="標楷體"/>
          <w:kern w:val="0"/>
          <w:szCs w:val="32"/>
        </w:rPr>
        <w:t>6點第1項規定已規範中央目的事業主管機關應依規定期限內完成通報程序，惟因現行個資法第47條至第49條之行政罰鍰，僅涵蓋非公務機關違反該法有關蒐集、處理及利用個資等相關罰則規定，致聯繫要點尚無法源依據可就非公務機關若有延遲通報行為，訂定相關處罰機制，無法即時防制違規再犯。鑑於行政院後續將儘速設立個資保護委員會籌備處，推動組織法草案及第2階段個資法修正工作，為周延法規及相關作業機制，經函請行政院督促研議相關配套措施或評估納入個資法未來修正條文之參考，以利機關作業依循，並強化監督力道。</w:t>
      </w:r>
    </w:p>
    <w:p w14:paraId="4C1AD322" w14:textId="5DE334D9" w:rsidR="004A12FC" w:rsidRDefault="002E6473" w:rsidP="00DA2751">
      <w:pPr>
        <w:overflowPunct w:val="0"/>
        <w:adjustRightInd w:val="0"/>
        <w:snapToGrid w:val="0"/>
        <w:spacing w:line="416" w:lineRule="exact"/>
        <w:ind w:firstLineChars="450" w:firstLine="1081"/>
        <w:jc w:val="both"/>
        <w:rPr>
          <w:rFonts w:ascii="標楷體" w:eastAsia="標楷體" w:hAnsi="標楷體"/>
          <w:bCs/>
          <w:kern w:val="0"/>
          <w:szCs w:val="32"/>
        </w:rPr>
      </w:pPr>
      <w:r w:rsidRPr="00DA2751">
        <w:rPr>
          <w:rFonts w:ascii="標楷體" w:eastAsia="標楷體" w:hAnsi="標楷體"/>
          <w:b/>
          <w:kern w:val="0"/>
          <w:szCs w:val="32"/>
        </w:rPr>
        <w:t>2.</w:t>
      </w:r>
      <w:r w:rsidRPr="00DA2751">
        <w:rPr>
          <w:rFonts w:ascii="標楷體" w:eastAsia="標楷體" w:hAnsi="標楷體" w:hint="eastAsia"/>
          <w:b/>
          <w:color w:val="000000"/>
          <w:szCs w:val="22"/>
        </w:rPr>
        <w:t xml:space="preserve">　</w:t>
      </w:r>
      <w:r w:rsidRPr="00DA2751">
        <w:rPr>
          <w:rFonts w:ascii="標楷體" w:eastAsia="標楷體" w:hAnsi="標楷體" w:hint="eastAsia"/>
          <w:b/>
          <w:color w:val="000000"/>
          <w:szCs w:val="32"/>
        </w:rPr>
        <w:t>部分主管機關對個資外洩案件通報及行政檢查情形未臻周妥，亟待評估納入個資保護委員會未來運作機制，並研擬短期因應對策</w:t>
      </w:r>
      <w:r w:rsidRPr="00DA2751">
        <w:rPr>
          <w:rFonts w:ascii="標楷體" w:eastAsia="標楷體" w:hAnsi="標楷體" w:hint="eastAsia"/>
          <w:b/>
          <w:kern w:val="0"/>
          <w:szCs w:val="32"/>
        </w:rPr>
        <w:t>：</w:t>
      </w:r>
      <w:r w:rsidRPr="00DA2751">
        <w:rPr>
          <w:rFonts w:ascii="標楷體" w:eastAsia="標楷體" w:hAnsi="標楷體" w:hint="eastAsia"/>
          <w:bCs/>
          <w:kern w:val="0"/>
          <w:szCs w:val="32"/>
        </w:rPr>
        <w:t>個資法第</w:t>
      </w:r>
      <w:r w:rsidRPr="00DA2751">
        <w:rPr>
          <w:rFonts w:ascii="標楷體" w:eastAsia="標楷體" w:hAnsi="標楷體"/>
          <w:bCs/>
          <w:kern w:val="0"/>
          <w:szCs w:val="32"/>
        </w:rPr>
        <w:t>27條第2項及第3項規定，中央目的事業主管機關得指定非公務機關訂定個資檔案安全維護計畫（下稱安維計畫）或業務終止後個資處理方法；安維計畫及處理方法之標準等相關事項之辦法，由中央目的事業主管機關定之。同法第22條第1項規定，中央目的事業主管機關或直轄市、縣（市）政府為執行例行性業務檢查而認有必要或有違反本法規定之虞時，得派員攜帶執行職務證明文件進入檢查。又聯繫要點已規範重大矚目之個資外洩案件範圍，包括經平面媒體全國性版面報導、電子媒體專題討論，以及中央目的事業主管機關對個資外洩案件之行政檢查流程。交通部亦依個資法第27條第3項規定，訂定汽車業安維辦法（自111年4月29日施行），其中第3條第2項規定，應訂定安維計畫者，應於該辦法施行之日起6個月內完成計畫訂定。經查和○公司及格○公司分別於112年1月28日及同年2月2日發生個資外洩事件，惟</w:t>
      </w:r>
      <w:r w:rsidR="00C152A1">
        <w:rPr>
          <w:rFonts w:ascii="標楷體" w:eastAsia="標楷體" w:hAnsi="標楷體" w:hint="eastAsia"/>
          <w:bCs/>
          <w:kern w:val="0"/>
          <w:szCs w:val="32"/>
        </w:rPr>
        <w:t>交通部</w:t>
      </w:r>
      <w:r w:rsidRPr="00DA2751">
        <w:rPr>
          <w:rFonts w:ascii="標楷體" w:eastAsia="標楷體" w:hAnsi="標楷體" w:hint="eastAsia"/>
          <w:bCs/>
          <w:kern w:val="0"/>
          <w:szCs w:val="32"/>
        </w:rPr>
        <w:t>公路總局分別於同年</w:t>
      </w:r>
      <w:r w:rsidRPr="00DA2751">
        <w:rPr>
          <w:rFonts w:ascii="標楷體" w:eastAsia="標楷體" w:hAnsi="標楷體"/>
          <w:bCs/>
          <w:kern w:val="0"/>
          <w:szCs w:val="32"/>
        </w:rPr>
        <w:t>2月1日及2月3日辦理行政檢查時，始發現該等公司未訂定安維計畫及處理辦法等違規行為，距應完成計畫訂定日（111年10月底）已逾3個月，顯示該局執行非公務機關例行性業務檢查作業，未妥適評估並訂定例行性檢查之頻率與方式，致未能有效發揮平時監督與稽核功能，無法及早發現業者未對消費者個資檔案安全採行適當維護計畫及處理方法等異常情況。又聯繫要點雖已規範非公務機關之個資外洩案件通報機制，並由各中央目的事業主管機關或直轄市、縣（市）政府負責監督，惟當個資外洩案件發生時，因重大矚目案件實務認定標準不同、行政檢查程序規範未賦予主管機關得視個案情節評估行政檢查必要性之彈性、或缺乏單一通報管道等，造成各目的事業主管機關對事件類型認定標準不一致、視個案情節判斷而未依規定辦理行政檢查、或業者因經營項目分屬不同機關轄管範圍，致應行通報對象未臻完備，耽延機關後續處置作為等情事，</w:t>
      </w:r>
      <w:r w:rsidRPr="00DA2751">
        <w:rPr>
          <w:rFonts w:ascii="標楷體" w:eastAsia="標楷體" w:hAnsi="標楷體"/>
          <w:bCs/>
          <w:kern w:val="0"/>
          <w:szCs w:val="32"/>
        </w:rPr>
        <w:lastRenderedPageBreak/>
        <w:t>除影響</w:t>
      </w:r>
      <w:r w:rsidRPr="00873E00">
        <w:rPr>
          <w:rFonts w:ascii="標楷體" w:eastAsia="標楷體" w:hAnsi="標楷體"/>
          <w:bCs/>
          <w:kern w:val="0"/>
          <w:szCs w:val="32"/>
        </w:rPr>
        <w:t>處理時效外，</w:t>
      </w:r>
      <w:r w:rsidR="00A004DE" w:rsidRPr="00873E00">
        <w:rPr>
          <w:rFonts w:ascii="標楷體" w:eastAsia="標楷體" w:hAnsi="標楷體" w:hint="eastAsia"/>
          <w:bCs/>
          <w:kern w:val="0"/>
          <w:szCs w:val="32"/>
        </w:rPr>
        <w:t>亦</w:t>
      </w:r>
      <w:r w:rsidRPr="00873E00">
        <w:rPr>
          <w:rFonts w:ascii="標楷體" w:eastAsia="標楷體" w:hAnsi="標楷體"/>
          <w:bCs/>
          <w:kern w:val="0"/>
          <w:szCs w:val="32"/>
        </w:rPr>
        <w:t>有違聯繫要點規範。另於個資保護委員會成立前，國內缺乏單一通報管</w:t>
      </w:r>
      <w:r w:rsidRPr="00873E00">
        <w:rPr>
          <w:rFonts w:ascii="標楷體" w:eastAsia="標楷體" w:hAnsi="標楷體" w:hint="eastAsia"/>
          <w:bCs/>
          <w:kern w:val="0"/>
          <w:szCs w:val="32"/>
        </w:rPr>
        <w:t>道機制，</w:t>
      </w:r>
      <w:r w:rsidRPr="00DA2751">
        <w:rPr>
          <w:rFonts w:ascii="標楷體" w:eastAsia="標楷體" w:hAnsi="標楷體" w:hint="eastAsia"/>
          <w:bCs/>
          <w:kern w:val="0"/>
          <w:szCs w:val="32"/>
        </w:rPr>
        <w:t>倘若一般民眾發現個資外洩事件，因難以立即確認適切之主責機關，並作出緊急事件通報，恐無法及時阻卻該等個資存取控制持續失效之情境，且民眾亦無從瞭解個資外洩案件處理情形與進度，存有危害民眾個資和隱私等數位基本人權之風險。為周延未來個資保護委員會之運作機制，經函請行政院審慎檢討及規劃例行性行政檢查作業時機與方式，並就事件類型認定標準、通報管道及行政檢查必要性，重新檢視及研謀共同性標準，以提高個資外洩事件緊急處理時效，發揮專責機關監督功能，降低個資外洩風險；另於個資保護委員會正式成立前，亦宜研擬短期因應對策，俾維護民眾權益。</w:t>
      </w:r>
    </w:p>
    <w:p w14:paraId="4B5C59E0" w14:textId="7A3C3507" w:rsidR="004A12FC" w:rsidRPr="00CE57F9" w:rsidRDefault="004A12FC" w:rsidP="00873E00">
      <w:pPr>
        <w:overflowPunct w:val="0"/>
        <w:adjustRightInd w:val="0"/>
        <w:snapToGrid w:val="0"/>
        <w:spacing w:line="410" w:lineRule="exact"/>
        <w:ind w:firstLineChars="450" w:firstLine="1081"/>
        <w:jc w:val="both"/>
        <w:rPr>
          <w:rFonts w:ascii="標楷體" w:eastAsia="標楷體" w:hAnsi="標楷體"/>
          <w:bCs/>
          <w:color w:val="000000" w:themeColor="text1"/>
          <w:kern w:val="0"/>
          <w:szCs w:val="32"/>
        </w:rPr>
      </w:pPr>
      <w:r w:rsidRPr="00CE57F9">
        <w:rPr>
          <w:rFonts w:ascii="標楷體" w:eastAsia="標楷體" w:hAnsi="標楷體"/>
          <w:b/>
          <w:color w:val="000000" w:themeColor="text1"/>
          <w:kern w:val="0"/>
          <w:szCs w:val="32"/>
        </w:rPr>
        <w:t>3.</w:t>
      </w:r>
      <w:r w:rsidRPr="00CE57F9">
        <w:rPr>
          <w:rFonts w:ascii="標楷體" w:eastAsia="標楷體" w:hAnsi="標楷體" w:hint="eastAsia"/>
          <w:b/>
          <w:color w:val="000000" w:themeColor="text1"/>
          <w:szCs w:val="22"/>
        </w:rPr>
        <w:t xml:space="preserve">　</w:t>
      </w:r>
      <w:r w:rsidR="004A0E31" w:rsidRPr="00CE57F9">
        <w:rPr>
          <w:rFonts w:ascii="標楷體" w:eastAsia="標楷體" w:hAnsi="標楷體" w:hint="eastAsia"/>
          <w:b/>
          <w:color w:val="000000" w:themeColor="text1"/>
          <w:szCs w:val="32"/>
        </w:rPr>
        <w:t>經濟部</w:t>
      </w:r>
      <w:r w:rsidRPr="00CE57F9">
        <w:rPr>
          <w:rFonts w:ascii="標楷體" w:eastAsia="標楷體" w:hAnsi="標楷體" w:hint="eastAsia"/>
          <w:b/>
          <w:color w:val="000000" w:themeColor="text1"/>
          <w:szCs w:val="32"/>
        </w:rPr>
        <w:t>訂</w:t>
      </w:r>
      <w:r w:rsidR="004A0E31" w:rsidRPr="00CE57F9">
        <w:rPr>
          <w:rFonts w:ascii="標楷體" w:eastAsia="標楷體" w:hAnsi="標楷體" w:hint="eastAsia"/>
          <w:b/>
          <w:color w:val="000000" w:themeColor="text1"/>
          <w:szCs w:val="32"/>
        </w:rPr>
        <w:t>定</w:t>
      </w:r>
      <w:r w:rsidR="00A87E95" w:rsidRPr="00CE57F9">
        <w:rPr>
          <w:rFonts w:ascii="標楷體" w:eastAsia="標楷體" w:hAnsi="標楷體" w:hint="eastAsia"/>
          <w:b/>
          <w:color w:val="000000" w:themeColor="text1"/>
          <w:szCs w:val="32"/>
        </w:rPr>
        <w:t>發布</w:t>
      </w:r>
      <w:r w:rsidR="001D1E63" w:rsidRPr="00CE57F9">
        <w:rPr>
          <w:rFonts w:ascii="標楷體" w:eastAsia="標楷體" w:hAnsi="標楷體" w:hint="eastAsia"/>
          <w:b/>
          <w:color w:val="000000" w:themeColor="text1"/>
          <w:szCs w:val="32"/>
        </w:rPr>
        <w:t>網際網路零售業</w:t>
      </w:r>
      <w:r w:rsidR="004A0E31" w:rsidRPr="00CE57F9">
        <w:rPr>
          <w:rFonts w:ascii="標楷體" w:eastAsia="標楷體" w:hAnsi="標楷體" w:hint="eastAsia"/>
          <w:b/>
          <w:color w:val="000000" w:themeColor="text1"/>
          <w:szCs w:val="32"/>
        </w:rPr>
        <w:t>安維辦法，</w:t>
      </w:r>
      <w:r w:rsidRPr="00CE57F9">
        <w:rPr>
          <w:rFonts w:ascii="標楷體" w:eastAsia="標楷體" w:hAnsi="標楷體" w:hint="eastAsia"/>
          <w:b/>
          <w:color w:val="000000" w:themeColor="text1"/>
          <w:szCs w:val="32"/>
        </w:rPr>
        <w:t>適用範圍僅包含資本額</w:t>
      </w:r>
      <w:r w:rsidRPr="00CE57F9">
        <w:rPr>
          <w:rFonts w:ascii="標楷體" w:eastAsia="標楷體" w:hAnsi="標楷體"/>
          <w:b/>
          <w:color w:val="000000" w:themeColor="text1"/>
          <w:szCs w:val="32"/>
        </w:rPr>
        <w:t>1千萬元以上之網際網路零售業及網際網路服務平台業者，</w:t>
      </w:r>
      <w:r w:rsidR="004A0E31" w:rsidRPr="00CE57F9">
        <w:rPr>
          <w:rFonts w:ascii="標楷體" w:eastAsia="標楷體" w:hAnsi="標楷體" w:hint="eastAsia"/>
          <w:b/>
          <w:color w:val="000000" w:themeColor="text1"/>
          <w:szCs w:val="32"/>
        </w:rPr>
        <w:t>尚有不足，</w:t>
      </w:r>
      <w:r w:rsidRPr="00CE57F9">
        <w:rPr>
          <w:rFonts w:ascii="標楷體" w:eastAsia="標楷體" w:hAnsi="標楷體"/>
          <w:b/>
          <w:color w:val="000000" w:themeColor="text1"/>
          <w:szCs w:val="32"/>
        </w:rPr>
        <w:t>且部分案件未及時函請業者改善個資安維作業缺失，允宜研謀改善，以確保國人個資安全</w:t>
      </w:r>
      <w:r w:rsidRPr="00CE57F9">
        <w:rPr>
          <w:rFonts w:ascii="標楷體" w:eastAsia="標楷體" w:hAnsi="標楷體" w:hint="eastAsia"/>
          <w:b/>
          <w:color w:val="000000" w:themeColor="text1"/>
          <w:kern w:val="0"/>
          <w:szCs w:val="32"/>
        </w:rPr>
        <w:t>：</w:t>
      </w:r>
      <w:r w:rsidRPr="00CE57F9">
        <w:rPr>
          <w:rFonts w:ascii="標楷體" w:eastAsia="標楷體" w:hAnsi="標楷體" w:hint="eastAsia"/>
          <w:bCs/>
          <w:color w:val="000000" w:themeColor="text1"/>
          <w:kern w:val="0"/>
          <w:szCs w:val="32"/>
        </w:rPr>
        <w:t>經濟部於</w:t>
      </w:r>
      <w:r w:rsidRPr="00CE57F9">
        <w:rPr>
          <w:rFonts w:ascii="標楷體" w:eastAsia="標楷體" w:hAnsi="標楷體"/>
          <w:bCs/>
          <w:color w:val="000000" w:themeColor="text1"/>
          <w:kern w:val="0"/>
          <w:szCs w:val="32"/>
        </w:rPr>
        <w:t>104年9月訂定</w:t>
      </w:r>
      <w:r w:rsidR="00A87E95" w:rsidRPr="00CE57F9">
        <w:rPr>
          <w:rFonts w:ascii="標楷體" w:eastAsia="標楷體" w:hAnsi="標楷體" w:hint="eastAsia"/>
          <w:bCs/>
          <w:color w:val="000000" w:themeColor="text1"/>
          <w:kern w:val="0"/>
          <w:szCs w:val="32"/>
        </w:rPr>
        <w:t>發布</w:t>
      </w:r>
      <w:r w:rsidRPr="00CE57F9">
        <w:rPr>
          <w:rFonts w:ascii="標楷體" w:eastAsia="標楷體" w:hAnsi="標楷體" w:hint="eastAsia"/>
          <w:bCs/>
          <w:color w:val="000000" w:themeColor="text1"/>
          <w:kern w:val="0"/>
          <w:szCs w:val="32"/>
        </w:rPr>
        <w:t>網際網路零售業安維辦法，規定登記資本額為新臺幣</w:t>
      </w:r>
      <w:r w:rsidRPr="00CE57F9">
        <w:rPr>
          <w:rFonts w:ascii="標楷體" w:eastAsia="標楷體" w:hAnsi="標楷體"/>
          <w:bCs/>
          <w:color w:val="000000" w:themeColor="text1"/>
          <w:kern w:val="0"/>
          <w:szCs w:val="32"/>
        </w:rPr>
        <w:t>1千萬元以上且為股份有限公司</w:t>
      </w:r>
      <w:r w:rsidR="004A0E31" w:rsidRPr="00CE57F9">
        <w:rPr>
          <w:rFonts w:ascii="標楷體" w:eastAsia="標楷體" w:hAnsi="標楷體" w:hint="eastAsia"/>
          <w:bCs/>
          <w:color w:val="000000" w:themeColor="text1"/>
          <w:kern w:val="0"/>
          <w:szCs w:val="32"/>
        </w:rPr>
        <w:t>之網際網路零售業及網際網路零售服務平台業</w:t>
      </w:r>
      <w:r w:rsidRPr="00CE57F9">
        <w:rPr>
          <w:rFonts w:ascii="標楷體" w:eastAsia="標楷體" w:hAnsi="標楷體"/>
          <w:bCs/>
          <w:color w:val="000000" w:themeColor="text1"/>
          <w:kern w:val="0"/>
          <w:szCs w:val="32"/>
        </w:rPr>
        <w:t>者，應設</w:t>
      </w:r>
      <w:r w:rsidR="001D1E63" w:rsidRPr="00CE57F9">
        <w:rPr>
          <w:rFonts w:ascii="標楷體" w:eastAsia="標楷體" w:hAnsi="標楷體" w:hint="eastAsia"/>
          <w:bCs/>
          <w:color w:val="000000" w:themeColor="text1"/>
          <w:kern w:val="0"/>
          <w:szCs w:val="32"/>
        </w:rPr>
        <w:t>個資</w:t>
      </w:r>
      <w:r w:rsidRPr="00CE57F9">
        <w:rPr>
          <w:rFonts w:ascii="標楷體" w:eastAsia="標楷體" w:hAnsi="標楷體"/>
          <w:bCs/>
          <w:color w:val="000000" w:themeColor="text1"/>
          <w:kern w:val="0"/>
          <w:szCs w:val="32"/>
        </w:rPr>
        <w:t>管理單位或適當組織，負責訂定個資保</w:t>
      </w:r>
      <w:r w:rsidR="001D1E63" w:rsidRPr="00CE57F9">
        <w:rPr>
          <w:rFonts w:ascii="標楷體" w:eastAsia="標楷體" w:hAnsi="標楷體"/>
          <w:bCs/>
          <w:color w:val="000000" w:themeColor="text1"/>
          <w:kern w:val="0"/>
          <w:szCs w:val="32"/>
        </w:rPr>
        <w:t>護管理政策、安全維護計畫，每年定期提出評估報告等，以強化業者個資</w:t>
      </w:r>
      <w:r w:rsidRPr="00CE57F9">
        <w:rPr>
          <w:rFonts w:ascii="標楷體" w:eastAsia="標楷體" w:hAnsi="標楷體"/>
          <w:bCs/>
          <w:color w:val="000000" w:themeColor="text1"/>
          <w:kern w:val="0"/>
          <w:szCs w:val="32"/>
        </w:rPr>
        <w:t>保護措施，上開監管業務已於111年8月27日移由數位發展部數位產業署</w:t>
      </w:r>
      <w:r w:rsidR="0023329C" w:rsidRPr="00CE57F9">
        <w:rPr>
          <w:rFonts w:ascii="標楷體" w:eastAsia="標楷體" w:hAnsi="標楷體"/>
          <w:bCs/>
          <w:color w:val="000000" w:themeColor="text1"/>
          <w:kern w:val="0"/>
          <w:szCs w:val="32"/>
        </w:rPr>
        <w:t>（</w:t>
      </w:r>
      <w:r w:rsidRPr="00CE57F9">
        <w:rPr>
          <w:rFonts w:ascii="標楷體" w:eastAsia="標楷體" w:hAnsi="標楷體"/>
          <w:bCs/>
          <w:color w:val="000000" w:themeColor="text1"/>
          <w:kern w:val="0"/>
          <w:szCs w:val="32"/>
        </w:rPr>
        <w:t>下稱產業署</w:t>
      </w:r>
      <w:r w:rsidR="0023329C" w:rsidRPr="00CE57F9">
        <w:rPr>
          <w:rFonts w:ascii="標楷體" w:eastAsia="標楷體" w:hAnsi="標楷體"/>
          <w:bCs/>
          <w:color w:val="000000" w:themeColor="text1"/>
          <w:kern w:val="0"/>
          <w:szCs w:val="32"/>
        </w:rPr>
        <w:t>）</w:t>
      </w:r>
      <w:r w:rsidRPr="00CE57F9">
        <w:rPr>
          <w:rFonts w:ascii="標楷體" w:eastAsia="標楷體" w:hAnsi="標楷體"/>
          <w:bCs/>
          <w:color w:val="000000" w:themeColor="text1"/>
          <w:kern w:val="0"/>
          <w:szCs w:val="32"/>
        </w:rPr>
        <w:t>辦理。經查執行情形，核有：</w:t>
      </w:r>
      <w:r w:rsidR="0023329C" w:rsidRPr="00CE57F9">
        <w:rPr>
          <w:rFonts w:ascii="標楷體" w:eastAsia="標楷體" w:hAnsi="標楷體"/>
          <w:bCs/>
          <w:color w:val="000000" w:themeColor="text1"/>
          <w:kern w:val="0"/>
          <w:szCs w:val="32"/>
        </w:rPr>
        <w:t>（</w:t>
      </w:r>
      <w:r w:rsidRPr="00CE57F9">
        <w:rPr>
          <w:rFonts w:ascii="標楷體" w:eastAsia="標楷體" w:hAnsi="標楷體"/>
          <w:bCs/>
          <w:color w:val="000000" w:themeColor="text1"/>
          <w:kern w:val="0"/>
          <w:szCs w:val="32"/>
        </w:rPr>
        <w:t>1</w:t>
      </w:r>
      <w:r w:rsidR="0023329C" w:rsidRPr="00CE57F9">
        <w:rPr>
          <w:rFonts w:ascii="標楷體" w:eastAsia="標楷體" w:hAnsi="標楷體"/>
          <w:bCs/>
          <w:color w:val="000000" w:themeColor="text1"/>
          <w:kern w:val="0"/>
          <w:szCs w:val="32"/>
        </w:rPr>
        <w:t>）</w:t>
      </w:r>
      <w:r w:rsidRPr="00CE57F9">
        <w:rPr>
          <w:rFonts w:ascii="標楷體" w:eastAsia="標楷體" w:hAnsi="標楷體"/>
          <w:bCs/>
          <w:color w:val="000000" w:themeColor="text1"/>
          <w:kern w:val="0"/>
          <w:szCs w:val="32"/>
        </w:rPr>
        <w:t>產業署於111年8月27日至112年3月31日間接獲</w:t>
      </w:r>
      <w:r w:rsidR="004A2079" w:rsidRPr="00CE57F9">
        <w:rPr>
          <w:rFonts w:ascii="標楷體" w:eastAsia="標楷體" w:hAnsi="標楷體" w:hint="eastAsia"/>
          <w:bCs/>
          <w:color w:val="000000" w:themeColor="text1"/>
          <w:kern w:val="0"/>
          <w:szCs w:val="32"/>
        </w:rPr>
        <w:t>內政部</w:t>
      </w:r>
      <w:r w:rsidRPr="00CE57F9">
        <w:rPr>
          <w:rFonts w:ascii="標楷體" w:eastAsia="標楷體" w:hAnsi="標楷體"/>
          <w:bCs/>
          <w:color w:val="000000" w:themeColor="text1"/>
          <w:kern w:val="0"/>
          <w:szCs w:val="32"/>
        </w:rPr>
        <w:t>警政署通報個資疑似外洩案件計有43</w:t>
      </w:r>
      <w:r w:rsidR="00DD3AF6" w:rsidRPr="00CE57F9">
        <w:rPr>
          <w:rFonts w:ascii="標楷體" w:eastAsia="標楷體" w:hAnsi="標楷體"/>
          <w:bCs/>
          <w:color w:val="000000" w:themeColor="text1"/>
          <w:kern w:val="0"/>
          <w:szCs w:val="32"/>
        </w:rPr>
        <w:t>家業者，其中部分保有大量個資</w:t>
      </w:r>
      <w:r w:rsidRPr="00CE57F9">
        <w:rPr>
          <w:rFonts w:ascii="標楷體" w:eastAsia="標楷體" w:hAnsi="標楷體"/>
          <w:bCs/>
          <w:color w:val="000000" w:themeColor="text1"/>
          <w:kern w:val="0"/>
          <w:szCs w:val="32"/>
        </w:rPr>
        <w:t>之業者，因登記資本額未達1千萬元，或非屬股份有限公司，排除適用</w:t>
      </w:r>
      <w:r w:rsidRPr="00CE57F9">
        <w:rPr>
          <w:rFonts w:ascii="標楷體" w:eastAsia="標楷體" w:hAnsi="標楷體" w:hint="eastAsia"/>
          <w:bCs/>
          <w:color w:val="000000" w:themeColor="text1"/>
          <w:szCs w:val="32"/>
        </w:rPr>
        <w:t>網際網路零售業安維辦法</w:t>
      </w:r>
      <w:r w:rsidRPr="00CE57F9">
        <w:rPr>
          <w:rFonts w:ascii="標楷體" w:eastAsia="標楷體" w:hAnsi="標楷體" w:hint="eastAsia"/>
          <w:bCs/>
          <w:color w:val="000000" w:themeColor="text1"/>
          <w:kern w:val="0"/>
          <w:szCs w:val="32"/>
        </w:rPr>
        <w:t>，致產業署未能要求業者依該辦法落實執行相關個資保護措施，不利降低業者個資外洩風險；又數位發展部雖於</w:t>
      </w:r>
      <w:r w:rsidRPr="00CE57F9">
        <w:rPr>
          <w:rFonts w:ascii="標楷體" w:eastAsia="標楷體" w:hAnsi="標楷體"/>
          <w:bCs/>
          <w:color w:val="000000" w:themeColor="text1"/>
          <w:kern w:val="0"/>
          <w:szCs w:val="32"/>
        </w:rPr>
        <w:t>111年11月預告「數位發展部指定數位經濟相關產業類非公務機關個人資料檔案安全維護管理辦法」草案，將前開轄管業者納入監管範疇，惟截至112年3月底止，尚未公告施行，影響業務推動</w:t>
      </w:r>
      <w:r w:rsidR="00F05503">
        <w:rPr>
          <w:rFonts w:ascii="標楷體" w:eastAsia="標楷體" w:hAnsi="標楷體" w:hint="eastAsia"/>
          <w:bCs/>
          <w:color w:val="000000" w:themeColor="text1"/>
          <w:kern w:val="0"/>
          <w:szCs w:val="32"/>
        </w:rPr>
        <w:t>；</w:t>
      </w:r>
      <w:r w:rsidR="0023329C" w:rsidRPr="00CE57F9">
        <w:rPr>
          <w:rFonts w:ascii="標楷體" w:eastAsia="標楷體" w:hAnsi="標楷體"/>
          <w:bCs/>
          <w:color w:val="000000" w:themeColor="text1"/>
          <w:kern w:val="0"/>
          <w:szCs w:val="32"/>
        </w:rPr>
        <w:t>（</w:t>
      </w:r>
      <w:r w:rsidRPr="00CE57F9">
        <w:rPr>
          <w:rFonts w:ascii="標楷體" w:eastAsia="標楷體" w:hAnsi="標楷體"/>
          <w:bCs/>
          <w:color w:val="000000" w:themeColor="text1"/>
          <w:kern w:val="0"/>
          <w:szCs w:val="32"/>
        </w:rPr>
        <w:t>2</w:t>
      </w:r>
      <w:r w:rsidR="0023329C" w:rsidRPr="00CE57F9">
        <w:rPr>
          <w:rFonts w:ascii="標楷體" w:eastAsia="標楷體" w:hAnsi="標楷體"/>
          <w:bCs/>
          <w:color w:val="000000" w:themeColor="text1"/>
          <w:kern w:val="0"/>
          <w:szCs w:val="32"/>
        </w:rPr>
        <w:t>）</w:t>
      </w:r>
      <w:r w:rsidRPr="00CE57F9">
        <w:rPr>
          <w:rFonts w:ascii="標楷體" w:eastAsia="標楷體" w:hAnsi="標楷體"/>
          <w:bCs/>
          <w:color w:val="000000" w:themeColor="text1"/>
          <w:kern w:val="0"/>
          <w:szCs w:val="32"/>
        </w:rPr>
        <w:t>據</w:t>
      </w:r>
      <w:r w:rsidR="004A2079" w:rsidRPr="00CE57F9">
        <w:rPr>
          <w:rFonts w:ascii="標楷體" w:eastAsia="標楷體" w:hAnsi="標楷體" w:hint="eastAsia"/>
          <w:bCs/>
          <w:color w:val="000000" w:themeColor="text1"/>
          <w:kern w:val="0"/>
          <w:szCs w:val="32"/>
        </w:rPr>
        <w:t>內政部</w:t>
      </w:r>
      <w:r w:rsidRPr="00CE57F9">
        <w:rPr>
          <w:rFonts w:ascii="標楷體" w:eastAsia="標楷體" w:hAnsi="標楷體"/>
          <w:bCs/>
          <w:color w:val="000000" w:themeColor="text1"/>
          <w:kern w:val="0"/>
          <w:szCs w:val="32"/>
        </w:rPr>
        <w:t>警政署165全民防詐騙網站公布111年第2季至112年第1季高風險賣場前5名資料所載，其中博客來、生活市集、蝦皮購物、旋轉拍賣等高風險賣場屬產業署轄管業者，屢有疑似個資外洩事件而引</w:t>
      </w:r>
      <w:r w:rsidR="00DD3AF6" w:rsidRPr="00CE57F9">
        <w:rPr>
          <w:rFonts w:ascii="標楷體" w:eastAsia="標楷體" w:hAnsi="標楷體"/>
          <w:bCs/>
          <w:color w:val="000000" w:themeColor="text1"/>
          <w:kern w:val="0"/>
          <w:szCs w:val="32"/>
        </w:rPr>
        <w:t>發詐騙情事，顯示近年網路購物風氣盛行，業者因業務性質蒐集大量個資</w:t>
      </w:r>
      <w:r w:rsidRPr="00CE57F9">
        <w:rPr>
          <w:rFonts w:ascii="標楷體" w:eastAsia="標楷體" w:hAnsi="標楷體"/>
          <w:bCs/>
          <w:color w:val="000000" w:themeColor="text1"/>
          <w:kern w:val="0"/>
          <w:szCs w:val="32"/>
        </w:rPr>
        <w:t>，易衍生個資</w:t>
      </w:r>
      <w:r w:rsidR="00873E00" w:rsidRPr="00CE57F9">
        <w:rPr>
          <w:rFonts w:ascii="標楷體" w:eastAsia="標楷體" w:hAnsi="標楷體"/>
          <w:bCs/>
          <w:color w:val="000000" w:themeColor="text1"/>
          <w:kern w:val="0"/>
          <w:szCs w:val="32"/>
        </w:rPr>
        <w:t>外洩風險</w:t>
      </w:r>
      <w:r w:rsidR="00873E00" w:rsidRPr="00CE57F9">
        <w:rPr>
          <w:rFonts w:ascii="標楷體" w:eastAsia="標楷體" w:hAnsi="標楷體" w:hint="eastAsia"/>
          <w:bCs/>
          <w:color w:val="000000" w:themeColor="text1"/>
          <w:kern w:val="0"/>
          <w:szCs w:val="32"/>
        </w:rPr>
        <w:t>，</w:t>
      </w:r>
      <w:r w:rsidRPr="00CE57F9">
        <w:rPr>
          <w:rFonts w:ascii="標楷體" w:eastAsia="標楷體" w:hAnsi="標楷體"/>
          <w:bCs/>
          <w:color w:val="000000" w:themeColor="text1"/>
          <w:kern w:val="0"/>
          <w:szCs w:val="32"/>
        </w:rPr>
        <w:t>惟查產業署自111年8月27日至112</w:t>
      </w:r>
      <w:r w:rsidRPr="00CE57F9">
        <w:rPr>
          <w:rFonts w:ascii="標楷體" w:eastAsia="標楷體" w:hAnsi="標楷體" w:hint="eastAsia"/>
          <w:bCs/>
          <w:color w:val="000000" w:themeColor="text1"/>
          <w:kern w:val="0"/>
          <w:szCs w:val="32"/>
        </w:rPr>
        <w:t>年</w:t>
      </w:r>
      <w:r w:rsidRPr="00CE57F9">
        <w:rPr>
          <w:rFonts w:ascii="標楷體" w:eastAsia="標楷體" w:hAnsi="標楷體"/>
          <w:bCs/>
          <w:color w:val="000000" w:themeColor="text1"/>
          <w:kern w:val="0"/>
          <w:szCs w:val="32"/>
        </w:rPr>
        <w:t>3月底止，僅就通報個資外洩案件啟動行政</w:t>
      </w:r>
      <w:r w:rsidR="00DD3AF6" w:rsidRPr="00CE57F9">
        <w:rPr>
          <w:rFonts w:ascii="標楷體" w:eastAsia="標楷體" w:hAnsi="標楷體" w:hint="eastAsia"/>
          <w:bCs/>
          <w:color w:val="000000" w:themeColor="text1"/>
          <w:kern w:val="0"/>
          <w:szCs w:val="32"/>
        </w:rPr>
        <w:t>檢</w:t>
      </w:r>
      <w:r w:rsidRPr="00CE57F9">
        <w:rPr>
          <w:rFonts w:ascii="標楷體" w:eastAsia="標楷體" w:hAnsi="標楷體"/>
          <w:bCs/>
          <w:color w:val="000000" w:themeColor="text1"/>
          <w:kern w:val="0"/>
          <w:szCs w:val="32"/>
        </w:rPr>
        <w:t>查程序，尚未主動檢核或實地查核業者有無落實依上開</w:t>
      </w:r>
      <w:r w:rsidR="00873E00" w:rsidRPr="00CE57F9">
        <w:rPr>
          <w:rFonts w:ascii="標楷體" w:eastAsia="標楷體" w:hAnsi="標楷體" w:hint="eastAsia"/>
          <w:bCs/>
          <w:color w:val="000000" w:themeColor="text1"/>
          <w:kern w:val="0"/>
          <w:szCs w:val="32"/>
        </w:rPr>
        <w:t>安維辦法</w:t>
      </w:r>
      <w:r w:rsidRPr="00CE57F9">
        <w:rPr>
          <w:rFonts w:ascii="標楷體" w:eastAsia="標楷體" w:hAnsi="標楷體"/>
          <w:bCs/>
          <w:color w:val="000000" w:themeColor="text1"/>
          <w:kern w:val="0"/>
          <w:szCs w:val="32"/>
        </w:rPr>
        <w:t>規定辦理個資安全維護作業，不利瞭解轄管業者落實法規情形，恐難以掌握業者個</w:t>
      </w:r>
      <w:r w:rsidR="00DD3AF6" w:rsidRPr="00CE57F9">
        <w:rPr>
          <w:rFonts w:ascii="標楷體" w:eastAsia="標楷體" w:hAnsi="標楷體"/>
          <w:bCs/>
          <w:color w:val="000000" w:themeColor="text1"/>
          <w:kern w:val="0"/>
          <w:szCs w:val="32"/>
        </w:rPr>
        <w:t>資</w:t>
      </w:r>
      <w:r w:rsidRPr="00CE57F9">
        <w:rPr>
          <w:rFonts w:ascii="標楷體" w:eastAsia="標楷體" w:hAnsi="標楷體"/>
          <w:bCs/>
          <w:color w:val="000000" w:themeColor="text1"/>
          <w:kern w:val="0"/>
          <w:szCs w:val="32"/>
        </w:rPr>
        <w:t>保護及管理情形</w:t>
      </w:r>
      <w:r w:rsidR="00F05503">
        <w:rPr>
          <w:rFonts w:ascii="標楷體" w:eastAsia="標楷體" w:hAnsi="標楷體" w:hint="eastAsia"/>
          <w:bCs/>
          <w:color w:val="000000" w:themeColor="text1"/>
          <w:kern w:val="0"/>
          <w:szCs w:val="32"/>
        </w:rPr>
        <w:t>；</w:t>
      </w:r>
      <w:r w:rsidR="0023329C" w:rsidRPr="00CE57F9">
        <w:rPr>
          <w:rFonts w:ascii="標楷體" w:eastAsia="標楷體" w:hAnsi="標楷體"/>
          <w:bCs/>
          <w:color w:val="000000" w:themeColor="text1"/>
          <w:kern w:val="0"/>
          <w:szCs w:val="32"/>
        </w:rPr>
        <w:t>（</w:t>
      </w:r>
      <w:r w:rsidRPr="00CE57F9">
        <w:rPr>
          <w:rFonts w:ascii="標楷體" w:eastAsia="標楷體" w:hAnsi="標楷體"/>
          <w:bCs/>
          <w:color w:val="000000" w:themeColor="text1"/>
          <w:kern w:val="0"/>
          <w:szCs w:val="32"/>
        </w:rPr>
        <w:t>3</w:t>
      </w:r>
      <w:r w:rsidR="0023329C" w:rsidRPr="00CE57F9">
        <w:rPr>
          <w:rFonts w:ascii="標楷體" w:eastAsia="標楷體" w:hAnsi="標楷體"/>
          <w:bCs/>
          <w:color w:val="000000" w:themeColor="text1"/>
          <w:kern w:val="0"/>
          <w:szCs w:val="32"/>
        </w:rPr>
        <w:t>）</w:t>
      </w:r>
      <w:r w:rsidR="00873E00" w:rsidRPr="00CE57F9">
        <w:rPr>
          <w:rFonts w:ascii="標楷體" w:eastAsia="標楷體" w:hAnsi="標楷體"/>
          <w:bCs/>
          <w:color w:val="000000" w:themeColor="text1"/>
          <w:kern w:val="0"/>
          <w:szCs w:val="32"/>
        </w:rPr>
        <w:t>依產業署所訂個資外洩案件處理作業流程，該署於接獲通報後即刻</w:t>
      </w:r>
      <w:r w:rsidRPr="00CE57F9">
        <w:rPr>
          <w:rFonts w:ascii="標楷體" w:eastAsia="標楷體" w:hAnsi="標楷體"/>
          <w:bCs/>
          <w:color w:val="000000" w:themeColor="text1"/>
          <w:kern w:val="0"/>
          <w:szCs w:val="32"/>
        </w:rPr>
        <w:t>函請業者函復個資外洩情形，經書面審查若有違法缺失之虞，</w:t>
      </w:r>
      <w:r w:rsidR="00873E00" w:rsidRPr="00CE57F9">
        <w:rPr>
          <w:rFonts w:ascii="標楷體" w:eastAsia="標楷體" w:hAnsi="標楷體" w:hint="eastAsia"/>
          <w:bCs/>
          <w:color w:val="000000" w:themeColor="text1"/>
          <w:kern w:val="0"/>
          <w:szCs w:val="32"/>
        </w:rPr>
        <w:t>即</w:t>
      </w:r>
      <w:r w:rsidRPr="00CE57F9">
        <w:rPr>
          <w:rFonts w:ascii="標楷體" w:eastAsia="標楷體" w:hAnsi="標楷體"/>
          <w:bCs/>
          <w:color w:val="000000" w:themeColor="text1"/>
          <w:kern w:val="0"/>
          <w:szCs w:val="32"/>
        </w:rPr>
        <w:t>召開行政檢查會議通知業者到場說明，</w:t>
      </w:r>
      <w:r w:rsidR="00DD3AF6" w:rsidRPr="00CE57F9">
        <w:rPr>
          <w:rFonts w:ascii="標楷體" w:eastAsia="標楷體" w:hAnsi="標楷體"/>
          <w:bCs/>
          <w:color w:val="000000" w:themeColor="text1"/>
          <w:spacing w:val="2"/>
          <w:kern w:val="0"/>
          <w:szCs w:val="32"/>
        </w:rPr>
        <w:t>或辦理實地行政檢查，經判斷確屬違反個</w:t>
      </w:r>
      <w:r w:rsidRPr="00CE57F9">
        <w:rPr>
          <w:rFonts w:ascii="標楷體" w:eastAsia="標楷體" w:hAnsi="標楷體"/>
          <w:bCs/>
          <w:color w:val="000000" w:themeColor="text1"/>
          <w:spacing w:val="2"/>
          <w:kern w:val="0"/>
          <w:szCs w:val="32"/>
        </w:rPr>
        <w:t>資法者，則行政處分並限期改正，惟查截至112年3月底</w:t>
      </w:r>
      <w:r w:rsidR="00873E00" w:rsidRPr="00CE57F9">
        <w:rPr>
          <w:rFonts w:ascii="標楷體" w:eastAsia="標楷體" w:hAnsi="標楷體"/>
          <w:bCs/>
          <w:color w:val="000000" w:themeColor="text1"/>
          <w:kern w:val="0"/>
          <w:szCs w:val="32"/>
        </w:rPr>
        <w:t>止，</w:t>
      </w:r>
      <w:r w:rsidR="00873E00" w:rsidRPr="00CE57F9">
        <w:rPr>
          <w:rFonts w:ascii="標楷體" w:eastAsia="標楷體" w:hAnsi="標楷體" w:hint="eastAsia"/>
          <w:bCs/>
          <w:color w:val="000000" w:themeColor="text1"/>
          <w:kern w:val="0"/>
          <w:szCs w:val="32"/>
        </w:rPr>
        <w:t>該</w:t>
      </w:r>
      <w:r w:rsidRPr="00CE57F9">
        <w:rPr>
          <w:rFonts w:ascii="標楷體" w:eastAsia="標楷體" w:hAnsi="標楷體"/>
          <w:bCs/>
          <w:color w:val="000000" w:themeColor="text1"/>
          <w:kern w:val="0"/>
          <w:szCs w:val="32"/>
        </w:rPr>
        <w:t>署處理網際網路零售業及網際網路零售服務平台業者疑似個資外洩通報案件計43家，平均需13天始函請業者說明改善情形，又行政檢查會議決議後經22天至36天始函請業者改正，</w:t>
      </w:r>
      <w:r w:rsidRPr="00CE57F9">
        <w:rPr>
          <w:rFonts w:ascii="標楷體" w:eastAsia="標楷體" w:hAnsi="標楷體"/>
          <w:bCs/>
          <w:color w:val="000000" w:themeColor="text1"/>
          <w:spacing w:val="2"/>
          <w:kern w:val="0"/>
          <w:szCs w:val="32"/>
        </w:rPr>
        <w:t>導致改正期限延後</w:t>
      </w:r>
      <w:r w:rsidRPr="00CE57F9">
        <w:rPr>
          <w:rFonts w:ascii="標楷體" w:eastAsia="標楷體" w:hAnsi="標楷體"/>
          <w:bCs/>
          <w:color w:val="000000" w:themeColor="text1"/>
          <w:kern w:val="0"/>
          <w:szCs w:val="32"/>
        </w:rPr>
        <w:t>，影響案件處理時效等情事，</w:t>
      </w:r>
      <w:r w:rsidRPr="00CE57F9">
        <w:rPr>
          <w:rFonts w:ascii="標楷體" w:eastAsia="標楷體" w:hAnsi="標楷體"/>
          <w:bCs/>
          <w:color w:val="000000" w:themeColor="text1"/>
          <w:spacing w:val="2"/>
          <w:kern w:val="0"/>
          <w:szCs w:val="32"/>
        </w:rPr>
        <w:t>經函請數位發展部督促研謀妥處。據復：</w:t>
      </w:r>
      <w:r w:rsidR="0023329C" w:rsidRPr="00CE57F9">
        <w:rPr>
          <w:rFonts w:ascii="標楷體" w:eastAsia="標楷體" w:hAnsi="標楷體"/>
          <w:bCs/>
          <w:color w:val="000000" w:themeColor="text1"/>
          <w:spacing w:val="2"/>
          <w:kern w:val="0"/>
          <w:szCs w:val="32"/>
        </w:rPr>
        <w:t>（</w:t>
      </w:r>
      <w:r w:rsidRPr="00CE57F9">
        <w:rPr>
          <w:rFonts w:ascii="標楷體" w:eastAsia="標楷體" w:hAnsi="標楷體"/>
          <w:bCs/>
          <w:color w:val="000000" w:themeColor="text1"/>
          <w:spacing w:val="2"/>
          <w:kern w:val="0"/>
          <w:szCs w:val="32"/>
        </w:rPr>
        <w:t>1</w:t>
      </w:r>
      <w:r w:rsidR="0023329C" w:rsidRPr="00CE57F9">
        <w:rPr>
          <w:rFonts w:ascii="標楷體" w:eastAsia="標楷體" w:hAnsi="標楷體"/>
          <w:bCs/>
          <w:color w:val="000000" w:themeColor="text1"/>
          <w:spacing w:val="2"/>
          <w:kern w:val="0"/>
          <w:szCs w:val="32"/>
        </w:rPr>
        <w:t>）</w:t>
      </w:r>
      <w:r w:rsidRPr="00CE57F9">
        <w:rPr>
          <w:rFonts w:ascii="標楷體" w:eastAsia="標楷體" w:hAnsi="標楷體"/>
          <w:bCs/>
          <w:color w:val="000000" w:themeColor="text1"/>
          <w:spacing w:val="2"/>
          <w:kern w:val="0"/>
          <w:szCs w:val="32"/>
        </w:rPr>
        <w:t>將依據個資法修正結果調整</w:t>
      </w:r>
      <w:r w:rsidR="00873E00" w:rsidRPr="00CE57F9">
        <w:rPr>
          <w:rFonts w:ascii="標楷體" w:eastAsia="標楷體" w:hAnsi="標楷體" w:hint="eastAsia"/>
          <w:bCs/>
          <w:color w:val="000000" w:themeColor="text1"/>
          <w:spacing w:val="2"/>
          <w:kern w:val="0"/>
          <w:szCs w:val="32"/>
        </w:rPr>
        <w:t>「數位發展部指定數位經濟相關產業類非公務機關個人資料檔案安全維護管理辦法」</w:t>
      </w:r>
      <w:r w:rsidRPr="00CE57F9">
        <w:rPr>
          <w:rFonts w:ascii="標楷體" w:eastAsia="標楷體" w:hAnsi="標楷體"/>
          <w:bCs/>
          <w:color w:val="000000" w:themeColor="text1"/>
          <w:spacing w:val="2"/>
          <w:kern w:val="0"/>
          <w:szCs w:val="32"/>
        </w:rPr>
        <w:t>草案，並召開溝通</w:t>
      </w:r>
      <w:r w:rsidRPr="00CE57F9">
        <w:rPr>
          <w:rFonts w:ascii="標楷體" w:eastAsia="標楷體" w:hAnsi="標楷體"/>
          <w:bCs/>
          <w:color w:val="000000" w:themeColor="text1"/>
          <w:spacing w:val="2"/>
          <w:kern w:val="0"/>
          <w:szCs w:val="32"/>
        </w:rPr>
        <w:lastRenderedPageBreak/>
        <w:t>會議瞭解產業意見，賡續進行法制公告作業；</w:t>
      </w:r>
      <w:r w:rsidR="0023329C" w:rsidRPr="00CE57F9">
        <w:rPr>
          <w:rFonts w:ascii="標楷體" w:eastAsia="標楷體" w:hAnsi="標楷體"/>
          <w:bCs/>
          <w:color w:val="000000" w:themeColor="text1"/>
          <w:spacing w:val="2"/>
          <w:kern w:val="0"/>
          <w:szCs w:val="32"/>
        </w:rPr>
        <w:t>（</w:t>
      </w:r>
      <w:r w:rsidRPr="00CE57F9">
        <w:rPr>
          <w:rFonts w:ascii="標楷體" w:eastAsia="標楷體" w:hAnsi="標楷體"/>
          <w:bCs/>
          <w:color w:val="000000" w:themeColor="text1"/>
          <w:spacing w:val="2"/>
          <w:kern w:val="0"/>
          <w:szCs w:val="32"/>
        </w:rPr>
        <w:t>2</w:t>
      </w:r>
      <w:r w:rsidR="0023329C" w:rsidRPr="00CE57F9">
        <w:rPr>
          <w:rFonts w:ascii="標楷體" w:eastAsia="標楷體" w:hAnsi="標楷體"/>
          <w:bCs/>
          <w:color w:val="000000" w:themeColor="text1"/>
          <w:spacing w:val="2"/>
          <w:kern w:val="0"/>
          <w:szCs w:val="32"/>
        </w:rPr>
        <w:t>）</w:t>
      </w:r>
      <w:r w:rsidRPr="00CE57F9">
        <w:rPr>
          <w:rFonts w:ascii="標楷體" w:eastAsia="標楷體" w:hAnsi="標楷體"/>
          <w:bCs/>
          <w:color w:val="000000" w:themeColor="text1"/>
          <w:spacing w:val="2"/>
          <w:kern w:val="0"/>
          <w:szCs w:val="32"/>
        </w:rPr>
        <w:t>產業署規劃主動查核保有大量個資業者，並視通報個案改善情況執行實地</w:t>
      </w:r>
      <w:r w:rsidR="00873E00" w:rsidRPr="00CE57F9">
        <w:rPr>
          <w:rFonts w:ascii="標楷體" w:eastAsia="標楷體" w:hAnsi="標楷體"/>
          <w:bCs/>
          <w:color w:val="000000" w:themeColor="text1"/>
          <w:kern w:val="0"/>
          <w:szCs w:val="32"/>
        </w:rPr>
        <w:t>行政檢查，</w:t>
      </w:r>
      <w:r w:rsidR="00497D9B" w:rsidRPr="00CE57F9">
        <w:rPr>
          <w:rFonts w:ascii="標楷體" w:eastAsia="標楷體" w:hAnsi="標楷體"/>
          <w:bCs/>
          <w:color w:val="000000" w:themeColor="text1"/>
          <w:kern w:val="0"/>
          <w:szCs w:val="32"/>
        </w:rPr>
        <w:t>已會同</w:t>
      </w:r>
      <w:r w:rsidRPr="00CE57F9">
        <w:rPr>
          <w:rFonts w:ascii="標楷體" w:eastAsia="標楷體" w:hAnsi="標楷體"/>
          <w:bCs/>
          <w:color w:val="000000" w:themeColor="text1"/>
          <w:kern w:val="0"/>
          <w:szCs w:val="32"/>
        </w:rPr>
        <w:t>國家資通安全研究院等機關組成調查小組，實地查核業者改善情形；</w:t>
      </w:r>
      <w:r w:rsidR="0023329C" w:rsidRPr="00CE57F9">
        <w:rPr>
          <w:rFonts w:ascii="標楷體" w:eastAsia="標楷體" w:hAnsi="標楷體"/>
          <w:bCs/>
          <w:color w:val="000000" w:themeColor="text1"/>
          <w:kern w:val="0"/>
          <w:szCs w:val="32"/>
        </w:rPr>
        <w:t>（</w:t>
      </w:r>
      <w:r w:rsidRPr="00CE57F9">
        <w:rPr>
          <w:rFonts w:ascii="標楷體" w:eastAsia="標楷體" w:hAnsi="標楷體"/>
          <w:bCs/>
          <w:color w:val="000000" w:themeColor="text1"/>
          <w:kern w:val="0"/>
          <w:szCs w:val="32"/>
        </w:rPr>
        <w:t>3</w:t>
      </w:r>
      <w:r w:rsidR="0023329C" w:rsidRPr="00CE57F9">
        <w:rPr>
          <w:rFonts w:ascii="標楷體" w:eastAsia="標楷體" w:hAnsi="標楷體"/>
          <w:bCs/>
          <w:color w:val="000000" w:themeColor="text1"/>
          <w:kern w:val="0"/>
          <w:szCs w:val="32"/>
        </w:rPr>
        <w:t>）</w:t>
      </w:r>
      <w:r w:rsidRPr="00CE57F9">
        <w:rPr>
          <w:rFonts w:ascii="標楷體" w:eastAsia="標楷體" w:hAnsi="標楷體"/>
          <w:bCs/>
          <w:color w:val="000000" w:themeColor="text1"/>
          <w:kern w:val="0"/>
          <w:szCs w:val="32"/>
        </w:rPr>
        <w:t>行政院於112年5月4日院會通過「新世代打擊詐欺策略行動綱領1.5版」，</w:t>
      </w:r>
      <w:r w:rsidRPr="00CE57F9">
        <w:rPr>
          <w:rFonts w:ascii="標楷體" w:eastAsia="標楷體" w:hAnsi="標楷體"/>
          <w:bCs/>
          <w:color w:val="000000" w:themeColor="text1"/>
          <w:spacing w:val="2"/>
          <w:kern w:val="0"/>
          <w:szCs w:val="32"/>
        </w:rPr>
        <w:t>針對重大矚目案件訂有強化監督流程相關規定</w:t>
      </w:r>
      <w:r w:rsidRPr="00CE57F9">
        <w:rPr>
          <w:rFonts w:ascii="標楷體" w:eastAsia="標楷體" w:hAnsi="標楷體"/>
          <w:bCs/>
          <w:color w:val="000000" w:themeColor="text1"/>
          <w:kern w:val="0"/>
          <w:szCs w:val="32"/>
        </w:rPr>
        <w:t>，於3日內完成行政檢查，10</w:t>
      </w:r>
      <w:r w:rsidR="00873E00" w:rsidRPr="00CE57F9">
        <w:rPr>
          <w:rFonts w:ascii="標楷體" w:eastAsia="標楷體" w:hAnsi="標楷體"/>
          <w:bCs/>
          <w:color w:val="000000" w:themeColor="text1"/>
          <w:kern w:val="0"/>
          <w:szCs w:val="32"/>
        </w:rPr>
        <w:t>日內完成調查報告，產業署</w:t>
      </w:r>
      <w:r w:rsidR="00873E00" w:rsidRPr="00CE57F9">
        <w:rPr>
          <w:rFonts w:ascii="標楷體" w:eastAsia="標楷體" w:hAnsi="標楷體" w:hint="eastAsia"/>
          <w:bCs/>
          <w:color w:val="000000" w:themeColor="text1"/>
          <w:kern w:val="0"/>
          <w:szCs w:val="32"/>
        </w:rPr>
        <w:t>將</w:t>
      </w:r>
      <w:r w:rsidRPr="00CE57F9">
        <w:rPr>
          <w:rFonts w:ascii="標楷體" w:eastAsia="標楷體" w:hAnsi="標楷體"/>
          <w:bCs/>
          <w:color w:val="000000" w:themeColor="text1"/>
          <w:kern w:val="0"/>
          <w:szCs w:val="32"/>
        </w:rPr>
        <w:t>配合加速執行，以利及時督促業者降低個資外洩之負面影響。</w:t>
      </w:r>
    </w:p>
    <w:p w14:paraId="1899B504" w14:textId="48D57C39" w:rsidR="002E6473" w:rsidRPr="009D11AD" w:rsidRDefault="002E6473" w:rsidP="00860D54">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（十）　政府為加速建構完善之國家資通安全環境，</w:t>
      </w:r>
      <w:r w:rsidR="009F5F57">
        <w:rPr>
          <w:rFonts w:hAnsi="標楷體" w:hint="eastAsia"/>
          <w:b/>
          <w:color w:val="000000" w:themeColor="text1"/>
          <w:sz w:val="28"/>
          <w:szCs w:val="28"/>
        </w:rPr>
        <w:t>制定公布</w:t>
      </w:r>
      <w:r w:rsidR="009F5F57" w:rsidRPr="009D11AD">
        <w:rPr>
          <w:rFonts w:hAnsi="標楷體" w:hint="eastAsia"/>
          <w:b/>
          <w:color w:val="000000" w:themeColor="text1"/>
          <w:sz w:val="28"/>
          <w:szCs w:val="28"/>
        </w:rPr>
        <w:t>資通安全</w:t>
      </w:r>
      <w:r w:rsidR="009F5F57" w:rsidRPr="00A14FFF">
        <w:rPr>
          <w:rFonts w:hAnsi="標楷體" w:hint="eastAsia"/>
          <w:b/>
          <w:color w:val="000000" w:themeColor="text1"/>
          <w:sz w:val="28"/>
          <w:szCs w:val="28"/>
        </w:rPr>
        <w:t>管理</w:t>
      </w:r>
      <w:r w:rsidR="009F5F57" w:rsidRPr="009D11AD">
        <w:rPr>
          <w:rFonts w:hAnsi="標楷體" w:hint="eastAsia"/>
          <w:b/>
          <w:color w:val="000000" w:themeColor="text1"/>
          <w:sz w:val="28"/>
          <w:szCs w:val="28"/>
        </w:rPr>
        <w:t>法</w:t>
      </w:r>
      <w:r w:rsidR="009F5F57">
        <w:rPr>
          <w:rFonts w:hAnsi="標楷體" w:hint="eastAsia"/>
          <w:b/>
          <w:color w:val="000000" w:themeColor="text1"/>
          <w:sz w:val="28"/>
          <w:szCs w:val="28"/>
        </w:rPr>
        <w:t>並</w:t>
      </w:r>
      <w:r w:rsidRPr="009D11AD">
        <w:rPr>
          <w:rFonts w:hAnsi="標楷體" w:hint="eastAsia"/>
          <w:b/>
          <w:color w:val="000000" w:themeColor="text1"/>
          <w:sz w:val="28"/>
          <w:szCs w:val="28"/>
        </w:rPr>
        <w:t>自108年</w:t>
      </w:r>
      <w:r w:rsidR="009F5F57">
        <w:rPr>
          <w:rFonts w:hAnsi="標楷體" w:hint="eastAsia"/>
          <w:b/>
          <w:color w:val="000000" w:themeColor="text1"/>
          <w:sz w:val="28"/>
          <w:szCs w:val="28"/>
        </w:rPr>
        <w:t>1月1日</w:t>
      </w:r>
      <w:r w:rsidRPr="009D11AD">
        <w:rPr>
          <w:rFonts w:hAnsi="標楷體" w:hint="eastAsia"/>
          <w:b/>
          <w:color w:val="000000" w:themeColor="text1"/>
          <w:sz w:val="28"/>
          <w:szCs w:val="28"/>
        </w:rPr>
        <w:t>施行，惟</w:t>
      </w:r>
      <w:r w:rsidR="009F5F57">
        <w:rPr>
          <w:rFonts w:hAnsi="標楷體" w:hint="eastAsia"/>
          <w:b/>
          <w:color w:val="000000" w:themeColor="text1"/>
          <w:sz w:val="28"/>
          <w:szCs w:val="28"/>
        </w:rPr>
        <w:t>施行以來</w:t>
      </w:r>
      <w:r w:rsidRPr="009D11AD">
        <w:rPr>
          <w:rFonts w:hAnsi="標楷體" w:hint="eastAsia"/>
          <w:b/>
          <w:color w:val="000000" w:themeColor="text1"/>
          <w:sz w:val="28"/>
          <w:szCs w:val="28"/>
        </w:rPr>
        <w:t>部分中央公務機關資安專職人力仍欠適足，資安督導業務亦未盡落實等情形，有待督促相關機關研謀善策，以提升國家整體資安防護量能</w:t>
      </w:r>
      <w:r w:rsidRPr="00DA2751">
        <w:rPr>
          <w:rFonts w:hAnsi="標楷體" w:hint="eastAsia"/>
          <w:b/>
          <w:color w:val="000000" w:themeColor="text1"/>
          <w:sz w:val="28"/>
          <w:szCs w:val="28"/>
        </w:rPr>
        <w:t>。</w:t>
      </w:r>
    </w:p>
    <w:p w14:paraId="5BC22634" w14:textId="3ABDC1FA" w:rsidR="002E6473" w:rsidRPr="00DA2751" w:rsidRDefault="002E6473" w:rsidP="00873E00">
      <w:pPr>
        <w:overflowPunct w:val="0"/>
        <w:adjustRightInd w:val="0"/>
        <w:snapToGrid w:val="0"/>
        <w:spacing w:line="416" w:lineRule="exact"/>
        <w:ind w:firstLineChars="200" w:firstLine="480"/>
        <w:jc w:val="both"/>
        <w:rPr>
          <w:rFonts w:ascii="標楷體" w:eastAsia="標楷體" w:hAnsi="標楷體"/>
          <w:szCs w:val="24"/>
        </w:rPr>
      </w:pPr>
      <w:r w:rsidRPr="00CE57F9">
        <w:rPr>
          <w:rFonts w:ascii="標楷體" w:eastAsia="標楷體" w:hAnsi="標楷體" w:hint="eastAsia"/>
          <w:szCs w:val="24"/>
        </w:rPr>
        <w:t>行政院為積極推動國家資通安全政策，108年1月1日正式施行資通安全管理法</w:t>
      </w:r>
      <w:r w:rsidR="00E1581C" w:rsidRPr="00CE57F9">
        <w:rPr>
          <w:rFonts w:ascii="標楷體" w:eastAsia="標楷體" w:hAnsi="標楷體" w:hint="eastAsia"/>
          <w:szCs w:val="24"/>
        </w:rPr>
        <w:t>（下稱資安法）</w:t>
      </w:r>
      <w:r w:rsidRPr="00CE57F9">
        <w:rPr>
          <w:rFonts w:ascii="標楷體" w:eastAsia="標楷體" w:hAnsi="標楷體" w:hint="eastAsia"/>
          <w:szCs w:val="24"/>
        </w:rPr>
        <w:t>，依該法授權訂定之資通安全責任等級分級辦法，明定各機關應依其資通安全責任等級配置資安專責人力，並持續精進職能取得專業證照或證書之要求，以提升資安人力質量，加速建構完善之國家資通安全環境。本部前於109年度調查中央政府各機關（構）因應資通安全管理法制整備情形，核有資安法納管機關（構）普遍存在因員額或預算不足等問題，致資通安全專職（責）人力不足、專業證照（書）未達法規低限等情，函請行政院研謀妥處，據復</w:t>
      </w:r>
      <w:r w:rsidR="00E1581C" w:rsidRPr="00CE57F9">
        <w:rPr>
          <w:rFonts w:ascii="標楷體" w:eastAsia="標楷體" w:hAnsi="標楷體" w:hint="eastAsia"/>
          <w:szCs w:val="24"/>
        </w:rPr>
        <w:t>各機關應優先於機關總員額內配置資安專職人力，</w:t>
      </w:r>
      <w:r w:rsidRPr="00CE57F9">
        <w:rPr>
          <w:rFonts w:ascii="標楷體" w:eastAsia="標楷體" w:hAnsi="標楷體" w:hint="eastAsia"/>
          <w:szCs w:val="24"/>
        </w:rPr>
        <w:t>如暫無缺額人力可支配，得先以約聘僱或委外人員擔任，暨籌設數位發展部同步規劃設計延攬留用資安人力之待遇誘因並加強資安培訓等</w:t>
      </w:r>
      <w:r w:rsidR="009F5F57" w:rsidRPr="00CE57F9">
        <w:rPr>
          <w:rFonts w:ascii="標楷體" w:eastAsia="標楷體" w:hAnsi="標楷體" w:hint="eastAsia"/>
          <w:szCs w:val="24"/>
        </w:rPr>
        <w:t>情</w:t>
      </w:r>
      <w:r w:rsidRPr="00CE57F9">
        <w:rPr>
          <w:rFonts w:ascii="標楷體" w:eastAsia="標楷體" w:hAnsi="標楷體" w:hint="eastAsia"/>
          <w:szCs w:val="24"/>
        </w:rPr>
        <w:t>。案經追蹤查核結果，政府為強化整體資安防護量能，於111年8月27日成立</w:t>
      </w:r>
      <w:r w:rsidR="002932A6" w:rsidRPr="00CE57F9">
        <w:rPr>
          <w:rFonts w:ascii="標楷體" w:eastAsia="標楷體" w:hAnsi="標楷體" w:hint="eastAsia"/>
          <w:szCs w:val="24"/>
        </w:rPr>
        <w:t>數位發展部</w:t>
      </w:r>
      <w:r w:rsidRPr="00CE57F9">
        <w:rPr>
          <w:rFonts w:ascii="標楷體" w:eastAsia="標楷體" w:hAnsi="標楷體" w:hint="eastAsia"/>
          <w:szCs w:val="24"/>
        </w:rPr>
        <w:t>，下設資通安全署（下稱資安署），負責國家資通安全政策規劃、執行及督導。本部於112年4月間洽請資安署提供截至111年底止之資</w:t>
      </w:r>
      <w:r w:rsidR="00E1581C" w:rsidRPr="00CE57F9">
        <w:rPr>
          <w:rFonts w:ascii="標楷體" w:eastAsia="標楷體" w:hAnsi="標楷體" w:hint="eastAsia"/>
          <w:szCs w:val="24"/>
        </w:rPr>
        <w:t>安</w:t>
      </w:r>
      <w:r w:rsidRPr="00CE57F9">
        <w:rPr>
          <w:rFonts w:ascii="標楷體" w:eastAsia="標楷體" w:hAnsi="標楷體" w:hint="eastAsia"/>
          <w:szCs w:val="24"/>
        </w:rPr>
        <w:t>法納管公務機關資安專職（責）人力配置及證照（書）取得情形，據說明將併同111年度資通安全維護計畫實施情形調查作業，通函各機關於112年5月底完成填報，再由該署彙整分析，爰僅提供110年底資料供本部參考</w:t>
      </w:r>
      <w:r w:rsidR="00A74179" w:rsidRPr="00CE57F9">
        <w:rPr>
          <w:rFonts w:ascii="標楷體" w:eastAsia="標楷體" w:hAnsi="標楷體" w:hint="eastAsia"/>
          <w:szCs w:val="24"/>
        </w:rPr>
        <w:t>等</w:t>
      </w:r>
      <w:r w:rsidRPr="00CE57F9">
        <w:rPr>
          <w:rFonts w:ascii="標楷體" w:eastAsia="標楷體" w:hAnsi="標楷體" w:hint="eastAsia"/>
          <w:szCs w:val="24"/>
        </w:rPr>
        <w:t>，顯示該署於111年度結束後，已逾4個月仍未確實掌握整體資安專職（責）人力及證照（書）取得近況，不利適時督導各機關資安業務。</w:t>
      </w:r>
      <w:r w:rsidR="009F5F57" w:rsidRPr="00CE57F9">
        <w:rPr>
          <w:rFonts w:ascii="標楷體" w:eastAsia="標楷體" w:hAnsi="標楷體" w:hint="eastAsia"/>
          <w:szCs w:val="24"/>
        </w:rPr>
        <w:t>另</w:t>
      </w:r>
      <w:r w:rsidRPr="00CE57F9">
        <w:rPr>
          <w:rFonts w:ascii="標楷體" w:eastAsia="標楷體" w:hAnsi="標楷體" w:hint="eastAsia"/>
          <w:szCs w:val="24"/>
        </w:rPr>
        <w:t>據國家資通安全研究院111年第4季資通安全技術報告之稽核常見待改善事項載述，機關囿於資安人力資源，未妥適配置資安專職（責）人力，及按資安署統計，截至110年底止，中央政府資通安全責任等級A至C級公務機關（含行政法人）共532個（A級有44個、B級有111個及C級有</w:t>
      </w:r>
      <w:r w:rsidRPr="00CE57F9">
        <w:rPr>
          <w:rFonts w:ascii="標楷體" w:eastAsia="標楷體" w:hAnsi="標楷體" w:hint="eastAsia"/>
          <w:spacing w:val="-2"/>
          <w:szCs w:val="24"/>
        </w:rPr>
        <w:t>377個</w:t>
      </w:r>
      <w:r w:rsidRPr="00CE57F9">
        <w:rPr>
          <w:rFonts w:ascii="標楷體" w:eastAsia="標楷體" w:hAnsi="標楷體" w:hint="eastAsia"/>
          <w:szCs w:val="24"/>
        </w:rPr>
        <w:t>），依規定須分別配置專職人員</w:t>
      </w:r>
      <w:r w:rsidRPr="00CE57F9">
        <w:rPr>
          <w:rFonts w:ascii="標楷體" w:eastAsia="標楷體" w:hAnsi="標楷體" w:hint="eastAsia"/>
          <w:spacing w:val="-2"/>
          <w:szCs w:val="24"/>
        </w:rPr>
        <w:t>4人、2人、1人，</w:t>
      </w:r>
      <w:r w:rsidRPr="00CE57F9">
        <w:rPr>
          <w:rFonts w:ascii="標楷體" w:eastAsia="標楷體" w:hAnsi="標楷體" w:hint="eastAsia"/>
          <w:szCs w:val="24"/>
        </w:rPr>
        <w:t>全職執行資通安全業務，並至少取得4張、2張、1張專業證照及職能評量證書，經查機關資安專職人數、資安專業證照、職能評量證書仍未達法規低限者，分別</w:t>
      </w:r>
      <w:r w:rsidR="00E1581C" w:rsidRPr="00CE57F9">
        <w:rPr>
          <w:rFonts w:ascii="標楷體" w:eastAsia="標楷體" w:hAnsi="標楷體" w:hint="eastAsia"/>
          <w:szCs w:val="24"/>
        </w:rPr>
        <w:t>為</w:t>
      </w:r>
      <w:r w:rsidRPr="00CE57F9">
        <w:rPr>
          <w:rFonts w:ascii="標楷體" w:eastAsia="標楷體" w:hAnsi="標楷體" w:hint="eastAsia"/>
          <w:szCs w:val="24"/>
        </w:rPr>
        <w:t>124個</w:t>
      </w:r>
      <w:r w:rsidRPr="00CE57F9">
        <w:rPr>
          <w:rFonts w:ascii="標楷體" w:eastAsia="標楷體" w:hAnsi="標楷體" w:hint="eastAsia"/>
          <w:spacing w:val="-2"/>
          <w:szCs w:val="24"/>
        </w:rPr>
        <w:t>（23.31％）、197個（37.03％）、221個（41.54％）</w:t>
      </w:r>
      <w:r w:rsidRPr="00CE57F9">
        <w:rPr>
          <w:rFonts w:ascii="標楷體" w:eastAsia="標楷體" w:hAnsi="標楷體" w:hint="eastAsia"/>
          <w:szCs w:val="24"/>
        </w:rPr>
        <w:t>；</w:t>
      </w:r>
      <w:r w:rsidR="00413556" w:rsidRPr="00CE57F9">
        <w:rPr>
          <w:rFonts w:ascii="標楷體" w:eastAsia="標楷體" w:hAnsi="標楷體" w:hint="eastAsia"/>
          <w:szCs w:val="24"/>
        </w:rPr>
        <w:t>人數總缺口及證照、證書總差額，分別為</w:t>
      </w:r>
      <w:r w:rsidRPr="00CE57F9">
        <w:rPr>
          <w:rFonts w:ascii="標楷體" w:eastAsia="標楷體" w:hAnsi="標楷體" w:hint="eastAsia"/>
          <w:spacing w:val="-2"/>
          <w:szCs w:val="24"/>
        </w:rPr>
        <w:t>141人、225張、</w:t>
      </w:r>
      <w:r w:rsidRPr="00CE57F9">
        <w:rPr>
          <w:rFonts w:ascii="標楷體" w:eastAsia="標楷體" w:hAnsi="標楷體" w:hint="eastAsia"/>
          <w:szCs w:val="24"/>
        </w:rPr>
        <w:t>266張（表9），與109年度相較，中央公務機關資安人力質量整備情形已有改善，惟其中5個A級、19個B級及100個C級機關因資安專職人力尚欠適足，致連動影響證照（書）取得張數未達法定要求，若</w:t>
      </w:r>
      <w:r w:rsidRPr="00873E00">
        <w:rPr>
          <w:rFonts w:ascii="標楷體" w:eastAsia="標楷體" w:hAnsi="標楷體" w:hint="eastAsia"/>
          <w:szCs w:val="24"/>
        </w:rPr>
        <w:t>計入</w:t>
      </w:r>
      <w:r w:rsidRPr="00873E00">
        <w:rPr>
          <w:rFonts w:ascii="標楷體" w:eastAsia="標楷體" w:hAnsi="標楷體" w:hint="eastAsia"/>
          <w:szCs w:val="24"/>
        </w:rPr>
        <w:lastRenderedPageBreak/>
        <w:t>機關其他兼職人力取照情形，整體證照（書）缺口仍分別</w:t>
      </w:r>
      <w:r w:rsidR="00413556" w:rsidRPr="00777ACA">
        <w:rPr>
          <w:rFonts w:ascii="標楷體" w:eastAsia="標楷體" w:hAnsi="標楷體" w:hint="eastAsia"/>
          <w:szCs w:val="24"/>
        </w:rPr>
        <w:t>為</w:t>
      </w:r>
      <w:r w:rsidRPr="00873E00">
        <w:rPr>
          <w:rFonts w:ascii="標楷體" w:eastAsia="標楷體" w:hAnsi="標楷體" w:hint="eastAsia"/>
          <w:szCs w:val="24"/>
        </w:rPr>
        <w:t>108張及99張。據資安署說明前揭</w:t>
      </w:r>
      <w:r w:rsidR="00E9304D" w:rsidRPr="00CE6A7D">
        <w:rPr>
          <w:rFonts w:ascii="標楷體" w:eastAsia="標楷體" w:hAnsi="標楷體"/>
          <w:bCs/>
          <w:noProof/>
          <w:szCs w:val="24"/>
        </w:rPr>
        <mc:AlternateContent>
          <mc:Choice Requires="wps">
            <w:drawing>
              <wp:anchor distT="45720" distB="45720" distL="114300" distR="114300" simplePos="0" relativeHeight="251678208" behindDoc="0" locked="0" layoutInCell="1" allowOverlap="1" wp14:anchorId="16D03AF6" wp14:editId="4AF7435B">
                <wp:simplePos x="0" y="0"/>
                <wp:positionH relativeFrom="page">
                  <wp:posOffset>587886</wp:posOffset>
                </wp:positionH>
                <wp:positionV relativeFrom="paragraph">
                  <wp:posOffset>-14563</wp:posOffset>
                </wp:positionV>
                <wp:extent cx="6361200" cy="2394000"/>
                <wp:effectExtent l="0" t="0" r="0" b="6350"/>
                <wp:wrapSquare wrapText="bothSides"/>
                <wp:docPr id="472" name="文字方塊 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1200" cy="2394000"/>
                        </a:xfrm>
                        <a:prstGeom prst="rect">
                          <a:avLst/>
                        </a:prstGeom>
                        <a:noFill/>
                        <a:ln w="9525">
                          <a:noFill/>
                          <a:miter lim="800000"/>
                          <a:headEnd/>
                          <a:tailEnd/>
                        </a:ln>
                      </wps:spPr>
                      <wps:txbx>
                        <w:txbxContent>
                          <w:p w14:paraId="729A5B61" w14:textId="77777777" w:rsidR="00CE57F9" w:rsidRDefault="00CE57F9" w:rsidP="00E9304D">
                            <w:pPr>
                              <w:spacing w:line="20" w:lineRule="exact"/>
                            </w:pPr>
                          </w:p>
                          <w:tbl>
                            <w:tblP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709"/>
                              <w:gridCol w:w="960"/>
                              <w:gridCol w:w="938"/>
                              <w:gridCol w:w="795"/>
                              <w:gridCol w:w="992"/>
                              <w:gridCol w:w="900"/>
                              <w:gridCol w:w="829"/>
                              <w:gridCol w:w="992"/>
                              <w:gridCol w:w="979"/>
                              <w:gridCol w:w="836"/>
                            </w:tblGrid>
                            <w:tr w:rsidR="00CE57F9" w:rsidRPr="00E82617" w14:paraId="5E370B6B" w14:textId="77777777" w:rsidTr="00F72E6D">
                              <w:trPr>
                                <w:trHeight w:val="330"/>
                              </w:trPr>
                              <w:tc>
                                <w:tcPr>
                                  <w:tcW w:w="9781" w:type="dxa"/>
                                  <w:gridSpan w:val="11"/>
                                  <w:tcBorders>
                                    <w:top w:val="nil"/>
                                    <w:left w:val="nil"/>
                                    <w:bottom w:val="nil"/>
                                    <w:right w:val="nil"/>
                                  </w:tcBorders>
                                  <w:shd w:val="clear" w:color="auto" w:fill="auto"/>
                                  <w:noWrap/>
                                  <w:vAlign w:val="center"/>
                                </w:tcPr>
                                <w:p w14:paraId="26B08DA7" w14:textId="77777777" w:rsidR="00CE57F9" w:rsidRPr="00BD13A9" w:rsidRDefault="00CE57F9" w:rsidP="003515CF">
                                  <w:pPr>
                                    <w:adjustRightInd w:val="0"/>
                                    <w:snapToGrid w:val="0"/>
                                    <w:ind w:leftChars="-2" w:left="644" w:rightChars="-17" w:right="-41" w:hangingChars="270" w:hanging="649"/>
                                    <w:rPr>
                                      <w:rFonts w:ascii="標楷體" w:eastAsia="標楷體" w:hAnsi="標楷體" w:cs="新細明體"/>
                                      <w:kern w:val="0"/>
                                      <w:szCs w:val="24"/>
                                    </w:rPr>
                                  </w:pPr>
                                  <w:r w:rsidRPr="00C02724">
                                    <w:rPr>
                                      <w:rFonts w:ascii="標楷體" w:eastAsia="標楷體" w:hAnsi="標楷體" w:hint="eastAsia"/>
                                      <w:b/>
                                      <w:szCs w:val="32"/>
                                    </w:rPr>
                                    <w:t>表</w:t>
                                  </w:r>
                                  <w:r>
                                    <w:rPr>
                                      <w:rFonts w:ascii="標楷體" w:eastAsia="標楷體" w:hAnsi="標楷體"/>
                                      <w:b/>
                                      <w:szCs w:val="32"/>
                                    </w:rPr>
                                    <w:t>9</w:t>
                                  </w:r>
                                  <w:r w:rsidRPr="00C02724">
                                    <w:rPr>
                                      <w:rFonts w:ascii="標楷體" w:eastAsia="標楷體" w:hAnsi="標楷體" w:hint="eastAsia"/>
                                      <w:b/>
                                      <w:szCs w:val="32"/>
                                    </w:rPr>
                                    <w:t xml:space="preserve">　1</w:t>
                                  </w:r>
                                  <w:r w:rsidRPr="00C02724">
                                    <w:rPr>
                                      <w:rFonts w:ascii="標楷體" w:eastAsia="標楷體" w:hAnsi="標楷體"/>
                                      <w:b/>
                                      <w:szCs w:val="32"/>
                                    </w:rPr>
                                    <w:t>10</w:t>
                                  </w:r>
                                  <w:r w:rsidRPr="00C02724">
                                    <w:rPr>
                                      <w:rFonts w:ascii="標楷體" w:eastAsia="標楷體" w:hAnsi="標楷體" w:hint="eastAsia"/>
                                      <w:b/>
                                      <w:szCs w:val="32"/>
                                    </w:rPr>
                                    <w:t>年底中央政府資通安全責任等級A至C級公務機關（含行政法人</w:t>
                                  </w:r>
                                  <w:r w:rsidRPr="00C02724">
                                    <w:rPr>
                                      <w:rFonts w:ascii="標楷體" w:eastAsia="標楷體" w:hAnsi="標楷體"/>
                                      <w:b/>
                                      <w:szCs w:val="32"/>
                                    </w:rPr>
                                    <w:t>）</w:t>
                                  </w:r>
                                  <w:r w:rsidRPr="00C02724">
                                    <w:rPr>
                                      <w:rFonts w:ascii="標楷體" w:eastAsia="標楷體" w:hAnsi="標楷體" w:hint="eastAsia"/>
                                      <w:b/>
                                      <w:szCs w:val="32"/>
                                    </w:rPr>
                                    <w:t>資通安全專職人力配置及證照（書）未達法規低限情形</w:t>
                                  </w:r>
                                </w:p>
                              </w:tc>
                            </w:tr>
                            <w:tr w:rsidR="00CE57F9" w:rsidRPr="00E82617" w14:paraId="1334CA81" w14:textId="77777777" w:rsidTr="00F72E6D">
                              <w:trPr>
                                <w:trHeight w:val="330"/>
                              </w:trPr>
                              <w:tc>
                                <w:tcPr>
                                  <w:tcW w:w="9781" w:type="dxa"/>
                                  <w:gridSpan w:val="11"/>
                                  <w:tcBorders>
                                    <w:top w:val="nil"/>
                                    <w:left w:val="nil"/>
                                    <w:bottom w:val="single" w:sz="4" w:space="0" w:color="auto"/>
                                    <w:right w:val="nil"/>
                                  </w:tcBorders>
                                  <w:shd w:val="clear" w:color="auto" w:fill="auto"/>
                                  <w:noWrap/>
                                  <w:vAlign w:val="center"/>
                                </w:tcPr>
                                <w:p w14:paraId="00BDFA37" w14:textId="77777777" w:rsidR="00CE57F9" w:rsidRPr="00E82617" w:rsidRDefault="00CE57F9" w:rsidP="00F72E6D">
                                  <w:pPr>
                                    <w:widowControl/>
                                    <w:spacing w:line="300" w:lineRule="exact"/>
                                    <w:jc w:val="right"/>
                                    <w:rPr>
                                      <w:rFonts w:ascii="標楷體" w:eastAsia="標楷體" w:hAnsi="標楷體" w:cs="新細明體"/>
                                      <w:kern w:val="0"/>
                                      <w:sz w:val="20"/>
                                    </w:rPr>
                                  </w:pPr>
                                  <w:r w:rsidRPr="00E82617">
                                    <w:rPr>
                                      <w:rFonts w:ascii="標楷體" w:eastAsia="標楷體" w:hAnsi="標楷體" w:cs="新細明體" w:hint="eastAsia"/>
                                      <w:kern w:val="0"/>
                                      <w:sz w:val="20"/>
                                    </w:rPr>
                                    <w:t>單位：個、％、人、張</w:t>
                                  </w:r>
                                </w:p>
                              </w:tc>
                            </w:tr>
                            <w:tr w:rsidR="00CE57F9" w:rsidRPr="00E82617" w14:paraId="10DAC287" w14:textId="77777777" w:rsidTr="00DA2751">
                              <w:trPr>
                                <w:trHeight w:val="330"/>
                              </w:trPr>
                              <w:tc>
                                <w:tcPr>
                                  <w:tcW w:w="851" w:type="dxa"/>
                                  <w:vMerge w:val="restart"/>
                                  <w:tcBorders>
                                    <w:top w:val="single" w:sz="4" w:space="0" w:color="auto"/>
                                  </w:tcBorders>
                                  <w:shd w:val="clear" w:color="auto" w:fill="auto"/>
                                  <w:noWrap/>
                                  <w:vAlign w:val="center"/>
                                  <w:hideMark/>
                                </w:tcPr>
                                <w:p w14:paraId="6B496505" w14:textId="77777777" w:rsidR="00CE57F9" w:rsidRPr="00657F0A" w:rsidRDefault="00CE57F9" w:rsidP="00F72E6D">
                                  <w:pPr>
                                    <w:widowControl/>
                                    <w:spacing w:line="240" w:lineRule="exact"/>
                                    <w:jc w:val="center"/>
                                    <w:rPr>
                                      <w:rFonts w:ascii="標楷體" w:eastAsia="標楷體" w:hAnsi="標楷體" w:cs="新細明體"/>
                                      <w:color w:val="000000"/>
                                      <w:kern w:val="0"/>
                                      <w:sz w:val="20"/>
                                    </w:rPr>
                                  </w:pPr>
                                  <w:r w:rsidRPr="00657F0A">
                                    <w:rPr>
                                      <w:rFonts w:ascii="標楷體" w:eastAsia="標楷體" w:hAnsi="標楷體" w:cs="新細明體" w:hint="eastAsia"/>
                                      <w:color w:val="000000"/>
                                      <w:kern w:val="0"/>
                                      <w:sz w:val="20"/>
                                    </w:rPr>
                                    <w:t xml:space="preserve">資通安全責任等級 </w:t>
                                  </w:r>
                                  <w:r w:rsidRPr="00657F0A">
                                    <w:rPr>
                                      <w:rFonts w:ascii="標楷體" w:eastAsia="標楷體" w:hAnsi="標楷體" w:cs="新細明體"/>
                                      <w:color w:val="000000"/>
                                      <w:kern w:val="0"/>
                                      <w:sz w:val="20"/>
                                    </w:rPr>
                                    <w:t xml:space="preserve"> </w:t>
                                  </w:r>
                                </w:p>
                              </w:tc>
                              <w:tc>
                                <w:tcPr>
                                  <w:tcW w:w="709" w:type="dxa"/>
                                  <w:vMerge w:val="restart"/>
                                  <w:tcBorders>
                                    <w:top w:val="single" w:sz="4" w:space="0" w:color="auto"/>
                                  </w:tcBorders>
                                  <w:shd w:val="clear" w:color="auto" w:fill="auto"/>
                                  <w:noWrap/>
                                  <w:vAlign w:val="center"/>
                                  <w:hideMark/>
                                </w:tcPr>
                                <w:p w14:paraId="79B551F5" w14:textId="77777777" w:rsidR="00CE57F9" w:rsidRPr="00CE57F9" w:rsidRDefault="00CE57F9" w:rsidP="004573C0">
                                  <w:pPr>
                                    <w:widowControl/>
                                    <w:spacing w:line="240" w:lineRule="exact"/>
                                    <w:jc w:val="center"/>
                                    <w:rPr>
                                      <w:rFonts w:ascii="標楷體" w:eastAsia="標楷體" w:hAnsi="標楷體" w:cs="新細明體"/>
                                      <w:color w:val="000000"/>
                                      <w:spacing w:val="-2"/>
                                      <w:kern w:val="0"/>
                                      <w:sz w:val="20"/>
                                    </w:rPr>
                                  </w:pPr>
                                  <w:r w:rsidRPr="00CE57F9">
                                    <w:rPr>
                                      <w:rFonts w:ascii="標楷體" w:eastAsia="標楷體" w:hAnsi="標楷體" w:cs="新細明體" w:hint="eastAsia"/>
                                      <w:color w:val="000000"/>
                                      <w:spacing w:val="-2"/>
                                      <w:kern w:val="0"/>
                                      <w:sz w:val="20"/>
                                    </w:rPr>
                                    <w:t>機關（構</w:t>
                                  </w:r>
                                  <w:r w:rsidRPr="00CE57F9">
                                    <w:rPr>
                                      <w:rFonts w:ascii="標楷體" w:eastAsia="標楷體" w:hAnsi="標楷體" w:cs="新細明體"/>
                                      <w:color w:val="000000"/>
                                      <w:spacing w:val="-2"/>
                                      <w:kern w:val="0"/>
                                      <w:sz w:val="20"/>
                                    </w:rPr>
                                    <w:t>）</w:t>
                                  </w:r>
                                  <w:r w:rsidRPr="00CE57F9">
                                    <w:rPr>
                                      <w:rFonts w:ascii="標楷體" w:eastAsia="標楷體" w:hAnsi="標楷體" w:cs="新細明體" w:hint="eastAsia"/>
                                      <w:color w:val="000000"/>
                                      <w:spacing w:val="-2"/>
                                      <w:kern w:val="0"/>
                                      <w:sz w:val="20"/>
                                    </w:rPr>
                                    <w:t>數</w:t>
                                  </w:r>
                                </w:p>
                              </w:tc>
                              <w:tc>
                                <w:tcPr>
                                  <w:tcW w:w="2693" w:type="dxa"/>
                                  <w:gridSpan w:val="3"/>
                                  <w:tcBorders>
                                    <w:top w:val="nil"/>
                                    <w:bottom w:val="nil"/>
                                  </w:tcBorders>
                                  <w:shd w:val="clear" w:color="auto" w:fill="auto"/>
                                  <w:noWrap/>
                                  <w:vAlign w:val="center"/>
                                  <w:hideMark/>
                                </w:tcPr>
                                <w:p w14:paraId="3C162435" w14:textId="77777777" w:rsidR="00CE57F9" w:rsidRPr="00CE57F9" w:rsidRDefault="00CE57F9" w:rsidP="00DA2751">
                                  <w:pPr>
                                    <w:widowControl/>
                                    <w:spacing w:line="240" w:lineRule="exact"/>
                                    <w:rPr>
                                      <w:rFonts w:ascii="標楷體" w:eastAsia="標楷體" w:hAnsi="標楷體" w:cs="新細明體"/>
                                      <w:color w:val="000000"/>
                                      <w:kern w:val="0"/>
                                      <w:sz w:val="20"/>
                                    </w:rPr>
                                  </w:pPr>
                                  <w:r w:rsidRPr="00CE57F9">
                                    <w:rPr>
                                      <w:rFonts w:ascii="標楷體" w:eastAsia="標楷體" w:hAnsi="標楷體" w:cs="新細明體" w:hint="eastAsia"/>
                                      <w:color w:val="000000"/>
                                      <w:kern w:val="0"/>
                                      <w:sz w:val="20"/>
                                    </w:rPr>
                                    <w:t>資安專職人員配置未達</w:t>
                                  </w:r>
                                </w:p>
                              </w:tc>
                              <w:tc>
                                <w:tcPr>
                                  <w:tcW w:w="2721" w:type="dxa"/>
                                  <w:gridSpan w:val="3"/>
                                  <w:tcBorders>
                                    <w:top w:val="nil"/>
                                    <w:bottom w:val="nil"/>
                                  </w:tcBorders>
                                  <w:shd w:val="clear" w:color="auto" w:fill="auto"/>
                                  <w:noWrap/>
                                  <w:vAlign w:val="center"/>
                                  <w:hideMark/>
                                </w:tcPr>
                                <w:p w14:paraId="3877D700" w14:textId="77777777" w:rsidR="00CE57F9" w:rsidRPr="00CE57F9" w:rsidRDefault="00CE57F9" w:rsidP="00DA2751">
                                  <w:pPr>
                                    <w:widowControl/>
                                    <w:spacing w:line="240" w:lineRule="exact"/>
                                    <w:rPr>
                                      <w:rFonts w:ascii="標楷體" w:eastAsia="標楷體" w:hAnsi="標楷體" w:cs="新細明體"/>
                                      <w:color w:val="000000"/>
                                      <w:kern w:val="0"/>
                                      <w:sz w:val="20"/>
                                    </w:rPr>
                                  </w:pPr>
                                  <w:r w:rsidRPr="00CE57F9">
                                    <w:rPr>
                                      <w:rFonts w:ascii="標楷體" w:eastAsia="標楷體" w:hAnsi="標楷體" w:cs="新細明體" w:hint="eastAsia"/>
                                      <w:color w:val="000000"/>
                                      <w:kern w:val="0"/>
                                      <w:sz w:val="20"/>
                                    </w:rPr>
                                    <w:t>資安人力專業證照數未達</w:t>
                                  </w:r>
                                </w:p>
                              </w:tc>
                              <w:tc>
                                <w:tcPr>
                                  <w:tcW w:w="2807" w:type="dxa"/>
                                  <w:gridSpan w:val="3"/>
                                  <w:tcBorders>
                                    <w:top w:val="nil"/>
                                    <w:bottom w:val="nil"/>
                                  </w:tcBorders>
                                  <w:shd w:val="clear" w:color="auto" w:fill="auto"/>
                                  <w:noWrap/>
                                  <w:vAlign w:val="center"/>
                                  <w:hideMark/>
                                </w:tcPr>
                                <w:p w14:paraId="687FFB5B" w14:textId="77777777" w:rsidR="00CE57F9" w:rsidRPr="00CE57F9" w:rsidRDefault="00CE57F9" w:rsidP="00DA2751">
                                  <w:pPr>
                                    <w:widowControl/>
                                    <w:spacing w:line="240" w:lineRule="exact"/>
                                    <w:rPr>
                                      <w:rFonts w:ascii="標楷體" w:eastAsia="標楷體" w:hAnsi="標楷體" w:cs="新細明體"/>
                                      <w:color w:val="000000"/>
                                      <w:kern w:val="0"/>
                                      <w:sz w:val="20"/>
                                    </w:rPr>
                                  </w:pPr>
                                  <w:r w:rsidRPr="00CE57F9">
                                    <w:rPr>
                                      <w:rFonts w:ascii="標楷體" w:eastAsia="標楷體" w:hAnsi="標楷體" w:cs="新細明體" w:hint="eastAsia"/>
                                      <w:color w:val="000000"/>
                                      <w:kern w:val="0"/>
                                      <w:sz w:val="20"/>
                                    </w:rPr>
                                    <w:t>資安人力職能評量證書數未達</w:t>
                                  </w:r>
                                </w:p>
                              </w:tc>
                            </w:tr>
                            <w:tr w:rsidR="00CE57F9" w:rsidRPr="00E82617" w14:paraId="3EF9FF3E" w14:textId="77777777" w:rsidTr="00DA2751">
                              <w:trPr>
                                <w:trHeight w:val="330"/>
                              </w:trPr>
                              <w:tc>
                                <w:tcPr>
                                  <w:tcW w:w="851" w:type="dxa"/>
                                  <w:vMerge/>
                                  <w:vAlign w:val="center"/>
                                  <w:hideMark/>
                                </w:tcPr>
                                <w:p w14:paraId="3365812C" w14:textId="77777777" w:rsidR="00CE57F9" w:rsidRPr="00E82617" w:rsidRDefault="00CE57F9" w:rsidP="00F72E6D">
                                  <w:pPr>
                                    <w:widowControl/>
                                    <w:spacing w:line="300" w:lineRule="exact"/>
                                    <w:jc w:val="center"/>
                                    <w:rPr>
                                      <w:rFonts w:ascii="標楷體" w:eastAsia="標楷體" w:hAnsi="標楷體" w:cs="新細明體"/>
                                      <w:kern w:val="0"/>
                                      <w:sz w:val="20"/>
                                    </w:rPr>
                                  </w:pPr>
                                </w:p>
                              </w:tc>
                              <w:tc>
                                <w:tcPr>
                                  <w:tcW w:w="709" w:type="dxa"/>
                                  <w:vMerge/>
                                  <w:vAlign w:val="center"/>
                                  <w:hideMark/>
                                </w:tcPr>
                                <w:p w14:paraId="58193D70" w14:textId="77777777" w:rsidR="00CE57F9" w:rsidRPr="00CE57F9" w:rsidRDefault="00CE57F9" w:rsidP="00F72E6D">
                                  <w:pPr>
                                    <w:widowControl/>
                                    <w:spacing w:line="240" w:lineRule="exact"/>
                                    <w:jc w:val="center"/>
                                    <w:rPr>
                                      <w:rFonts w:ascii="標楷體" w:eastAsia="標楷體" w:hAnsi="標楷體" w:cs="新細明體"/>
                                      <w:color w:val="000000"/>
                                      <w:kern w:val="0"/>
                                      <w:sz w:val="20"/>
                                    </w:rPr>
                                  </w:pPr>
                                </w:p>
                              </w:tc>
                              <w:tc>
                                <w:tcPr>
                                  <w:tcW w:w="960" w:type="dxa"/>
                                  <w:tcBorders>
                                    <w:top w:val="nil"/>
                                  </w:tcBorders>
                                  <w:shd w:val="clear" w:color="auto" w:fill="auto"/>
                                  <w:noWrap/>
                                  <w:hideMark/>
                                </w:tcPr>
                                <w:p w14:paraId="5B56E454" w14:textId="77777777" w:rsidR="00CE57F9" w:rsidRPr="00CE57F9" w:rsidRDefault="00CE57F9">
                                  <w:pPr>
                                    <w:widowControl/>
                                    <w:spacing w:line="240" w:lineRule="exact"/>
                                    <w:jc w:val="both"/>
                                    <w:rPr>
                                      <w:rFonts w:ascii="標楷體" w:eastAsia="標楷體" w:hAnsi="標楷體" w:cs="新細明體"/>
                                      <w:color w:val="000000"/>
                                      <w:kern w:val="0"/>
                                      <w:sz w:val="20"/>
                                    </w:rPr>
                                  </w:pPr>
                                  <w:r w:rsidRPr="00CE57F9">
                                    <w:rPr>
                                      <w:rFonts w:ascii="標楷體" w:eastAsia="標楷體" w:hAnsi="標楷體" w:cs="新細明體" w:hint="eastAsia"/>
                                      <w:color w:val="000000"/>
                                      <w:kern w:val="0"/>
                                      <w:sz w:val="20"/>
                                    </w:rPr>
                                    <w:t>法規低限</w:t>
                                  </w:r>
                                </w:p>
                              </w:tc>
                              <w:tc>
                                <w:tcPr>
                                  <w:tcW w:w="938" w:type="dxa"/>
                                  <w:shd w:val="clear" w:color="auto" w:fill="auto"/>
                                  <w:noWrap/>
                                  <w:vAlign w:val="center"/>
                                  <w:hideMark/>
                                </w:tcPr>
                                <w:p w14:paraId="2F8240E9" w14:textId="77777777" w:rsidR="00CE57F9" w:rsidRPr="00CE57F9" w:rsidRDefault="00CE57F9">
                                  <w:pPr>
                                    <w:widowControl/>
                                    <w:spacing w:line="240" w:lineRule="exact"/>
                                    <w:jc w:val="center"/>
                                    <w:rPr>
                                      <w:rFonts w:ascii="標楷體" w:eastAsia="標楷體" w:hAnsi="標楷體" w:cs="新細明體"/>
                                      <w:color w:val="000000"/>
                                      <w:spacing w:val="-16"/>
                                      <w:kern w:val="0"/>
                                      <w:sz w:val="20"/>
                                    </w:rPr>
                                  </w:pPr>
                                  <w:r w:rsidRPr="00CE57F9">
                                    <w:rPr>
                                      <w:rFonts w:ascii="標楷體" w:eastAsia="標楷體" w:hAnsi="標楷體" w:cs="新細明體" w:hint="eastAsia"/>
                                      <w:color w:val="000000"/>
                                      <w:kern w:val="0"/>
                                      <w:sz w:val="20"/>
                                    </w:rPr>
                                    <w:t>占比</w:t>
                                  </w:r>
                                </w:p>
                              </w:tc>
                              <w:tc>
                                <w:tcPr>
                                  <w:tcW w:w="795" w:type="dxa"/>
                                  <w:shd w:val="clear" w:color="auto" w:fill="auto"/>
                                  <w:noWrap/>
                                  <w:vAlign w:val="center"/>
                                  <w:hideMark/>
                                </w:tcPr>
                                <w:p w14:paraId="3300EEAE" w14:textId="77777777" w:rsidR="00CE57F9" w:rsidRPr="00CE57F9" w:rsidRDefault="00CE57F9" w:rsidP="00F72E6D">
                                  <w:pPr>
                                    <w:widowControl/>
                                    <w:spacing w:line="240" w:lineRule="exact"/>
                                    <w:jc w:val="center"/>
                                    <w:rPr>
                                      <w:rFonts w:ascii="標楷體" w:eastAsia="標楷體" w:hAnsi="標楷體" w:cs="新細明體"/>
                                      <w:color w:val="000000"/>
                                      <w:kern w:val="0"/>
                                      <w:sz w:val="20"/>
                                    </w:rPr>
                                  </w:pPr>
                                  <w:r w:rsidRPr="00CE57F9">
                                    <w:rPr>
                                      <w:rFonts w:ascii="標楷體" w:eastAsia="標楷體" w:hAnsi="標楷體" w:cs="新細明體" w:hint="eastAsia"/>
                                      <w:color w:val="000000"/>
                                      <w:kern w:val="0"/>
                                      <w:sz w:val="20"/>
                                    </w:rPr>
                                    <w:t>人力</w:t>
                                  </w:r>
                                </w:p>
                                <w:p w14:paraId="45D1605A" w14:textId="77777777" w:rsidR="00CE57F9" w:rsidRPr="00CE57F9" w:rsidRDefault="00CE57F9" w:rsidP="00F72E6D">
                                  <w:pPr>
                                    <w:widowControl/>
                                    <w:spacing w:line="240" w:lineRule="exact"/>
                                    <w:jc w:val="center"/>
                                    <w:rPr>
                                      <w:rFonts w:ascii="標楷體" w:eastAsia="標楷體" w:hAnsi="標楷體" w:cs="新細明體"/>
                                      <w:color w:val="000000"/>
                                      <w:kern w:val="0"/>
                                      <w:sz w:val="20"/>
                                    </w:rPr>
                                  </w:pPr>
                                  <w:r w:rsidRPr="00CE57F9">
                                    <w:rPr>
                                      <w:rFonts w:ascii="標楷體" w:eastAsia="標楷體" w:hAnsi="標楷體" w:cs="新細明體" w:hint="eastAsia"/>
                                      <w:color w:val="000000"/>
                                      <w:kern w:val="0"/>
                                      <w:sz w:val="20"/>
                                    </w:rPr>
                                    <w:t>缺口</w:t>
                                  </w:r>
                                </w:p>
                              </w:tc>
                              <w:tc>
                                <w:tcPr>
                                  <w:tcW w:w="992" w:type="dxa"/>
                                  <w:tcBorders>
                                    <w:top w:val="nil"/>
                                    <w:bottom w:val="single" w:sz="4" w:space="0" w:color="auto"/>
                                  </w:tcBorders>
                                  <w:shd w:val="clear" w:color="auto" w:fill="auto"/>
                                  <w:noWrap/>
                                  <w:hideMark/>
                                </w:tcPr>
                                <w:p w14:paraId="0C6A400E" w14:textId="77777777" w:rsidR="00CE57F9" w:rsidRPr="00CE57F9" w:rsidRDefault="00CE57F9">
                                  <w:pPr>
                                    <w:widowControl/>
                                    <w:spacing w:line="240" w:lineRule="exact"/>
                                    <w:jc w:val="both"/>
                                    <w:rPr>
                                      <w:rFonts w:ascii="標楷體" w:eastAsia="標楷體" w:hAnsi="標楷體" w:cs="新細明體"/>
                                      <w:color w:val="000000"/>
                                      <w:kern w:val="0"/>
                                      <w:sz w:val="20"/>
                                    </w:rPr>
                                  </w:pPr>
                                  <w:r w:rsidRPr="00CE57F9">
                                    <w:rPr>
                                      <w:rFonts w:ascii="標楷體" w:eastAsia="標楷體" w:hAnsi="標楷體" w:cs="新細明體" w:hint="eastAsia"/>
                                      <w:color w:val="000000"/>
                                      <w:kern w:val="0"/>
                                      <w:sz w:val="20"/>
                                    </w:rPr>
                                    <w:t>法規低限</w:t>
                                  </w:r>
                                </w:p>
                              </w:tc>
                              <w:tc>
                                <w:tcPr>
                                  <w:tcW w:w="900" w:type="dxa"/>
                                  <w:shd w:val="clear" w:color="auto" w:fill="auto"/>
                                  <w:noWrap/>
                                  <w:vAlign w:val="center"/>
                                  <w:hideMark/>
                                </w:tcPr>
                                <w:p w14:paraId="63280704" w14:textId="77777777" w:rsidR="00CE57F9" w:rsidRPr="00CE57F9" w:rsidRDefault="00CE57F9">
                                  <w:pPr>
                                    <w:widowControl/>
                                    <w:spacing w:line="240" w:lineRule="exact"/>
                                    <w:jc w:val="center"/>
                                    <w:rPr>
                                      <w:rFonts w:ascii="標楷體" w:eastAsia="標楷體" w:hAnsi="標楷體" w:cs="新細明體"/>
                                      <w:color w:val="000000"/>
                                      <w:kern w:val="0"/>
                                      <w:sz w:val="20"/>
                                    </w:rPr>
                                  </w:pPr>
                                  <w:r w:rsidRPr="00CE57F9">
                                    <w:rPr>
                                      <w:rFonts w:ascii="標楷體" w:eastAsia="標楷體" w:hAnsi="標楷體" w:cs="新細明體" w:hint="eastAsia"/>
                                      <w:color w:val="000000"/>
                                      <w:kern w:val="0"/>
                                      <w:sz w:val="20"/>
                                    </w:rPr>
                                    <w:t>占比</w:t>
                                  </w:r>
                                </w:p>
                              </w:tc>
                              <w:tc>
                                <w:tcPr>
                                  <w:tcW w:w="829" w:type="dxa"/>
                                  <w:shd w:val="clear" w:color="auto" w:fill="auto"/>
                                  <w:noWrap/>
                                  <w:vAlign w:val="center"/>
                                  <w:hideMark/>
                                </w:tcPr>
                                <w:p w14:paraId="11A20B8F" w14:textId="77777777" w:rsidR="00CE57F9" w:rsidRPr="00CE57F9" w:rsidRDefault="00CE57F9" w:rsidP="00F72E6D">
                                  <w:pPr>
                                    <w:widowControl/>
                                    <w:spacing w:line="240" w:lineRule="exact"/>
                                    <w:jc w:val="center"/>
                                    <w:rPr>
                                      <w:rFonts w:ascii="標楷體" w:eastAsia="標楷體" w:hAnsi="標楷體" w:cs="新細明體"/>
                                      <w:color w:val="000000"/>
                                      <w:kern w:val="0"/>
                                      <w:sz w:val="20"/>
                                    </w:rPr>
                                  </w:pPr>
                                  <w:r w:rsidRPr="00CE57F9">
                                    <w:rPr>
                                      <w:rFonts w:ascii="標楷體" w:eastAsia="標楷體" w:hAnsi="標楷體" w:cs="新細明體" w:hint="eastAsia"/>
                                      <w:color w:val="000000"/>
                                      <w:kern w:val="0"/>
                                      <w:sz w:val="20"/>
                                    </w:rPr>
                                    <w:t>證照數差額</w:t>
                                  </w:r>
                                </w:p>
                              </w:tc>
                              <w:tc>
                                <w:tcPr>
                                  <w:tcW w:w="992" w:type="dxa"/>
                                  <w:tcBorders>
                                    <w:top w:val="nil"/>
                                  </w:tcBorders>
                                  <w:shd w:val="clear" w:color="auto" w:fill="auto"/>
                                  <w:noWrap/>
                                  <w:hideMark/>
                                </w:tcPr>
                                <w:p w14:paraId="10A21E08" w14:textId="77777777" w:rsidR="00CE57F9" w:rsidRPr="00CE57F9" w:rsidRDefault="00CE57F9">
                                  <w:pPr>
                                    <w:widowControl/>
                                    <w:spacing w:line="240" w:lineRule="exact"/>
                                    <w:jc w:val="both"/>
                                    <w:rPr>
                                      <w:rFonts w:ascii="標楷體" w:eastAsia="標楷體" w:hAnsi="標楷體" w:cs="新細明體"/>
                                      <w:color w:val="000000"/>
                                      <w:kern w:val="0"/>
                                      <w:sz w:val="20"/>
                                    </w:rPr>
                                  </w:pPr>
                                  <w:r w:rsidRPr="00CE57F9">
                                    <w:rPr>
                                      <w:rFonts w:ascii="標楷體" w:eastAsia="標楷體" w:hAnsi="標楷體" w:cs="新細明體" w:hint="eastAsia"/>
                                      <w:color w:val="000000"/>
                                      <w:kern w:val="0"/>
                                      <w:sz w:val="20"/>
                                    </w:rPr>
                                    <w:t>法規低限</w:t>
                                  </w:r>
                                </w:p>
                              </w:tc>
                              <w:tc>
                                <w:tcPr>
                                  <w:tcW w:w="979" w:type="dxa"/>
                                  <w:shd w:val="clear" w:color="auto" w:fill="auto"/>
                                  <w:noWrap/>
                                  <w:vAlign w:val="center"/>
                                  <w:hideMark/>
                                </w:tcPr>
                                <w:p w14:paraId="3666CB69" w14:textId="77777777" w:rsidR="00CE57F9" w:rsidRPr="00CE57F9" w:rsidRDefault="00CE57F9">
                                  <w:pPr>
                                    <w:widowControl/>
                                    <w:spacing w:line="240" w:lineRule="exact"/>
                                    <w:jc w:val="center"/>
                                    <w:rPr>
                                      <w:rFonts w:ascii="標楷體" w:eastAsia="標楷體" w:hAnsi="標楷體" w:cs="新細明體"/>
                                      <w:color w:val="000000"/>
                                      <w:spacing w:val="-18"/>
                                      <w:kern w:val="0"/>
                                      <w:sz w:val="20"/>
                                    </w:rPr>
                                  </w:pPr>
                                  <w:r w:rsidRPr="00CE57F9">
                                    <w:rPr>
                                      <w:rFonts w:ascii="標楷體" w:eastAsia="標楷體" w:hAnsi="標楷體" w:cs="新細明體" w:hint="eastAsia"/>
                                      <w:color w:val="000000"/>
                                      <w:kern w:val="0"/>
                                      <w:sz w:val="20"/>
                                    </w:rPr>
                                    <w:t>占比</w:t>
                                  </w:r>
                                </w:p>
                              </w:tc>
                              <w:tc>
                                <w:tcPr>
                                  <w:tcW w:w="836" w:type="dxa"/>
                                  <w:shd w:val="clear" w:color="auto" w:fill="auto"/>
                                  <w:noWrap/>
                                  <w:vAlign w:val="center"/>
                                  <w:hideMark/>
                                </w:tcPr>
                                <w:p w14:paraId="20963EF5" w14:textId="77777777" w:rsidR="00CE57F9" w:rsidRPr="00CE57F9" w:rsidRDefault="00CE57F9" w:rsidP="00F72E6D">
                                  <w:pPr>
                                    <w:widowControl/>
                                    <w:spacing w:line="240" w:lineRule="exact"/>
                                    <w:jc w:val="center"/>
                                    <w:rPr>
                                      <w:rFonts w:ascii="標楷體" w:eastAsia="標楷體" w:hAnsi="標楷體" w:cs="新細明體"/>
                                      <w:color w:val="000000"/>
                                      <w:kern w:val="0"/>
                                      <w:sz w:val="20"/>
                                    </w:rPr>
                                  </w:pPr>
                                  <w:r w:rsidRPr="00CE57F9">
                                    <w:rPr>
                                      <w:rFonts w:ascii="標楷體" w:eastAsia="標楷體" w:hAnsi="標楷體" w:cs="新細明體" w:hint="eastAsia"/>
                                      <w:color w:val="000000"/>
                                      <w:kern w:val="0"/>
                                      <w:sz w:val="20"/>
                                    </w:rPr>
                                    <w:t>證書數差額</w:t>
                                  </w:r>
                                </w:p>
                              </w:tc>
                            </w:tr>
                            <w:tr w:rsidR="00CE57F9" w:rsidRPr="00E82617" w14:paraId="37B26D88" w14:textId="77777777" w:rsidTr="00DA2751">
                              <w:trPr>
                                <w:trHeight w:val="330"/>
                              </w:trPr>
                              <w:tc>
                                <w:tcPr>
                                  <w:tcW w:w="851" w:type="dxa"/>
                                  <w:shd w:val="clear" w:color="auto" w:fill="auto"/>
                                  <w:noWrap/>
                                  <w:vAlign w:val="center"/>
                                  <w:hideMark/>
                                </w:tcPr>
                                <w:p w14:paraId="17C1B6E2" w14:textId="77777777" w:rsidR="00CE57F9" w:rsidRPr="00EB09C1" w:rsidRDefault="00CE57F9" w:rsidP="00F72E6D">
                                  <w:pPr>
                                    <w:ind w:leftChars="17" w:left="41"/>
                                    <w:jc w:val="center"/>
                                    <w:rPr>
                                      <w:rFonts w:ascii="標楷體" w:eastAsia="標楷體" w:hAnsi="標楷體" w:cs="新細明體"/>
                                      <w:b/>
                                      <w:kern w:val="0"/>
                                      <w:sz w:val="20"/>
                                      <w:szCs w:val="18"/>
                                    </w:rPr>
                                  </w:pPr>
                                  <w:r w:rsidRPr="00EB09C1">
                                    <w:rPr>
                                      <w:rFonts w:ascii="標楷體" w:eastAsia="標楷體" w:hAnsi="標楷體" w:cs="新細明體" w:hint="eastAsia"/>
                                      <w:b/>
                                      <w:kern w:val="0"/>
                                      <w:sz w:val="20"/>
                                      <w:szCs w:val="18"/>
                                    </w:rPr>
                                    <w:t>合計</w:t>
                                  </w:r>
                                </w:p>
                              </w:tc>
                              <w:tc>
                                <w:tcPr>
                                  <w:tcW w:w="709" w:type="dxa"/>
                                  <w:shd w:val="clear" w:color="auto" w:fill="auto"/>
                                  <w:noWrap/>
                                  <w:vAlign w:val="center"/>
                                  <w:hideMark/>
                                </w:tcPr>
                                <w:p w14:paraId="7D91A8E8" w14:textId="77777777" w:rsidR="00CE57F9" w:rsidRPr="00531445" w:rsidRDefault="00CE57F9" w:rsidP="00F72E6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532</w:t>
                                  </w:r>
                                </w:p>
                              </w:tc>
                              <w:tc>
                                <w:tcPr>
                                  <w:tcW w:w="960" w:type="dxa"/>
                                  <w:shd w:val="clear" w:color="auto" w:fill="auto"/>
                                  <w:noWrap/>
                                  <w:vAlign w:val="center"/>
                                  <w:hideMark/>
                                </w:tcPr>
                                <w:p w14:paraId="5809BDF2" w14:textId="77777777" w:rsidR="00CE57F9" w:rsidRPr="00531445" w:rsidRDefault="00CE57F9" w:rsidP="00F72E6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124</w:t>
                                  </w:r>
                                </w:p>
                              </w:tc>
                              <w:tc>
                                <w:tcPr>
                                  <w:tcW w:w="938" w:type="dxa"/>
                                  <w:tcBorders>
                                    <w:top w:val="single" w:sz="4" w:space="0" w:color="auto"/>
                                  </w:tcBorders>
                                  <w:shd w:val="clear" w:color="auto" w:fill="auto"/>
                                  <w:noWrap/>
                                  <w:vAlign w:val="center"/>
                                  <w:hideMark/>
                                </w:tcPr>
                                <w:p w14:paraId="08C8DBE3" w14:textId="77777777" w:rsidR="00CE57F9" w:rsidRPr="00531445" w:rsidRDefault="00CE57F9" w:rsidP="00F72E6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23.31</w:t>
                                  </w:r>
                                </w:p>
                              </w:tc>
                              <w:tc>
                                <w:tcPr>
                                  <w:tcW w:w="795" w:type="dxa"/>
                                  <w:tcBorders>
                                    <w:top w:val="single" w:sz="4" w:space="0" w:color="auto"/>
                                  </w:tcBorders>
                                  <w:shd w:val="clear" w:color="auto" w:fill="auto"/>
                                  <w:noWrap/>
                                  <w:vAlign w:val="center"/>
                                  <w:hideMark/>
                                </w:tcPr>
                                <w:p w14:paraId="1CA84751" w14:textId="77777777" w:rsidR="00CE57F9" w:rsidRPr="00531445" w:rsidRDefault="00CE57F9" w:rsidP="00F72E6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141</w:t>
                                  </w:r>
                                </w:p>
                              </w:tc>
                              <w:tc>
                                <w:tcPr>
                                  <w:tcW w:w="992" w:type="dxa"/>
                                  <w:tcBorders>
                                    <w:top w:val="single" w:sz="4" w:space="0" w:color="auto"/>
                                  </w:tcBorders>
                                  <w:shd w:val="clear" w:color="auto" w:fill="auto"/>
                                  <w:noWrap/>
                                  <w:vAlign w:val="center"/>
                                  <w:hideMark/>
                                </w:tcPr>
                                <w:p w14:paraId="7EC4BC93" w14:textId="77777777" w:rsidR="00CE57F9" w:rsidRPr="00531445" w:rsidRDefault="00CE57F9" w:rsidP="00F72E6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197</w:t>
                                  </w:r>
                                </w:p>
                              </w:tc>
                              <w:tc>
                                <w:tcPr>
                                  <w:tcW w:w="900" w:type="dxa"/>
                                  <w:shd w:val="clear" w:color="auto" w:fill="auto"/>
                                  <w:noWrap/>
                                  <w:vAlign w:val="center"/>
                                  <w:hideMark/>
                                </w:tcPr>
                                <w:p w14:paraId="5C833E8C" w14:textId="77777777" w:rsidR="00CE57F9" w:rsidRPr="00531445" w:rsidRDefault="00CE57F9" w:rsidP="00F72E6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37.03</w:t>
                                  </w:r>
                                </w:p>
                              </w:tc>
                              <w:tc>
                                <w:tcPr>
                                  <w:tcW w:w="829" w:type="dxa"/>
                                  <w:shd w:val="clear" w:color="auto" w:fill="auto"/>
                                  <w:noWrap/>
                                  <w:vAlign w:val="center"/>
                                  <w:hideMark/>
                                </w:tcPr>
                                <w:p w14:paraId="32037779" w14:textId="77777777" w:rsidR="00CE57F9" w:rsidRPr="00531445" w:rsidRDefault="00CE57F9" w:rsidP="00F72E6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225</w:t>
                                  </w:r>
                                </w:p>
                              </w:tc>
                              <w:tc>
                                <w:tcPr>
                                  <w:tcW w:w="992" w:type="dxa"/>
                                  <w:shd w:val="clear" w:color="auto" w:fill="auto"/>
                                  <w:noWrap/>
                                  <w:vAlign w:val="center"/>
                                  <w:hideMark/>
                                </w:tcPr>
                                <w:p w14:paraId="4A0B250A" w14:textId="77777777" w:rsidR="00CE57F9" w:rsidRPr="00531445" w:rsidRDefault="00CE57F9" w:rsidP="00F72E6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221</w:t>
                                  </w:r>
                                </w:p>
                              </w:tc>
                              <w:tc>
                                <w:tcPr>
                                  <w:tcW w:w="979" w:type="dxa"/>
                                  <w:shd w:val="clear" w:color="auto" w:fill="auto"/>
                                  <w:noWrap/>
                                  <w:vAlign w:val="center"/>
                                  <w:hideMark/>
                                </w:tcPr>
                                <w:p w14:paraId="2898C06F" w14:textId="77777777" w:rsidR="00CE57F9" w:rsidRPr="00531445" w:rsidRDefault="00CE57F9" w:rsidP="00F72E6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41.54</w:t>
                                  </w:r>
                                </w:p>
                              </w:tc>
                              <w:tc>
                                <w:tcPr>
                                  <w:tcW w:w="836" w:type="dxa"/>
                                  <w:shd w:val="clear" w:color="auto" w:fill="auto"/>
                                  <w:noWrap/>
                                  <w:vAlign w:val="center"/>
                                  <w:hideMark/>
                                </w:tcPr>
                                <w:p w14:paraId="071B26F6" w14:textId="77777777" w:rsidR="00CE57F9" w:rsidRPr="00531445" w:rsidRDefault="00CE57F9" w:rsidP="00F72E6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266</w:t>
                                  </w:r>
                                </w:p>
                              </w:tc>
                            </w:tr>
                            <w:tr w:rsidR="00CE57F9" w:rsidRPr="00E82617" w14:paraId="021361AB" w14:textId="77777777" w:rsidTr="00F72E6D">
                              <w:trPr>
                                <w:trHeight w:val="330"/>
                              </w:trPr>
                              <w:tc>
                                <w:tcPr>
                                  <w:tcW w:w="851" w:type="dxa"/>
                                  <w:shd w:val="clear" w:color="auto" w:fill="auto"/>
                                  <w:noWrap/>
                                  <w:vAlign w:val="center"/>
                                  <w:hideMark/>
                                </w:tcPr>
                                <w:p w14:paraId="5320BCCB" w14:textId="77777777" w:rsidR="00CE57F9" w:rsidRPr="00EB09C1" w:rsidRDefault="00CE57F9" w:rsidP="00F72E6D">
                                  <w:pPr>
                                    <w:ind w:leftChars="17" w:left="41"/>
                                    <w:jc w:val="center"/>
                                    <w:rPr>
                                      <w:rFonts w:ascii="標楷體" w:eastAsia="標楷體" w:hAnsi="標楷體" w:cs="新細明體"/>
                                      <w:kern w:val="0"/>
                                      <w:sz w:val="20"/>
                                      <w:szCs w:val="18"/>
                                    </w:rPr>
                                  </w:pPr>
                                  <w:r w:rsidRPr="00EB09C1">
                                    <w:rPr>
                                      <w:rFonts w:ascii="標楷體" w:eastAsia="標楷體" w:hAnsi="標楷體" w:cs="新細明體" w:hint="eastAsia"/>
                                      <w:kern w:val="0"/>
                                      <w:sz w:val="20"/>
                                      <w:szCs w:val="18"/>
                                    </w:rPr>
                                    <w:t>A級</w:t>
                                  </w:r>
                                </w:p>
                              </w:tc>
                              <w:tc>
                                <w:tcPr>
                                  <w:tcW w:w="709" w:type="dxa"/>
                                  <w:shd w:val="clear" w:color="auto" w:fill="auto"/>
                                  <w:noWrap/>
                                  <w:vAlign w:val="center"/>
                                  <w:hideMark/>
                                </w:tcPr>
                                <w:p w14:paraId="29F78F0A"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44</w:t>
                                  </w:r>
                                </w:p>
                              </w:tc>
                              <w:tc>
                                <w:tcPr>
                                  <w:tcW w:w="960" w:type="dxa"/>
                                  <w:shd w:val="clear" w:color="auto" w:fill="auto"/>
                                  <w:noWrap/>
                                  <w:vAlign w:val="center"/>
                                  <w:hideMark/>
                                </w:tcPr>
                                <w:p w14:paraId="19373D90"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5</w:t>
                                  </w:r>
                                </w:p>
                              </w:tc>
                              <w:tc>
                                <w:tcPr>
                                  <w:tcW w:w="938" w:type="dxa"/>
                                  <w:shd w:val="clear" w:color="auto" w:fill="auto"/>
                                  <w:noWrap/>
                                  <w:vAlign w:val="center"/>
                                  <w:hideMark/>
                                </w:tcPr>
                                <w:p w14:paraId="7741895D"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11.36</w:t>
                                  </w:r>
                                </w:p>
                              </w:tc>
                              <w:tc>
                                <w:tcPr>
                                  <w:tcW w:w="795" w:type="dxa"/>
                                  <w:shd w:val="clear" w:color="auto" w:fill="auto"/>
                                  <w:noWrap/>
                                  <w:vAlign w:val="center"/>
                                  <w:hideMark/>
                                </w:tcPr>
                                <w:p w14:paraId="283F9CA3"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11</w:t>
                                  </w:r>
                                </w:p>
                              </w:tc>
                              <w:tc>
                                <w:tcPr>
                                  <w:tcW w:w="992" w:type="dxa"/>
                                  <w:shd w:val="clear" w:color="auto" w:fill="auto"/>
                                  <w:noWrap/>
                                  <w:vAlign w:val="center"/>
                                  <w:hideMark/>
                                </w:tcPr>
                                <w:p w14:paraId="2B68E9C4"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9</w:t>
                                  </w:r>
                                </w:p>
                              </w:tc>
                              <w:tc>
                                <w:tcPr>
                                  <w:tcW w:w="900" w:type="dxa"/>
                                  <w:shd w:val="clear" w:color="auto" w:fill="auto"/>
                                  <w:noWrap/>
                                  <w:vAlign w:val="center"/>
                                  <w:hideMark/>
                                </w:tcPr>
                                <w:p w14:paraId="72DCC1CB"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20.45</w:t>
                                  </w:r>
                                </w:p>
                              </w:tc>
                              <w:tc>
                                <w:tcPr>
                                  <w:tcW w:w="829" w:type="dxa"/>
                                  <w:shd w:val="clear" w:color="auto" w:fill="auto"/>
                                  <w:noWrap/>
                                  <w:vAlign w:val="center"/>
                                  <w:hideMark/>
                                </w:tcPr>
                                <w:p w14:paraId="1A036E6D"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13</w:t>
                                  </w:r>
                                </w:p>
                              </w:tc>
                              <w:tc>
                                <w:tcPr>
                                  <w:tcW w:w="992" w:type="dxa"/>
                                  <w:shd w:val="clear" w:color="auto" w:fill="auto"/>
                                  <w:noWrap/>
                                  <w:vAlign w:val="center"/>
                                  <w:hideMark/>
                                </w:tcPr>
                                <w:p w14:paraId="10B011CF"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13</w:t>
                                  </w:r>
                                </w:p>
                              </w:tc>
                              <w:tc>
                                <w:tcPr>
                                  <w:tcW w:w="979" w:type="dxa"/>
                                  <w:shd w:val="clear" w:color="auto" w:fill="auto"/>
                                  <w:noWrap/>
                                  <w:vAlign w:val="center"/>
                                  <w:hideMark/>
                                </w:tcPr>
                                <w:p w14:paraId="4DA7ED3E"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29.55</w:t>
                                  </w:r>
                                </w:p>
                              </w:tc>
                              <w:tc>
                                <w:tcPr>
                                  <w:tcW w:w="836" w:type="dxa"/>
                                  <w:shd w:val="clear" w:color="auto" w:fill="auto"/>
                                  <w:noWrap/>
                                  <w:vAlign w:val="center"/>
                                  <w:hideMark/>
                                </w:tcPr>
                                <w:p w14:paraId="3E454275"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19</w:t>
                                  </w:r>
                                </w:p>
                              </w:tc>
                            </w:tr>
                            <w:tr w:rsidR="00CE57F9" w:rsidRPr="00E82617" w14:paraId="30FB53D4" w14:textId="77777777" w:rsidTr="00F72E6D">
                              <w:trPr>
                                <w:trHeight w:val="330"/>
                              </w:trPr>
                              <w:tc>
                                <w:tcPr>
                                  <w:tcW w:w="851" w:type="dxa"/>
                                  <w:shd w:val="clear" w:color="auto" w:fill="auto"/>
                                  <w:noWrap/>
                                  <w:vAlign w:val="center"/>
                                  <w:hideMark/>
                                </w:tcPr>
                                <w:p w14:paraId="3C968476" w14:textId="77777777" w:rsidR="00CE57F9" w:rsidRPr="00EB09C1" w:rsidRDefault="00CE57F9" w:rsidP="00F72E6D">
                                  <w:pPr>
                                    <w:ind w:leftChars="17" w:left="41"/>
                                    <w:jc w:val="center"/>
                                    <w:rPr>
                                      <w:rFonts w:ascii="標楷體" w:eastAsia="標楷體" w:hAnsi="標楷體" w:cs="新細明體"/>
                                      <w:kern w:val="0"/>
                                      <w:sz w:val="20"/>
                                      <w:szCs w:val="18"/>
                                    </w:rPr>
                                  </w:pPr>
                                  <w:r w:rsidRPr="00EB09C1">
                                    <w:rPr>
                                      <w:rFonts w:ascii="標楷體" w:eastAsia="標楷體" w:hAnsi="標楷體" w:cs="新細明體" w:hint="eastAsia"/>
                                      <w:kern w:val="0"/>
                                      <w:sz w:val="20"/>
                                      <w:szCs w:val="18"/>
                                    </w:rPr>
                                    <w:t>B級</w:t>
                                  </w:r>
                                </w:p>
                              </w:tc>
                              <w:tc>
                                <w:tcPr>
                                  <w:tcW w:w="709" w:type="dxa"/>
                                  <w:shd w:val="clear" w:color="auto" w:fill="auto"/>
                                  <w:noWrap/>
                                  <w:vAlign w:val="center"/>
                                  <w:hideMark/>
                                </w:tcPr>
                                <w:p w14:paraId="75646434"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111</w:t>
                                  </w:r>
                                </w:p>
                              </w:tc>
                              <w:tc>
                                <w:tcPr>
                                  <w:tcW w:w="960" w:type="dxa"/>
                                  <w:shd w:val="clear" w:color="auto" w:fill="auto"/>
                                  <w:noWrap/>
                                  <w:vAlign w:val="center"/>
                                  <w:hideMark/>
                                </w:tcPr>
                                <w:p w14:paraId="27651EB8"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19</w:t>
                                  </w:r>
                                </w:p>
                              </w:tc>
                              <w:tc>
                                <w:tcPr>
                                  <w:tcW w:w="938" w:type="dxa"/>
                                  <w:shd w:val="clear" w:color="auto" w:fill="auto"/>
                                  <w:noWrap/>
                                  <w:vAlign w:val="center"/>
                                  <w:hideMark/>
                                </w:tcPr>
                                <w:p w14:paraId="6D584E2F"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17.12</w:t>
                                  </w:r>
                                </w:p>
                              </w:tc>
                              <w:tc>
                                <w:tcPr>
                                  <w:tcW w:w="795" w:type="dxa"/>
                                  <w:shd w:val="clear" w:color="auto" w:fill="auto"/>
                                  <w:noWrap/>
                                  <w:vAlign w:val="center"/>
                                  <w:hideMark/>
                                </w:tcPr>
                                <w:p w14:paraId="6FBC5D01"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30</w:t>
                                  </w:r>
                                </w:p>
                              </w:tc>
                              <w:tc>
                                <w:tcPr>
                                  <w:tcW w:w="992" w:type="dxa"/>
                                  <w:shd w:val="clear" w:color="auto" w:fill="auto"/>
                                  <w:noWrap/>
                                  <w:vAlign w:val="center"/>
                                  <w:hideMark/>
                                </w:tcPr>
                                <w:p w14:paraId="2848D9FD"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24</w:t>
                                  </w:r>
                                </w:p>
                              </w:tc>
                              <w:tc>
                                <w:tcPr>
                                  <w:tcW w:w="900" w:type="dxa"/>
                                  <w:shd w:val="clear" w:color="auto" w:fill="auto"/>
                                  <w:noWrap/>
                                  <w:vAlign w:val="center"/>
                                  <w:hideMark/>
                                </w:tcPr>
                                <w:p w14:paraId="0DDF84AC"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21.62</w:t>
                                  </w:r>
                                </w:p>
                              </w:tc>
                              <w:tc>
                                <w:tcPr>
                                  <w:tcW w:w="829" w:type="dxa"/>
                                  <w:shd w:val="clear" w:color="auto" w:fill="auto"/>
                                  <w:noWrap/>
                                  <w:vAlign w:val="center"/>
                                  <w:hideMark/>
                                </w:tcPr>
                                <w:p w14:paraId="52F17215"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48</w:t>
                                  </w:r>
                                </w:p>
                              </w:tc>
                              <w:tc>
                                <w:tcPr>
                                  <w:tcW w:w="992" w:type="dxa"/>
                                  <w:shd w:val="clear" w:color="auto" w:fill="auto"/>
                                  <w:noWrap/>
                                  <w:vAlign w:val="center"/>
                                  <w:hideMark/>
                                </w:tcPr>
                                <w:p w14:paraId="13B260EE"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39</w:t>
                                  </w:r>
                                </w:p>
                              </w:tc>
                              <w:tc>
                                <w:tcPr>
                                  <w:tcW w:w="979" w:type="dxa"/>
                                  <w:shd w:val="clear" w:color="auto" w:fill="auto"/>
                                  <w:noWrap/>
                                  <w:vAlign w:val="center"/>
                                  <w:hideMark/>
                                </w:tcPr>
                                <w:p w14:paraId="3D3D4102"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35.14</w:t>
                                  </w:r>
                                </w:p>
                              </w:tc>
                              <w:tc>
                                <w:tcPr>
                                  <w:tcW w:w="836" w:type="dxa"/>
                                  <w:shd w:val="clear" w:color="auto" w:fill="auto"/>
                                  <w:noWrap/>
                                  <w:vAlign w:val="center"/>
                                  <w:hideMark/>
                                </w:tcPr>
                                <w:p w14:paraId="71F3CC8E"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78</w:t>
                                  </w:r>
                                </w:p>
                              </w:tc>
                            </w:tr>
                            <w:tr w:rsidR="00CE57F9" w:rsidRPr="00E82617" w14:paraId="35878180" w14:textId="77777777" w:rsidTr="00F72E6D">
                              <w:trPr>
                                <w:trHeight w:val="330"/>
                              </w:trPr>
                              <w:tc>
                                <w:tcPr>
                                  <w:tcW w:w="851" w:type="dxa"/>
                                  <w:tcBorders>
                                    <w:bottom w:val="single" w:sz="4" w:space="0" w:color="auto"/>
                                  </w:tcBorders>
                                  <w:shd w:val="clear" w:color="auto" w:fill="auto"/>
                                  <w:noWrap/>
                                  <w:vAlign w:val="center"/>
                                  <w:hideMark/>
                                </w:tcPr>
                                <w:p w14:paraId="34CBC9C0" w14:textId="77777777" w:rsidR="00CE57F9" w:rsidRPr="00EB09C1" w:rsidRDefault="00CE57F9" w:rsidP="00F72E6D">
                                  <w:pPr>
                                    <w:ind w:leftChars="17" w:left="41"/>
                                    <w:jc w:val="center"/>
                                    <w:rPr>
                                      <w:rFonts w:ascii="標楷體" w:eastAsia="標楷體" w:hAnsi="標楷體" w:cs="新細明體"/>
                                      <w:kern w:val="0"/>
                                      <w:sz w:val="20"/>
                                      <w:szCs w:val="18"/>
                                    </w:rPr>
                                  </w:pPr>
                                  <w:r w:rsidRPr="00EB09C1">
                                    <w:rPr>
                                      <w:rFonts w:ascii="標楷體" w:eastAsia="標楷體" w:hAnsi="標楷體" w:cs="新細明體" w:hint="eastAsia"/>
                                      <w:kern w:val="0"/>
                                      <w:sz w:val="20"/>
                                      <w:szCs w:val="18"/>
                                    </w:rPr>
                                    <w:t>C級</w:t>
                                  </w:r>
                                </w:p>
                              </w:tc>
                              <w:tc>
                                <w:tcPr>
                                  <w:tcW w:w="709" w:type="dxa"/>
                                  <w:tcBorders>
                                    <w:bottom w:val="single" w:sz="4" w:space="0" w:color="auto"/>
                                  </w:tcBorders>
                                  <w:shd w:val="clear" w:color="auto" w:fill="auto"/>
                                  <w:noWrap/>
                                  <w:vAlign w:val="center"/>
                                  <w:hideMark/>
                                </w:tcPr>
                                <w:p w14:paraId="0907AD82"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377</w:t>
                                  </w:r>
                                </w:p>
                              </w:tc>
                              <w:tc>
                                <w:tcPr>
                                  <w:tcW w:w="960" w:type="dxa"/>
                                  <w:tcBorders>
                                    <w:bottom w:val="single" w:sz="4" w:space="0" w:color="auto"/>
                                  </w:tcBorders>
                                  <w:shd w:val="clear" w:color="auto" w:fill="auto"/>
                                  <w:noWrap/>
                                  <w:vAlign w:val="center"/>
                                  <w:hideMark/>
                                </w:tcPr>
                                <w:p w14:paraId="06981724"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100</w:t>
                                  </w:r>
                                </w:p>
                              </w:tc>
                              <w:tc>
                                <w:tcPr>
                                  <w:tcW w:w="938" w:type="dxa"/>
                                  <w:tcBorders>
                                    <w:bottom w:val="single" w:sz="4" w:space="0" w:color="auto"/>
                                  </w:tcBorders>
                                  <w:shd w:val="clear" w:color="auto" w:fill="auto"/>
                                  <w:noWrap/>
                                  <w:vAlign w:val="center"/>
                                  <w:hideMark/>
                                </w:tcPr>
                                <w:p w14:paraId="13BC7B6D"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26.53</w:t>
                                  </w:r>
                                </w:p>
                              </w:tc>
                              <w:tc>
                                <w:tcPr>
                                  <w:tcW w:w="795" w:type="dxa"/>
                                  <w:tcBorders>
                                    <w:bottom w:val="single" w:sz="4" w:space="0" w:color="auto"/>
                                  </w:tcBorders>
                                  <w:shd w:val="clear" w:color="auto" w:fill="auto"/>
                                  <w:noWrap/>
                                  <w:vAlign w:val="center"/>
                                  <w:hideMark/>
                                </w:tcPr>
                                <w:p w14:paraId="40D7B2AE"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100</w:t>
                                  </w:r>
                                </w:p>
                              </w:tc>
                              <w:tc>
                                <w:tcPr>
                                  <w:tcW w:w="992" w:type="dxa"/>
                                  <w:tcBorders>
                                    <w:bottom w:val="single" w:sz="4" w:space="0" w:color="auto"/>
                                  </w:tcBorders>
                                  <w:shd w:val="clear" w:color="auto" w:fill="auto"/>
                                  <w:noWrap/>
                                  <w:vAlign w:val="center"/>
                                  <w:hideMark/>
                                </w:tcPr>
                                <w:p w14:paraId="2DEE8BE3"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164</w:t>
                                  </w:r>
                                </w:p>
                              </w:tc>
                              <w:tc>
                                <w:tcPr>
                                  <w:tcW w:w="900" w:type="dxa"/>
                                  <w:tcBorders>
                                    <w:bottom w:val="single" w:sz="4" w:space="0" w:color="auto"/>
                                  </w:tcBorders>
                                  <w:shd w:val="clear" w:color="auto" w:fill="auto"/>
                                  <w:noWrap/>
                                  <w:vAlign w:val="center"/>
                                  <w:hideMark/>
                                </w:tcPr>
                                <w:p w14:paraId="337952AA"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43.50</w:t>
                                  </w:r>
                                </w:p>
                              </w:tc>
                              <w:tc>
                                <w:tcPr>
                                  <w:tcW w:w="829" w:type="dxa"/>
                                  <w:tcBorders>
                                    <w:bottom w:val="single" w:sz="4" w:space="0" w:color="auto"/>
                                  </w:tcBorders>
                                  <w:shd w:val="clear" w:color="auto" w:fill="auto"/>
                                  <w:noWrap/>
                                  <w:vAlign w:val="center"/>
                                  <w:hideMark/>
                                </w:tcPr>
                                <w:p w14:paraId="50651D5F"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164</w:t>
                                  </w:r>
                                </w:p>
                              </w:tc>
                              <w:tc>
                                <w:tcPr>
                                  <w:tcW w:w="992" w:type="dxa"/>
                                  <w:tcBorders>
                                    <w:bottom w:val="single" w:sz="4" w:space="0" w:color="auto"/>
                                  </w:tcBorders>
                                  <w:shd w:val="clear" w:color="auto" w:fill="auto"/>
                                  <w:noWrap/>
                                  <w:vAlign w:val="center"/>
                                  <w:hideMark/>
                                </w:tcPr>
                                <w:p w14:paraId="5224A8A4"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169</w:t>
                                  </w:r>
                                </w:p>
                              </w:tc>
                              <w:tc>
                                <w:tcPr>
                                  <w:tcW w:w="979" w:type="dxa"/>
                                  <w:tcBorders>
                                    <w:bottom w:val="single" w:sz="4" w:space="0" w:color="auto"/>
                                  </w:tcBorders>
                                  <w:shd w:val="clear" w:color="auto" w:fill="auto"/>
                                  <w:noWrap/>
                                  <w:vAlign w:val="center"/>
                                  <w:hideMark/>
                                </w:tcPr>
                                <w:p w14:paraId="63668154"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44.83</w:t>
                                  </w:r>
                                </w:p>
                              </w:tc>
                              <w:tc>
                                <w:tcPr>
                                  <w:tcW w:w="836" w:type="dxa"/>
                                  <w:tcBorders>
                                    <w:bottom w:val="single" w:sz="4" w:space="0" w:color="auto"/>
                                  </w:tcBorders>
                                  <w:shd w:val="clear" w:color="auto" w:fill="auto"/>
                                  <w:noWrap/>
                                  <w:vAlign w:val="center"/>
                                  <w:hideMark/>
                                </w:tcPr>
                                <w:p w14:paraId="6E7C66FA"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169</w:t>
                                  </w:r>
                                </w:p>
                              </w:tc>
                            </w:tr>
                            <w:tr w:rsidR="00CE57F9" w:rsidRPr="00E82617" w14:paraId="08FDFBBA" w14:textId="77777777" w:rsidTr="00F72E6D">
                              <w:trPr>
                                <w:trHeight w:val="330"/>
                              </w:trPr>
                              <w:tc>
                                <w:tcPr>
                                  <w:tcW w:w="9781" w:type="dxa"/>
                                  <w:gridSpan w:val="11"/>
                                  <w:tcBorders>
                                    <w:top w:val="single" w:sz="4" w:space="0" w:color="auto"/>
                                    <w:left w:val="nil"/>
                                    <w:bottom w:val="nil"/>
                                    <w:right w:val="nil"/>
                                  </w:tcBorders>
                                  <w:shd w:val="clear" w:color="auto" w:fill="auto"/>
                                  <w:noWrap/>
                                  <w:vAlign w:val="center"/>
                                </w:tcPr>
                                <w:p w14:paraId="2A7FEEEE" w14:textId="77777777" w:rsidR="00CE57F9" w:rsidRPr="00E82617" w:rsidRDefault="00CE57F9" w:rsidP="003301EF">
                                  <w:pPr>
                                    <w:widowControl/>
                                    <w:spacing w:line="300" w:lineRule="exact"/>
                                    <w:ind w:left="900" w:hangingChars="500" w:hanging="900"/>
                                    <w:jc w:val="both"/>
                                    <w:rPr>
                                      <w:rFonts w:ascii="標楷體" w:eastAsia="標楷體" w:hAnsi="標楷體" w:cs="新細明體"/>
                                      <w:bCs/>
                                      <w:color w:val="000000"/>
                                      <w:kern w:val="0"/>
                                      <w:sz w:val="20"/>
                                    </w:rPr>
                                  </w:pPr>
                                  <w:r w:rsidRPr="002C3EF4">
                                    <w:rPr>
                                      <w:rFonts w:ascii="標楷體" w:eastAsia="標楷體" w:hAnsi="標楷體" w:cs="新細明體" w:hint="eastAsia"/>
                                      <w:bCs/>
                                      <w:color w:val="000000"/>
                                      <w:kern w:val="0"/>
                                      <w:sz w:val="18"/>
                                    </w:rPr>
                                    <w:t>資料來源：整理自資安署提供資料。</w:t>
                                  </w:r>
                                </w:p>
                              </w:tc>
                            </w:tr>
                          </w:tbl>
                          <w:p w14:paraId="12AECB31" w14:textId="77777777" w:rsidR="00CE57F9" w:rsidRDefault="00CE57F9" w:rsidP="00E9304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D03AF6" id="文字方塊 472" o:spid="_x0000_s1038" type="#_x0000_t202" style="position:absolute;left:0;text-align:left;margin-left:46.3pt;margin-top:-1.15pt;width:500.9pt;height:188.5pt;z-index:25167820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" filled="f" stroked="f">
                <v:textbox>
                  <w:txbxContent>
                    <w:p w14:paraId="729A5B61" w14:textId="77777777" w:rsidR="00CE57F9" w:rsidRDefault="00CE57F9" w:rsidP="00E9304D">
                      <w:pPr>
                        <w:spacing w:line="20" w:lineRule="exact"/>
                      </w:pPr>
                    </w:p>
                    <w:tbl>
                      <w:tblP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709"/>
                        <w:gridCol w:w="960"/>
                        <w:gridCol w:w="938"/>
                        <w:gridCol w:w="795"/>
                        <w:gridCol w:w="992"/>
                        <w:gridCol w:w="900"/>
                        <w:gridCol w:w="829"/>
                        <w:gridCol w:w="992"/>
                        <w:gridCol w:w="979"/>
                        <w:gridCol w:w="836"/>
                      </w:tblGrid>
                      <w:tr w:rsidR="00CE57F9" w:rsidRPr="00E82617" w14:paraId="5E370B6B" w14:textId="77777777" w:rsidTr="00F72E6D">
                        <w:trPr>
                          <w:trHeight w:val="330"/>
                        </w:trPr>
                        <w:tc>
                          <w:tcPr>
                            <w:tcW w:w="9781" w:type="dxa"/>
                            <w:gridSpan w:val="11"/>
                            <w:tcBorders>
                              <w:top w:val="nil"/>
                              <w:left w:val="nil"/>
                              <w:bottom w:val="nil"/>
                              <w:right w:val="nil"/>
                            </w:tcBorders>
                            <w:shd w:val="clear" w:color="auto" w:fill="auto"/>
                            <w:noWrap/>
                            <w:vAlign w:val="center"/>
                          </w:tcPr>
                          <w:p w14:paraId="26B08DA7" w14:textId="77777777" w:rsidR="00CE57F9" w:rsidRPr="00BD13A9" w:rsidRDefault="00CE57F9" w:rsidP="003515CF">
                            <w:pPr>
                              <w:adjustRightInd w:val="0"/>
                              <w:snapToGrid w:val="0"/>
                              <w:ind w:leftChars="-2" w:left="644" w:rightChars="-17" w:right="-41" w:hangingChars="270" w:hanging="649"/>
                              <w:rPr>
                                <w:rFonts w:ascii="標楷體" w:eastAsia="標楷體" w:hAnsi="標楷體" w:cs="新細明體"/>
                                <w:kern w:val="0"/>
                                <w:szCs w:val="24"/>
                              </w:rPr>
                            </w:pPr>
                            <w:r w:rsidRPr="00C02724">
                              <w:rPr>
                                <w:rFonts w:ascii="標楷體" w:eastAsia="標楷體" w:hAnsi="標楷體" w:hint="eastAsia"/>
                                <w:b/>
                                <w:szCs w:val="32"/>
                              </w:rPr>
                              <w:t>表</w:t>
                            </w:r>
                            <w:r>
                              <w:rPr>
                                <w:rFonts w:ascii="標楷體" w:eastAsia="標楷體" w:hAnsi="標楷體"/>
                                <w:b/>
                                <w:szCs w:val="32"/>
                              </w:rPr>
                              <w:t>9</w:t>
                            </w:r>
                            <w:r w:rsidRPr="00C02724">
                              <w:rPr>
                                <w:rFonts w:ascii="標楷體" w:eastAsia="標楷體" w:hAnsi="標楷體" w:hint="eastAsia"/>
                                <w:b/>
                                <w:szCs w:val="32"/>
                              </w:rPr>
                              <w:t xml:space="preserve">　1</w:t>
                            </w:r>
                            <w:r w:rsidRPr="00C02724">
                              <w:rPr>
                                <w:rFonts w:ascii="標楷體" w:eastAsia="標楷體" w:hAnsi="標楷體"/>
                                <w:b/>
                                <w:szCs w:val="32"/>
                              </w:rPr>
                              <w:t>10</w:t>
                            </w:r>
                            <w:r w:rsidRPr="00C02724">
                              <w:rPr>
                                <w:rFonts w:ascii="標楷體" w:eastAsia="標楷體" w:hAnsi="標楷體" w:hint="eastAsia"/>
                                <w:b/>
                                <w:szCs w:val="32"/>
                              </w:rPr>
                              <w:t>年底中央政府資通安全責任等級A至C級公務機關（含行政法人</w:t>
                            </w:r>
                            <w:r w:rsidRPr="00C02724">
                              <w:rPr>
                                <w:rFonts w:ascii="標楷體" w:eastAsia="標楷體" w:hAnsi="標楷體"/>
                                <w:b/>
                                <w:szCs w:val="32"/>
                              </w:rPr>
                              <w:t>）</w:t>
                            </w:r>
                            <w:r w:rsidRPr="00C02724">
                              <w:rPr>
                                <w:rFonts w:ascii="標楷體" w:eastAsia="標楷體" w:hAnsi="標楷體" w:hint="eastAsia"/>
                                <w:b/>
                                <w:szCs w:val="32"/>
                              </w:rPr>
                              <w:t>資通安全專職人力配置及證照（書）未達法規低限情形</w:t>
                            </w:r>
                          </w:p>
                        </w:tc>
                      </w:tr>
                      <w:tr w:rsidR="00CE57F9" w:rsidRPr="00E82617" w14:paraId="1334CA81" w14:textId="77777777" w:rsidTr="00F72E6D">
                        <w:trPr>
                          <w:trHeight w:val="330"/>
                        </w:trPr>
                        <w:tc>
                          <w:tcPr>
                            <w:tcW w:w="9781" w:type="dxa"/>
                            <w:gridSpan w:val="11"/>
                            <w:tcBorders>
                              <w:top w:val="nil"/>
                              <w:left w:val="nil"/>
                              <w:bottom w:val="single" w:sz="4" w:space="0" w:color="auto"/>
                              <w:right w:val="nil"/>
                            </w:tcBorders>
                            <w:shd w:val="clear" w:color="auto" w:fill="auto"/>
                            <w:noWrap/>
                            <w:vAlign w:val="center"/>
                          </w:tcPr>
                          <w:p w14:paraId="00BDFA37" w14:textId="77777777" w:rsidR="00CE57F9" w:rsidRPr="00E82617" w:rsidRDefault="00CE57F9" w:rsidP="00F72E6D">
                            <w:pPr>
                              <w:widowControl/>
                              <w:spacing w:line="300" w:lineRule="exact"/>
                              <w:jc w:val="right"/>
                              <w:rPr>
                                <w:rFonts w:ascii="標楷體" w:eastAsia="標楷體" w:hAnsi="標楷體" w:cs="新細明體"/>
                                <w:kern w:val="0"/>
                                <w:sz w:val="20"/>
                              </w:rPr>
                            </w:pPr>
                            <w:r w:rsidRPr="00E82617">
                              <w:rPr>
                                <w:rFonts w:ascii="標楷體" w:eastAsia="標楷體" w:hAnsi="標楷體" w:cs="新細明體" w:hint="eastAsia"/>
                                <w:kern w:val="0"/>
                                <w:sz w:val="20"/>
                              </w:rPr>
                              <w:t>單位：個、％、人、張</w:t>
                            </w:r>
                          </w:p>
                        </w:tc>
                      </w:tr>
                      <w:tr w:rsidR="00CE57F9" w:rsidRPr="00E82617" w14:paraId="10DAC287" w14:textId="77777777" w:rsidTr="00DA2751">
                        <w:trPr>
                          <w:trHeight w:val="330"/>
                        </w:trPr>
                        <w:tc>
                          <w:tcPr>
                            <w:tcW w:w="851" w:type="dxa"/>
                            <w:vMerge w:val="restart"/>
                            <w:tcBorders>
                              <w:top w:val="single" w:sz="4" w:space="0" w:color="auto"/>
                            </w:tcBorders>
                            <w:shd w:val="clear" w:color="auto" w:fill="auto"/>
                            <w:noWrap/>
                            <w:vAlign w:val="center"/>
                            <w:hideMark/>
                          </w:tcPr>
                          <w:p w14:paraId="6B496505" w14:textId="77777777" w:rsidR="00CE57F9" w:rsidRPr="00657F0A" w:rsidRDefault="00CE57F9" w:rsidP="00F72E6D">
                            <w:pPr>
                              <w:widowControl/>
                              <w:spacing w:line="240" w:lineRule="exact"/>
                              <w:jc w:val="center"/>
                              <w:rPr>
                                <w:rFonts w:ascii="標楷體" w:eastAsia="標楷體" w:hAnsi="標楷體" w:cs="新細明體"/>
                                <w:color w:val="000000"/>
                                <w:kern w:val="0"/>
                                <w:sz w:val="20"/>
                              </w:rPr>
                            </w:pPr>
                            <w:r w:rsidRPr="00657F0A">
                              <w:rPr>
                                <w:rFonts w:ascii="標楷體" w:eastAsia="標楷體" w:hAnsi="標楷體" w:cs="新細明體" w:hint="eastAsia"/>
                                <w:color w:val="000000"/>
                                <w:kern w:val="0"/>
                                <w:sz w:val="20"/>
                              </w:rPr>
                              <w:t xml:space="preserve">資通安全責任等級 </w:t>
                            </w:r>
                            <w:r w:rsidRPr="00657F0A">
                              <w:rPr>
                                <w:rFonts w:ascii="標楷體" w:eastAsia="標楷體" w:hAnsi="標楷體" w:cs="新細明體"/>
                                <w:color w:val="000000"/>
                                <w:kern w:val="0"/>
                                <w:sz w:val="20"/>
                              </w:rPr>
                              <w:t xml:space="preserve"> </w:t>
                            </w:r>
                          </w:p>
                        </w:tc>
                        <w:tc>
                          <w:tcPr>
                            <w:tcW w:w="709" w:type="dxa"/>
                            <w:vMerge w:val="restart"/>
                            <w:tcBorders>
                              <w:top w:val="single" w:sz="4" w:space="0" w:color="auto"/>
                            </w:tcBorders>
                            <w:shd w:val="clear" w:color="auto" w:fill="auto"/>
                            <w:noWrap/>
                            <w:vAlign w:val="center"/>
                            <w:hideMark/>
                          </w:tcPr>
                          <w:p w14:paraId="79B551F5" w14:textId="77777777" w:rsidR="00CE57F9" w:rsidRPr="00CE57F9" w:rsidRDefault="00CE57F9" w:rsidP="004573C0">
                            <w:pPr>
                              <w:widowControl/>
                              <w:spacing w:line="240" w:lineRule="exact"/>
                              <w:jc w:val="center"/>
                              <w:rPr>
                                <w:rFonts w:ascii="標楷體" w:eastAsia="標楷體" w:hAnsi="標楷體" w:cs="新細明體"/>
                                <w:color w:val="000000"/>
                                <w:spacing w:val="-2"/>
                                <w:kern w:val="0"/>
                                <w:sz w:val="20"/>
                              </w:rPr>
                            </w:pPr>
                            <w:r w:rsidRPr="00CE57F9">
                              <w:rPr>
                                <w:rFonts w:ascii="標楷體" w:eastAsia="標楷體" w:hAnsi="標楷體" w:cs="新細明體" w:hint="eastAsia"/>
                                <w:color w:val="000000"/>
                                <w:spacing w:val="-2"/>
                                <w:kern w:val="0"/>
                                <w:sz w:val="20"/>
                              </w:rPr>
                              <w:t>機關（構</w:t>
                            </w:r>
                            <w:r w:rsidRPr="00CE57F9">
                              <w:rPr>
                                <w:rFonts w:ascii="標楷體" w:eastAsia="標楷體" w:hAnsi="標楷體" w:cs="新細明體"/>
                                <w:color w:val="000000"/>
                                <w:spacing w:val="-2"/>
                                <w:kern w:val="0"/>
                                <w:sz w:val="20"/>
                              </w:rPr>
                              <w:t>）</w:t>
                            </w:r>
                            <w:r w:rsidRPr="00CE57F9">
                              <w:rPr>
                                <w:rFonts w:ascii="標楷體" w:eastAsia="標楷體" w:hAnsi="標楷體" w:cs="新細明體" w:hint="eastAsia"/>
                                <w:color w:val="000000"/>
                                <w:spacing w:val="-2"/>
                                <w:kern w:val="0"/>
                                <w:sz w:val="20"/>
                              </w:rPr>
                              <w:t>數</w:t>
                            </w:r>
                          </w:p>
                        </w:tc>
                        <w:tc>
                          <w:tcPr>
                            <w:tcW w:w="2693" w:type="dxa"/>
                            <w:gridSpan w:val="3"/>
                            <w:tcBorders>
                              <w:top w:val="nil"/>
                              <w:bottom w:val="nil"/>
                            </w:tcBorders>
                            <w:shd w:val="clear" w:color="auto" w:fill="auto"/>
                            <w:noWrap/>
                            <w:vAlign w:val="center"/>
                            <w:hideMark/>
                          </w:tcPr>
                          <w:p w14:paraId="3C162435" w14:textId="77777777" w:rsidR="00CE57F9" w:rsidRPr="00CE57F9" w:rsidRDefault="00CE57F9" w:rsidP="00DA2751">
                            <w:pPr>
                              <w:widowControl/>
                              <w:spacing w:line="240" w:lineRule="exact"/>
                              <w:rPr>
                                <w:rFonts w:ascii="標楷體" w:eastAsia="標楷體" w:hAnsi="標楷體" w:cs="新細明體"/>
                                <w:color w:val="000000"/>
                                <w:kern w:val="0"/>
                                <w:sz w:val="20"/>
                              </w:rPr>
                            </w:pPr>
                            <w:r w:rsidRPr="00CE57F9">
                              <w:rPr>
                                <w:rFonts w:ascii="標楷體" w:eastAsia="標楷體" w:hAnsi="標楷體" w:cs="新細明體" w:hint="eastAsia"/>
                                <w:color w:val="000000"/>
                                <w:kern w:val="0"/>
                                <w:sz w:val="20"/>
                              </w:rPr>
                              <w:t>資安專職人員配置未達</w:t>
                            </w:r>
                          </w:p>
                        </w:tc>
                        <w:tc>
                          <w:tcPr>
                            <w:tcW w:w="2721" w:type="dxa"/>
                            <w:gridSpan w:val="3"/>
                            <w:tcBorders>
                              <w:top w:val="nil"/>
                              <w:bottom w:val="nil"/>
                            </w:tcBorders>
                            <w:shd w:val="clear" w:color="auto" w:fill="auto"/>
                            <w:noWrap/>
                            <w:vAlign w:val="center"/>
                            <w:hideMark/>
                          </w:tcPr>
                          <w:p w14:paraId="3877D700" w14:textId="77777777" w:rsidR="00CE57F9" w:rsidRPr="00CE57F9" w:rsidRDefault="00CE57F9" w:rsidP="00DA2751">
                            <w:pPr>
                              <w:widowControl/>
                              <w:spacing w:line="240" w:lineRule="exact"/>
                              <w:rPr>
                                <w:rFonts w:ascii="標楷體" w:eastAsia="標楷體" w:hAnsi="標楷體" w:cs="新細明體"/>
                                <w:color w:val="000000"/>
                                <w:kern w:val="0"/>
                                <w:sz w:val="20"/>
                              </w:rPr>
                            </w:pPr>
                            <w:r w:rsidRPr="00CE57F9">
                              <w:rPr>
                                <w:rFonts w:ascii="標楷體" w:eastAsia="標楷體" w:hAnsi="標楷體" w:cs="新細明體" w:hint="eastAsia"/>
                                <w:color w:val="000000"/>
                                <w:kern w:val="0"/>
                                <w:sz w:val="20"/>
                              </w:rPr>
                              <w:t>資安人力專業證照數未達</w:t>
                            </w:r>
                          </w:p>
                        </w:tc>
                        <w:tc>
                          <w:tcPr>
                            <w:tcW w:w="2807" w:type="dxa"/>
                            <w:gridSpan w:val="3"/>
                            <w:tcBorders>
                              <w:top w:val="nil"/>
                              <w:bottom w:val="nil"/>
                            </w:tcBorders>
                            <w:shd w:val="clear" w:color="auto" w:fill="auto"/>
                            <w:noWrap/>
                            <w:vAlign w:val="center"/>
                            <w:hideMark/>
                          </w:tcPr>
                          <w:p w14:paraId="687FFB5B" w14:textId="77777777" w:rsidR="00CE57F9" w:rsidRPr="00CE57F9" w:rsidRDefault="00CE57F9" w:rsidP="00DA2751">
                            <w:pPr>
                              <w:widowControl/>
                              <w:spacing w:line="240" w:lineRule="exact"/>
                              <w:rPr>
                                <w:rFonts w:ascii="標楷體" w:eastAsia="標楷體" w:hAnsi="標楷體" w:cs="新細明體"/>
                                <w:color w:val="000000"/>
                                <w:kern w:val="0"/>
                                <w:sz w:val="20"/>
                              </w:rPr>
                            </w:pPr>
                            <w:r w:rsidRPr="00CE57F9">
                              <w:rPr>
                                <w:rFonts w:ascii="標楷體" w:eastAsia="標楷體" w:hAnsi="標楷體" w:cs="新細明體" w:hint="eastAsia"/>
                                <w:color w:val="000000"/>
                                <w:kern w:val="0"/>
                                <w:sz w:val="20"/>
                              </w:rPr>
                              <w:t>資安人力職能評量證書數未達</w:t>
                            </w:r>
                          </w:p>
                        </w:tc>
                      </w:tr>
                      <w:tr w:rsidR="00CE57F9" w:rsidRPr="00E82617" w14:paraId="3EF9FF3E" w14:textId="77777777" w:rsidTr="00DA2751">
                        <w:trPr>
                          <w:trHeight w:val="330"/>
                        </w:trPr>
                        <w:tc>
                          <w:tcPr>
                            <w:tcW w:w="851" w:type="dxa"/>
                            <w:vMerge/>
                            <w:vAlign w:val="center"/>
                            <w:hideMark/>
                          </w:tcPr>
                          <w:p w14:paraId="3365812C" w14:textId="77777777" w:rsidR="00CE57F9" w:rsidRPr="00E82617" w:rsidRDefault="00CE57F9" w:rsidP="00F72E6D">
                            <w:pPr>
                              <w:widowControl/>
                              <w:spacing w:line="300" w:lineRule="exact"/>
                              <w:jc w:val="center"/>
                              <w:rPr>
                                <w:rFonts w:ascii="標楷體" w:eastAsia="標楷體" w:hAnsi="標楷體" w:cs="新細明體"/>
                                <w:kern w:val="0"/>
                                <w:sz w:val="20"/>
                              </w:rPr>
                            </w:pPr>
                          </w:p>
                        </w:tc>
                        <w:tc>
                          <w:tcPr>
                            <w:tcW w:w="709" w:type="dxa"/>
                            <w:vMerge/>
                            <w:vAlign w:val="center"/>
                            <w:hideMark/>
                          </w:tcPr>
                          <w:p w14:paraId="58193D70" w14:textId="77777777" w:rsidR="00CE57F9" w:rsidRPr="00CE57F9" w:rsidRDefault="00CE57F9" w:rsidP="00F72E6D">
                            <w:pPr>
                              <w:widowControl/>
                              <w:spacing w:line="240" w:lineRule="exact"/>
                              <w:jc w:val="center"/>
                              <w:rPr>
                                <w:rFonts w:ascii="標楷體" w:eastAsia="標楷體" w:hAnsi="標楷體" w:cs="新細明體"/>
                                <w:color w:val="000000"/>
                                <w:kern w:val="0"/>
                                <w:sz w:val="20"/>
                              </w:rPr>
                            </w:pPr>
                          </w:p>
                        </w:tc>
                        <w:tc>
                          <w:tcPr>
                            <w:tcW w:w="960" w:type="dxa"/>
                            <w:tcBorders>
                              <w:top w:val="nil"/>
                            </w:tcBorders>
                            <w:shd w:val="clear" w:color="auto" w:fill="auto"/>
                            <w:noWrap/>
                            <w:hideMark/>
                          </w:tcPr>
                          <w:p w14:paraId="5B56E454" w14:textId="77777777" w:rsidR="00CE57F9" w:rsidRPr="00CE57F9" w:rsidRDefault="00CE57F9">
                            <w:pPr>
                              <w:widowControl/>
                              <w:spacing w:line="240" w:lineRule="exact"/>
                              <w:jc w:val="both"/>
                              <w:rPr>
                                <w:rFonts w:ascii="標楷體" w:eastAsia="標楷體" w:hAnsi="標楷體" w:cs="新細明體"/>
                                <w:color w:val="000000"/>
                                <w:kern w:val="0"/>
                                <w:sz w:val="20"/>
                              </w:rPr>
                            </w:pPr>
                            <w:r w:rsidRPr="00CE57F9">
                              <w:rPr>
                                <w:rFonts w:ascii="標楷體" w:eastAsia="標楷體" w:hAnsi="標楷體" w:cs="新細明體" w:hint="eastAsia"/>
                                <w:color w:val="000000"/>
                                <w:kern w:val="0"/>
                                <w:sz w:val="20"/>
                              </w:rPr>
                              <w:t>法規低限</w:t>
                            </w:r>
                          </w:p>
                        </w:tc>
                        <w:tc>
                          <w:tcPr>
                            <w:tcW w:w="938" w:type="dxa"/>
                            <w:shd w:val="clear" w:color="auto" w:fill="auto"/>
                            <w:noWrap/>
                            <w:vAlign w:val="center"/>
                            <w:hideMark/>
                          </w:tcPr>
                          <w:p w14:paraId="2F8240E9" w14:textId="77777777" w:rsidR="00CE57F9" w:rsidRPr="00CE57F9" w:rsidRDefault="00CE57F9">
                            <w:pPr>
                              <w:widowControl/>
                              <w:spacing w:line="240" w:lineRule="exact"/>
                              <w:jc w:val="center"/>
                              <w:rPr>
                                <w:rFonts w:ascii="標楷體" w:eastAsia="標楷體" w:hAnsi="標楷體" w:cs="新細明體"/>
                                <w:color w:val="000000"/>
                                <w:spacing w:val="-16"/>
                                <w:kern w:val="0"/>
                                <w:sz w:val="20"/>
                              </w:rPr>
                            </w:pPr>
                            <w:r w:rsidRPr="00CE57F9">
                              <w:rPr>
                                <w:rFonts w:ascii="標楷體" w:eastAsia="標楷體" w:hAnsi="標楷體" w:cs="新細明體" w:hint="eastAsia"/>
                                <w:color w:val="000000"/>
                                <w:kern w:val="0"/>
                                <w:sz w:val="20"/>
                              </w:rPr>
                              <w:t>占比</w:t>
                            </w:r>
                          </w:p>
                        </w:tc>
                        <w:tc>
                          <w:tcPr>
                            <w:tcW w:w="795" w:type="dxa"/>
                            <w:shd w:val="clear" w:color="auto" w:fill="auto"/>
                            <w:noWrap/>
                            <w:vAlign w:val="center"/>
                            <w:hideMark/>
                          </w:tcPr>
                          <w:p w14:paraId="3300EEAE" w14:textId="77777777" w:rsidR="00CE57F9" w:rsidRPr="00CE57F9" w:rsidRDefault="00CE57F9" w:rsidP="00F72E6D">
                            <w:pPr>
                              <w:widowControl/>
                              <w:spacing w:line="240" w:lineRule="exact"/>
                              <w:jc w:val="center"/>
                              <w:rPr>
                                <w:rFonts w:ascii="標楷體" w:eastAsia="標楷體" w:hAnsi="標楷體" w:cs="新細明體"/>
                                <w:color w:val="000000"/>
                                <w:kern w:val="0"/>
                                <w:sz w:val="20"/>
                              </w:rPr>
                            </w:pPr>
                            <w:r w:rsidRPr="00CE57F9">
                              <w:rPr>
                                <w:rFonts w:ascii="標楷體" w:eastAsia="標楷體" w:hAnsi="標楷體" w:cs="新細明體" w:hint="eastAsia"/>
                                <w:color w:val="000000"/>
                                <w:kern w:val="0"/>
                                <w:sz w:val="20"/>
                              </w:rPr>
                              <w:t>人力</w:t>
                            </w:r>
                          </w:p>
                          <w:p w14:paraId="45D1605A" w14:textId="77777777" w:rsidR="00CE57F9" w:rsidRPr="00CE57F9" w:rsidRDefault="00CE57F9" w:rsidP="00F72E6D">
                            <w:pPr>
                              <w:widowControl/>
                              <w:spacing w:line="240" w:lineRule="exact"/>
                              <w:jc w:val="center"/>
                              <w:rPr>
                                <w:rFonts w:ascii="標楷體" w:eastAsia="標楷體" w:hAnsi="標楷體" w:cs="新細明體"/>
                                <w:color w:val="000000"/>
                                <w:kern w:val="0"/>
                                <w:sz w:val="20"/>
                              </w:rPr>
                            </w:pPr>
                            <w:r w:rsidRPr="00CE57F9">
                              <w:rPr>
                                <w:rFonts w:ascii="標楷體" w:eastAsia="標楷體" w:hAnsi="標楷體" w:cs="新細明體" w:hint="eastAsia"/>
                                <w:color w:val="000000"/>
                                <w:kern w:val="0"/>
                                <w:sz w:val="20"/>
                              </w:rPr>
                              <w:t>缺口</w:t>
                            </w:r>
                          </w:p>
                        </w:tc>
                        <w:tc>
                          <w:tcPr>
                            <w:tcW w:w="992" w:type="dxa"/>
                            <w:tcBorders>
                              <w:top w:val="nil"/>
                              <w:bottom w:val="single" w:sz="4" w:space="0" w:color="auto"/>
                            </w:tcBorders>
                            <w:shd w:val="clear" w:color="auto" w:fill="auto"/>
                            <w:noWrap/>
                            <w:hideMark/>
                          </w:tcPr>
                          <w:p w14:paraId="0C6A400E" w14:textId="77777777" w:rsidR="00CE57F9" w:rsidRPr="00CE57F9" w:rsidRDefault="00CE57F9">
                            <w:pPr>
                              <w:widowControl/>
                              <w:spacing w:line="240" w:lineRule="exact"/>
                              <w:jc w:val="both"/>
                              <w:rPr>
                                <w:rFonts w:ascii="標楷體" w:eastAsia="標楷體" w:hAnsi="標楷體" w:cs="新細明體"/>
                                <w:color w:val="000000"/>
                                <w:kern w:val="0"/>
                                <w:sz w:val="20"/>
                              </w:rPr>
                            </w:pPr>
                            <w:r w:rsidRPr="00CE57F9">
                              <w:rPr>
                                <w:rFonts w:ascii="標楷體" w:eastAsia="標楷體" w:hAnsi="標楷體" w:cs="新細明體" w:hint="eastAsia"/>
                                <w:color w:val="000000"/>
                                <w:kern w:val="0"/>
                                <w:sz w:val="20"/>
                              </w:rPr>
                              <w:t>法規低限</w:t>
                            </w:r>
                          </w:p>
                        </w:tc>
                        <w:tc>
                          <w:tcPr>
                            <w:tcW w:w="900" w:type="dxa"/>
                            <w:shd w:val="clear" w:color="auto" w:fill="auto"/>
                            <w:noWrap/>
                            <w:vAlign w:val="center"/>
                            <w:hideMark/>
                          </w:tcPr>
                          <w:p w14:paraId="63280704" w14:textId="77777777" w:rsidR="00CE57F9" w:rsidRPr="00CE57F9" w:rsidRDefault="00CE57F9">
                            <w:pPr>
                              <w:widowControl/>
                              <w:spacing w:line="240" w:lineRule="exact"/>
                              <w:jc w:val="center"/>
                              <w:rPr>
                                <w:rFonts w:ascii="標楷體" w:eastAsia="標楷體" w:hAnsi="標楷體" w:cs="新細明體"/>
                                <w:color w:val="000000"/>
                                <w:kern w:val="0"/>
                                <w:sz w:val="20"/>
                              </w:rPr>
                            </w:pPr>
                            <w:r w:rsidRPr="00CE57F9">
                              <w:rPr>
                                <w:rFonts w:ascii="標楷體" w:eastAsia="標楷體" w:hAnsi="標楷體" w:cs="新細明體" w:hint="eastAsia"/>
                                <w:color w:val="000000"/>
                                <w:kern w:val="0"/>
                                <w:sz w:val="20"/>
                              </w:rPr>
                              <w:t>占比</w:t>
                            </w:r>
                          </w:p>
                        </w:tc>
                        <w:tc>
                          <w:tcPr>
                            <w:tcW w:w="829" w:type="dxa"/>
                            <w:shd w:val="clear" w:color="auto" w:fill="auto"/>
                            <w:noWrap/>
                            <w:vAlign w:val="center"/>
                            <w:hideMark/>
                          </w:tcPr>
                          <w:p w14:paraId="11A20B8F" w14:textId="77777777" w:rsidR="00CE57F9" w:rsidRPr="00CE57F9" w:rsidRDefault="00CE57F9" w:rsidP="00F72E6D">
                            <w:pPr>
                              <w:widowControl/>
                              <w:spacing w:line="240" w:lineRule="exact"/>
                              <w:jc w:val="center"/>
                              <w:rPr>
                                <w:rFonts w:ascii="標楷體" w:eastAsia="標楷體" w:hAnsi="標楷體" w:cs="新細明體"/>
                                <w:color w:val="000000"/>
                                <w:kern w:val="0"/>
                                <w:sz w:val="20"/>
                              </w:rPr>
                            </w:pPr>
                            <w:r w:rsidRPr="00CE57F9">
                              <w:rPr>
                                <w:rFonts w:ascii="標楷體" w:eastAsia="標楷體" w:hAnsi="標楷體" w:cs="新細明體" w:hint="eastAsia"/>
                                <w:color w:val="000000"/>
                                <w:kern w:val="0"/>
                                <w:sz w:val="20"/>
                              </w:rPr>
                              <w:t>證照數差額</w:t>
                            </w:r>
                          </w:p>
                        </w:tc>
                        <w:tc>
                          <w:tcPr>
                            <w:tcW w:w="992" w:type="dxa"/>
                            <w:tcBorders>
                              <w:top w:val="nil"/>
                            </w:tcBorders>
                            <w:shd w:val="clear" w:color="auto" w:fill="auto"/>
                            <w:noWrap/>
                            <w:hideMark/>
                          </w:tcPr>
                          <w:p w14:paraId="10A21E08" w14:textId="77777777" w:rsidR="00CE57F9" w:rsidRPr="00CE57F9" w:rsidRDefault="00CE57F9">
                            <w:pPr>
                              <w:widowControl/>
                              <w:spacing w:line="240" w:lineRule="exact"/>
                              <w:jc w:val="both"/>
                              <w:rPr>
                                <w:rFonts w:ascii="標楷體" w:eastAsia="標楷體" w:hAnsi="標楷體" w:cs="新細明體"/>
                                <w:color w:val="000000"/>
                                <w:kern w:val="0"/>
                                <w:sz w:val="20"/>
                              </w:rPr>
                            </w:pPr>
                            <w:r w:rsidRPr="00CE57F9">
                              <w:rPr>
                                <w:rFonts w:ascii="標楷體" w:eastAsia="標楷體" w:hAnsi="標楷體" w:cs="新細明體" w:hint="eastAsia"/>
                                <w:color w:val="000000"/>
                                <w:kern w:val="0"/>
                                <w:sz w:val="20"/>
                              </w:rPr>
                              <w:t>法規低限</w:t>
                            </w:r>
                          </w:p>
                        </w:tc>
                        <w:tc>
                          <w:tcPr>
                            <w:tcW w:w="979" w:type="dxa"/>
                            <w:shd w:val="clear" w:color="auto" w:fill="auto"/>
                            <w:noWrap/>
                            <w:vAlign w:val="center"/>
                            <w:hideMark/>
                          </w:tcPr>
                          <w:p w14:paraId="3666CB69" w14:textId="77777777" w:rsidR="00CE57F9" w:rsidRPr="00CE57F9" w:rsidRDefault="00CE57F9">
                            <w:pPr>
                              <w:widowControl/>
                              <w:spacing w:line="240" w:lineRule="exact"/>
                              <w:jc w:val="center"/>
                              <w:rPr>
                                <w:rFonts w:ascii="標楷體" w:eastAsia="標楷體" w:hAnsi="標楷體" w:cs="新細明體"/>
                                <w:color w:val="000000"/>
                                <w:spacing w:val="-18"/>
                                <w:kern w:val="0"/>
                                <w:sz w:val="20"/>
                              </w:rPr>
                            </w:pPr>
                            <w:r w:rsidRPr="00CE57F9">
                              <w:rPr>
                                <w:rFonts w:ascii="標楷體" w:eastAsia="標楷體" w:hAnsi="標楷體" w:cs="新細明體" w:hint="eastAsia"/>
                                <w:color w:val="000000"/>
                                <w:kern w:val="0"/>
                                <w:sz w:val="20"/>
                              </w:rPr>
                              <w:t>占比</w:t>
                            </w:r>
                          </w:p>
                        </w:tc>
                        <w:tc>
                          <w:tcPr>
                            <w:tcW w:w="836" w:type="dxa"/>
                            <w:shd w:val="clear" w:color="auto" w:fill="auto"/>
                            <w:noWrap/>
                            <w:vAlign w:val="center"/>
                            <w:hideMark/>
                          </w:tcPr>
                          <w:p w14:paraId="20963EF5" w14:textId="77777777" w:rsidR="00CE57F9" w:rsidRPr="00CE57F9" w:rsidRDefault="00CE57F9" w:rsidP="00F72E6D">
                            <w:pPr>
                              <w:widowControl/>
                              <w:spacing w:line="240" w:lineRule="exact"/>
                              <w:jc w:val="center"/>
                              <w:rPr>
                                <w:rFonts w:ascii="標楷體" w:eastAsia="標楷體" w:hAnsi="標楷體" w:cs="新細明體"/>
                                <w:color w:val="000000"/>
                                <w:kern w:val="0"/>
                                <w:sz w:val="20"/>
                              </w:rPr>
                            </w:pPr>
                            <w:r w:rsidRPr="00CE57F9">
                              <w:rPr>
                                <w:rFonts w:ascii="標楷體" w:eastAsia="標楷體" w:hAnsi="標楷體" w:cs="新細明體" w:hint="eastAsia"/>
                                <w:color w:val="000000"/>
                                <w:kern w:val="0"/>
                                <w:sz w:val="20"/>
                              </w:rPr>
                              <w:t>證書數差額</w:t>
                            </w:r>
                          </w:p>
                        </w:tc>
                      </w:tr>
                      <w:tr w:rsidR="00CE57F9" w:rsidRPr="00E82617" w14:paraId="37B26D88" w14:textId="77777777" w:rsidTr="00DA2751">
                        <w:trPr>
                          <w:trHeight w:val="330"/>
                        </w:trPr>
                        <w:tc>
                          <w:tcPr>
                            <w:tcW w:w="851" w:type="dxa"/>
                            <w:shd w:val="clear" w:color="auto" w:fill="auto"/>
                            <w:noWrap/>
                            <w:vAlign w:val="center"/>
                            <w:hideMark/>
                          </w:tcPr>
                          <w:p w14:paraId="17C1B6E2" w14:textId="77777777" w:rsidR="00CE57F9" w:rsidRPr="00EB09C1" w:rsidRDefault="00CE57F9" w:rsidP="00F72E6D">
                            <w:pPr>
                              <w:ind w:leftChars="17" w:left="41"/>
                              <w:jc w:val="center"/>
                              <w:rPr>
                                <w:rFonts w:ascii="標楷體" w:eastAsia="標楷體" w:hAnsi="標楷體" w:cs="新細明體"/>
                                <w:b/>
                                <w:kern w:val="0"/>
                                <w:sz w:val="20"/>
                                <w:szCs w:val="18"/>
                              </w:rPr>
                            </w:pPr>
                            <w:r w:rsidRPr="00EB09C1">
                              <w:rPr>
                                <w:rFonts w:ascii="標楷體" w:eastAsia="標楷體" w:hAnsi="標楷體" w:cs="新細明體" w:hint="eastAsia"/>
                                <w:b/>
                                <w:kern w:val="0"/>
                                <w:sz w:val="20"/>
                                <w:szCs w:val="18"/>
                              </w:rPr>
                              <w:t>合計</w:t>
                            </w:r>
                          </w:p>
                        </w:tc>
                        <w:tc>
                          <w:tcPr>
                            <w:tcW w:w="709" w:type="dxa"/>
                            <w:shd w:val="clear" w:color="auto" w:fill="auto"/>
                            <w:noWrap/>
                            <w:vAlign w:val="center"/>
                            <w:hideMark/>
                          </w:tcPr>
                          <w:p w14:paraId="7D91A8E8" w14:textId="77777777" w:rsidR="00CE57F9" w:rsidRPr="00531445" w:rsidRDefault="00CE57F9" w:rsidP="00F72E6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532</w:t>
                            </w:r>
                          </w:p>
                        </w:tc>
                        <w:tc>
                          <w:tcPr>
                            <w:tcW w:w="960" w:type="dxa"/>
                            <w:shd w:val="clear" w:color="auto" w:fill="auto"/>
                            <w:noWrap/>
                            <w:vAlign w:val="center"/>
                            <w:hideMark/>
                          </w:tcPr>
                          <w:p w14:paraId="5809BDF2" w14:textId="77777777" w:rsidR="00CE57F9" w:rsidRPr="00531445" w:rsidRDefault="00CE57F9" w:rsidP="00F72E6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124</w:t>
                            </w:r>
                          </w:p>
                        </w:tc>
                        <w:tc>
                          <w:tcPr>
                            <w:tcW w:w="938" w:type="dxa"/>
                            <w:tcBorders>
                              <w:top w:val="single" w:sz="4" w:space="0" w:color="auto"/>
                            </w:tcBorders>
                            <w:shd w:val="clear" w:color="auto" w:fill="auto"/>
                            <w:noWrap/>
                            <w:vAlign w:val="center"/>
                            <w:hideMark/>
                          </w:tcPr>
                          <w:p w14:paraId="08C8DBE3" w14:textId="77777777" w:rsidR="00CE57F9" w:rsidRPr="00531445" w:rsidRDefault="00CE57F9" w:rsidP="00F72E6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23.31</w:t>
                            </w:r>
                          </w:p>
                        </w:tc>
                        <w:tc>
                          <w:tcPr>
                            <w:tcW w:w="795" w:type="dxa"/>
                            <w:tcBorders>
                              <w:top w:val="single" w:sz="4" w:space="0" w:color="auto"/>
                            </w:tcBorders>
                            <w:shd w:val="clear" w:color="auto" w:fill="auto"/>
                            <w:noWrap/>
                            <w:vAlign w:val="center"/>
                            <w:hideMark/>
                          </w:tcPr>
                          <w:p w14:paraId="1CA84751" w14:textId="77777777" w:rsidR="00CE57F9" w:rsidRPr="00531445" w:rsidRDefault="00CE57F9" w:rsidP="00F72E6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141</w:t>
                            </w:r>
                          </w:p>
                        </w:tc>
                        <w:tc>
                          <w:tcPr>
                            <w:tcW w:w="992" w:type="dxa"/>
                            <w:tcBorders>
                              <w:top w:val="single" w:sz="4" w:space="0" w:color="auto"/>
                            </w:tcBorders>
                            <w:shd w:val="clear" w:color="auto" w:fill="auto"/>
                            <w:noWrap/>
                            <w:vAlign w:val="center"/>
                            <w:hideMark/>
                          </w:tcPr>
                          <w:p w14:paraId="7EC4BC93" w14:textId="77777777" w:rsidR="00CE57F9" w:rsidRPr="00531445" w:rsidRDefault="00CE57F9" w:rsidP="00F72E6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197</w:t>
                            </w:r>
                          </w:p>
                        </w:tc>
                        <w:tc>
                          <w:tcPr>
                            <w:tcW w:w="900" w:type="dxa"/>
                            <w:shd w:val="clear" w:color="auto" w:fill="auto"/>
                            <w:noWrap/>
                            <w:vAlign w:val="center"/>
                            <w:hideMark/>
                          </w:tcPr>
                          <w:p w14:paraId="5C833E8C" w14:textId="77777777" w:rsidR="00CE57F9" w:rsidRPr="00531445" w:rsidRDefault="00CE57F9" w:rsidP="00F72E6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37.03</w:t>
                            </w:r>
                          </w:p>
                        </w:tc>
                        <w:tc>
                          <w:tcPr>
                            <w:tcW w:w="829" w:type="dxa"/>
                            <w:shd w:val="clear" w:color="auto" w:fill="auto"/>
                            <w:noWrap/>
                            <w:vAlign w:val="center"/>
                            <w:hideMark/>
                          </w:tcPr>
                          <w:p w14:paraId="32037779" w14:textId="77777777" w:rsidR="00CE57F9" w:rsidRPr="00531445" w:rsidRDefault="00CE57F9" w:rsidP="00F72E6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225</w:t>
                            </w:r>
                          </w:p>
                        </w:tc>
                        <w:tc>
                          <w:tcPr>
                            <w:tcW w:w="992" w:type="dxa"/>
                            <w:shd w:val="clear" w:color="auto" w:fill="auto"/>
                            <w:noWrap/>
                            <w:vAlign w:val="center"/>
                            <w:hideMark/>
                          </w:tcPr>
                          <w:p w14:paraId="4A0B250A" w14:textId="77777777" w:rsidR="00CE57F9" w:rsidRPr="00531445" w:rsidRDefault="00CE57F9" w:rsidP="00F72E6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221</w:t>
                            </w:r>
                          </w:p>
                        </w:tc>
                        <w:tc>
                          <w:tcPr>
                            <w:tcW w:w="979" w:type="dxa"/>
                            <w:shd w:val="clear" w:color="auto" w:fill="auto"/>
                            <w:noWrap/>
                            <w:vAlign w:val="center"/>
                            <w:hideMark/>
                          </w:tcPr>
                          <w:p w14:paraId="2898C06F" w14:textId="77777777" w:rsidR="00CE57F9" w:rsidRPr="00531445" w:rsidRDefault="00CE57F9" w:rsidP="00F72E6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41.54</w:t>
                            </w:r>
                          </w:p>
                        </w:tc>
                        <w:tc>
                          <w:tcPr>
                            <w:tcW w:w="836" w:type="dxa"/>
                            <w:shd w:val="clear" w:color="auto" w:fill="auto"/>
                            <w:noWrap/>
                            <w:vAlign w:val="center"/>
                            <w:hideMark/>
                          </w:tcPr>
                          <w:p w14:paraId="071B26F6" w14:textId="77777777" w:rsidR="00CE57F9" w:rsidRPr="00531445" w:rsidRDefault="00CE57F9" w:rsidP="00F72E6D">
                            <w:pPr>
                              <w:ind w:leftChars="17" w:left="41"/>
                              <w:jc w:val="right"/>
                              <w:rPr>
                                <w:rFonts w:ascii="標楷體" w:eastAsia="標楷體" w:hAnsi="標楷體" w:cs="新細明體"/>
                                <w:b/>
                                <w:kern w:val="0"/>
                                <w:sz w:val="20"/>
                                <w:szCs w:val="18"/>
                              </w:rPr>
                            </w:pPr>
                            <w:r w:rsidRPr="00531445">
                              <w:rPr>
                                <w:rFonts w:ascii="標楷體" w:eastAsia="標楷體" w:hAnsi="標楷體" w:cs="新細明體" w:hint="eastAsia"/>
                                <w:b/>
                                <w:kern w:val="0"/>
                                <w:sz w:val="20"/>
                                <w:szCs w:val="18"/>
                              </w:rPr>
                              <w:t>266</w:t>
                            </w:r>
                          </w:p>
                        </w:tc>
                      </w:tr>
                      <w:tr w:rsidR="00CE57F9" w:rsidRPr="00E82617" w14:paraId="021361AB" w14:textId="77777777" w:rsidTr="00F72E6D">
                        <w:trPr>
                          <w:trHeight w:val="330"/>
                        </w:trPr>
                        <w:tc>
                          <w:tcPr>
                            <w:tcW w:w="851" w:type="dxa"/>
                            <w:shd w:val="clear" w:color="auto" w:fill="auto"/>
                            <w:noWrap/>
                            <w:vAlign w:val="center"/>
                            <w:hideMark/>
                          </w:tcPr>
                          <w:p w14:paraId="5320BCCB" w14:textId="77777777" w:rsidR="00CE57F9" w:rsidRPr="00EB09C1" w:rsidRDefault="00CE57F9" w:rsidP="00F72E6D">
                            <w:pPr>
                              <w:ind w:leftChars="17" w:left="41"/>
                              <w:jc w:val="center"/>
                              <w:rPr>
                                <w:rFonts w:ascii="標楷體" w:eastAsia="標楷體" w:hAnsi="標楷體" w:cs="新細明體"/>
                                <w:kern w:val="0"/>
                                <w:sz w:val="20"/>
                                <w:szCs w:val="18"/>
                              </w:rPr>
                            </w:pPr>
                            <w:r w:rsidRPr="00EB09C1">
                              <w:rPr>
                                <w:rFonts w:ascii="標楷體" w:eastAsia="標楷體" w:hAnsi="標楷體" w:cs="新細明體" w:hint="eastAsia"/>
                                <w:kern w:val="0"/>
                                <w:sz w:val="20"/>
                                <w:szCs w:val="18"/>
                              </w:rPr>
                              <w:t>A級</w:t>
                            </w:r>
                          </w:p>
                        </w:tc>
                        <w:tc>
                          <w:tcPr>
                            <w:tcW w:w="709" w:type="dxa"/>
                            <w:shd w:val="clear" w:color="auto" w:fill="auto"/>
                            <w:noWrap/>
                            <w:vAlign w:val="center"/>
                            <w:hideMark/>
                          </w:tcPr>
                          <w:p w14:paraId="29F78F0A"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44</w:t>
                            </w:r>
                          </w:p>
                        </w:tc>
                        <w:tc>
                          <w:tcPr>
                            <w:tcW w:w="960" w:type="dxa"/>
                            <w:shd w:val="clear" w:color="auto" w:fill="auto"/>
                            <w:noWrap/>
                            <w:vAlign w:val="center"/>
                            <w:hideMark/>
                          </w:tcPr>
                          <w:p w14:paraId="19373D90"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5</w:t>
                            </w:r>
                          </w:p>
                        </w:tc>
                        <w:tc>
                          <w:tcPr>
                            <w:tcW w:w="938" w:type="dxa"/>
                            <w:shd w:val="clear" w:color="auto" w:fill="auto"/>
                            <w:noWrap/>
                            <w:vAlign w:val="center"/>
                            <w:hideMark/>
                          </w:tcPr>
                          <w:p w14:paraId="7741895D"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11.36</w:t>
                            </w:r>
                          </w:p>
                        </w:tc>
                        <w:tc>
                          <w:tcPr>
                            <w:tcW w:w="795" w:type="dxa"/>
                            <w:shd w:val="clear" w:color="auto" w:fill="auto"/>
                            <w:noWrap/>
                            <w:vAlign w:val="center"/>
                            <w:hideMark/>
                          </w:tcPr>
                          <w:p w14:paraId="283F9CA3"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11</w:t>
                            </w:r>
                          </w:p>
                        </w:tc>
                        <w:tc>
                          <w:tcPr>
                            <w:tcW w:w="992" w:type="dxa"/>
                            <w:shd w:val="clear" w:color="auto" w:fill="auto"/>
                            <w:noWrap/>
                            <w:vAlign w:val="center"/>
                            <w:hideMark/>
                          </w:tcPr>
                          <w:p w14:paraId="2B68E9C4"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9</w:t>
                            </w:r>
                          </w:p>
                        </w:tc>
                        <w:tc>
                          <w:tcPr>
                            <w:tcW w:w="900" w:type="dxa"/>
                            <w:shd w:val="clear" w:color="auto" w:fill="auto"/>
                            <w:noWrap/>
                            <w:vAlign w:val="center"/>
                            <w:hideMark/>
                          </w:tcPr>
                          <w:p w14:paraId="72DCC1CB"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20.45</w:t>
                            </w:r>
                          </w:p>
                        </w:tc>
                        <w:tc>
                          <w:tcPr>
                            <w:tcW w:w="829" w:type="dxa"/>
                            <w:shd w:val="clear" w:color="auto" w:fill="auto"/>
                            <w:noWrap/>
                            <w:vAlign w:val="center"/>
                            <w:hideMark/>
                          </w:tcPr>
                          <w:p w14:paraId="1A036E6D"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13</w:t>
                            </w:r>
                          </w:p>
                        </w:tc>
                        <w:tc>
                          <w:tcPr>
                            <w:tcW w:w="992" w:type="dxa"/>
                            <w:shd w:val="clear" w:color="auto" w:fill="auto"/>
                            <w:noWrap/>
                            <w:vAlign w:val="center"/>
                            <w:hideMark/>
                          </w:tcPr>
                          <w:p w14:paraId="10B011CF"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13</w:t>
                            </w:r>
                          </w:p>
                        </w:tc>
                        <w:tc>
                          <w:tcPr>
                            <w:tcW w:w="979" w:type="dxa"/>
                            <w:shd w:val="clear" w:color="auto" w:fill="auto"/>
                            <w:noWrap/>
                            <w:vAlign w:val="center"/>
                            <w:hideMark/>
                          </w:tcPr>
                          <w:p w14:paraId="4DA7ED3E"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29.55</w:t>
                            </w:r>
                          </w:p>
                        </w:tc>
                        <w:tc>
                          <w:tcPr>
                            <w:tcW w:w="836" w:type="dxa"/>
                            <w:shd w:val="clear" w:color="auto" w:fill="auto"/>
                            <w:noWrap/>
                            <w:vAlign w:val="center"/>
                            <w:hideMark/>
                          </w:tcPr>
                          <w:p w14:paraId="3E454275"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19</w:t>
                            </w:r>
                          </w:p>
                        </w:tc>
                      </w:tr>
                      <w:tr w:rsidR="00CE57F9" w:rsidRPr="00E82617" w14:paraId="30FB53D4" w14:textId="77777777" w:rsidTr="00F72E6D">
                        <w:trPr>
                          <w:trHeight w:val="330"/>
                        </w:trPr>
                        <w:tc>
                          <w:tcPr>
                            <w:tcW w:w="851" w:type="dxa"/>
                            <w:shd w:val="clear" w:color="auto" w:fill="auto"/>
                            <w:noWrap/>
                            <w:vAlign w:val="center"/>
                            <w:hideMark/>
                          </w:tcPr>
                          <w:p w14:paraId="3C968476" w14:textId="77777777" w:rsidR="00CE57F9" w:rsidRPr="00EB09C1" w:rsidRDefault="00CE57F9" w:rsidP="00F72E6D">
                            <w:pPr>
                              <w:ind w:leftChars="17" w:left="41"/>
                              <w:jc w:val="center"/>
                              <w:rPr>
                                <w:rFonts w:ascii="標楷體" w:eastAsia="標楷體" w:hAnsi="標楷體" w:cs="新細明體"/>
                                <w:kern w:val="0"/>
                                <w:sz w:val="20"/>
                                <w:szCs w:val="18"/>
                              </w:rPr>
                            </w:pPr>
                            <w:r w:rsidRPr="00EB09C1">
                              <w:rPr>
                                <w:rFonts w:ascii="標楷體" w:eastAsia="標楷體" w:hAnsi="標楷體" w:cs="新細明體" w:hint="eastAsia"/>
                                <w:kern w:val="0"/>
                                <w:sz w:val="20"/>
                                <w:szCs w:val="18"/>
                              </w:rPr>
                              <w:t>B級</w:t>
                            </w:r>
                          </w:p>
                        </w:tc>
                        <w:tc>
                          <w:tcPr>
                            <w:tcW w:w="709" w:type="dxa"/>
                            <w:shd w:val="clear" w:color="auto" w:fill="auto"/>
                            <w:noWrap/>
                            <w:vAlign w:val="center"/>
                            <w:hideMark/>
                          </w:tcPr>
                          <w:p w14:paraId="75646434"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111</w:t>
                            </w:r>
                          </w:p>
                        </w:tc>
                        <w:tc>
                          <w:tcPr>
                            <w:tcW w:w="960" w:type="dxa"/>
                            <w:shd w:val="clear" w:color="auto" w:fill="auto"/>
                            <w:noWrap/>
                            <w:vAlign w:val="center"/>
                            <w:hideMark/>
                          </w:tcPr>
                          <w:p w14:paraId="27651EB8"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19</w:t>
                            </w:r>
                          </w:p>
                        </w:tc>
                        <w:tc>
                          <w:tcPr>
                            <w:tcW w:w="938" w:type="dxa"/>
                            <w:shd w:val="clear" w:color="auto" w:fill="auto"/>
                            <w:noWrap/>
                            <w:vAlign w:val="center"/>
                            <w:hideMark/>
                          </w:tcPr>
                          <w:p w14:paraId="6D584E2F"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17.12</w:t>
                            </w:r>
                          </w:p>
                        </w:tc>
                        <w:tc>
                          <w:tcPr>
                            <w:tcW w:w="795" w:type="dxa"/>
                            <w:shd w:val="clear" w:color="auto" w:fill="auto"/>
                            <w:noWrap/>
                            <w:vAlign w:val="center"/>
                            <w:hideMark/>
                          </w:tcPr>
                          <w:p w14:paraId="6FBC5D01"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30</w:t>
                            </w:r>
                          </w:p>
                        </w:tc>
                        <w:tc>
                          <w:tcPr>
                            <w:tcW w:w="992" w:type="dxa"/>
                            <w:shd w:val="clear" w:color="auto" w:fill="auto"/>
                            <w:noWrap/>
                            <w:vAlign w:val="center"/>
                            <w:hideMark/>
                          </w:tcPr>
                          <w:p w14:paraId="2848D9FD"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24</w:t>
                            </w:r>
                          </w:p>
                        </w:tc>
                        <w:tc>
                          <w:tcPr>
                            <w:tcW w:w="900" w:type="dxa"/>
                            <w:shd w:val="clear" w:color="auto" w:fill="auto"/>
                            <w:noWrap/>
                            <w:vAlign w:val="center"/>
                            <w:hideMark/>
                          </w:tcPr>
                          <w:p w14:paraId="0DDF84AC"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21.62</w:t>
                            </w:r>
                          </w:p>
                        </w:tc>
                        <w:tc>
                          <w:tcPr>
                            <w:tcW w:w="829" w:type="dxa"/>
                            <w:shd w:val="clear" w:color="auto" w:fill="auto"/>
                            <w:noWrap/>
                            <w:vAlign w:val="center"/>
                            <w:hideMark/>
                          </w:tcPr>
                          <w:p w14:paraId="52F17215"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48</w:t>
                            </w:r>
                          </w:p>
                        </w:tc>
                        <w:tc>
                          <w:tcPr>
                            <w:tcW w:w="992" w:type="dxa"/>
                            <w:shd w:val="clear" w:color="auto" w:fill="auto"/>
                            <w:noWrap/>
                            <w:vAlign w:val="center"/>
                            <w:hideMark/>
                          </w:tcPr>
                          <w:p w14:paraId="13B260EE"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39</w:t>
                            </w:r>
                          </w:p>
                        </w:tc>
                        <w:tc>
                          <w:tcPr>
                            <w:tcW w:w="979" w:type="dxa"/>
                            <w:shd w:val="clear" w:color="auto" w:fill="auto"/>
                            <w:noWrap/>
                            <w:vAlign w:val="center"/>
                            <w:hideMark/>
                          </w:tcPr>
                          <w:p w14:paraId="3D3D4102"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35.14</w:t>
                            </w:r>
                          </w:p>
                        </w:tc>
                        <w:tc>
                          <w:tcPr>
                            <w:tcW w:w="836" w:type="dxa"/>
                            <w:shd w:val="clear" w:color="auto" w:fill="auto"/>
                            <w:noWrap/>
                            <w:vAlign w:val="center"/>
                            <w:hideMark/>
                          </w:tcPr>
                          <w:p w14:paraId="71F3CC8E"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78</w:t>
                            </w:r>
                          </w:p>
                        </w:tc>
                      </w:tr>
                      <w:tr w:rsidR="00CE57F9" w:rsidRPr="00E82617" w14:paraId="35878180" w14:textId="77777777" w:rsidTr="00F72E6D">
                        <w:trPr>
                          <w:trHeight w:val="330"/>
                        </w:trPr>
                        <w:tc>
                          <w:tcPr>
                            <w:tcW w:w="851" w:type="dxa"/>
                            <w:tcBorders>
                              <w:bottom w:val="single" w:sz="4" w:space="0" w:color="auto"/>
                            </w:tcBorders>
                            <w:shd w:val="clear" w:color="auto" w:fill="auto"/>
                            <w:noWrap/>
                            <w:vAlign w:val="center"/>
                            <w:hideMark/>
                          </w:tcPr>
                          <w:p w14:paraId="34CBC9C0" w14:textId="77777777" w:rsidR="00CE57F9" w:rsidRPr="00EB09C1" w:rsidRDefault="00CE57F9" w:rsidP="00F72E6D">
                            <w:pPr>
                              <w:ind w:leftChars="17" w:left="41"/>
                              <w:jc w:val="center"/>
                              <w:rPr>
                                <w:rFonts w:ascii="標楷體" w:eastAsia="標楷體" w:hAnsi="標楷體" w:cs="新細明體"/>
                                <w:kern w:val="0"/>
                                <w:sz w:val="20"/>
                                <w:szCs w:val="18"/>
                              </w:rPr>
                            </w:pPr>
                            <w:r w:rsidRPr="00EB09C1">
                              <w:rPr>
                                <w:rFonts w:ascii="標楷體" w:eastAsia="標楷體" w:hAnsi="標楷體" w:cs="新細明體" w:hint="eastAsia"/>
                                <w:kern w:val="0"/>
                                <w:sz w:val="20"/>
                                <w:szCs w:val="18"/>
                              </w:rPr>
                              <w:t>C級</w:t>
                            </w:r>
                          </w:p>
                        </w:tc>
                        <w:tc>
                          <w:tcPr>
                            <w:tcW w:w="709" w:type="dxa"/>
                            <w:tcBorders>
                              <w:bottom w:val="single" w:sz="4" w:space="0" w:color="auto"/>
                            </w:tcBorders>
                            <w:shd w:val="clear" w:color="auto" w:fill="auto"/>
                            <w:noWrap/>
                            <w:vAlign w:val="center"/>
                            <w:hideMark/>
                          </w:tcPr>
                          <w:p w14:paraId="0907AD82"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377</w:t>
                            </w:r>
                          </w:p>
                        </w:tc>
                        <w:tc>
                          <w:tcPr>
                            <w:tcW w:w="960" w:type="dxa"/>
                            <w:tcBorders>
                              <w:bottom w:val="single" w:sz="4" w:space="0" w:color="auto"/>
                            </w:tcBorders>
                            <w:shd w:val="clear" w:color="auto" w:fill="auto"/>
                            <w:noWrap/>
                            <w:vAlign w:val="center"/>
                            <w:hideMark/>
                          </w:tcPr>
                          <w:p w14:paraId="06981724"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100</w:t>
                            </w:r>
                          </w:p>
                        </w:tc>
                        <w:tc>
                          <w:tcPr>
                            <w:tcW w:w="938" w:type="dxa"/>
                            <w:tcBorders>
                              <w:bottom w:val="single" w:sz="4" w:space="0" w:color="auto"/>
                            </w:tcBorders>
                            <w:shd w:val="clear" w:color="auto" w:fill="auto"/>
                            <w:noWrap/>
                            <w:vAlign w:val="center"/>
                            <w:hideMark/>
                          </w:tcPr>
                          <w:p w14:paraId="13BC7B6D"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26.53</w:t>
                            </w:r>
                          </w:p>
                        </w:tc>
                        <w:tc>
                          <w:tcPr>
                            <w:tcW w:w="795" w:type="dxa"/>
                            <w:tcBorders>
                              <w:bottom w:val="single" w:sz="4" w:space="0" w:color="auto"/>
                            </w:tcBorders>
                            <w:shd w:val="clear" w:color="auto" w:fill="auto"/>
                            <w:noWrap/>
                            <w:vAlign w:val="center"/>
                            <w:hideMark/>
                          </w:tcPr>
                          <w:p w14:paraId="40D7B2AE"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100</w:t>
                            </w:r>
                          </w:p>
                        </w:tc>
                        <w:tc>
                          <w:tcPr>
                            <w:tcW w:w="992" w:type="dxa"/>
                            <w:tcBorders>
                              <w:bottom w:val="single" w:sz="4" w:space="0" w:color="auto"/>
                            </w:tcBorders>
                            <w:shd w:val="clear" w:color="auto" w:fill="auto"/>
                            <w:noWrap/>
                            <w:vAlign w:val="center"/>
                            <w:hideMark/>
                          </w:tcPr>
                          <w:p w14:paraId="2DEE8BE3"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164</w:t>
                            </w:r>
                          </w:p>
                        </w:tc>
                        <w:tc>
                          <w:tcPr>
                            <w:tcW w:w="900" w:type="dxa"/>
                            <w:tcBorders>
                              <w:bottom w:val="single" w:sz="4" w:space="0" w:color="auto"/>
                            </w:tcBorders>
                            <w:shd w:val="clear" w:color="auto" w:fill="auto"/>
                            <w:noWrap/>
                            <w:vAlign w:val="center"/>
                            <w:hideMark/>
                          </w:tcPr>
                          <w:p w14:paraId="337952AA"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43.50</w:t>
                            </w:r>
                          </w:p>
                        </w:tc>
                        <w:tc>
                          <w:tcPr>
                            <w:tcW w:w="829" w:type="dxa"/>
                            <w:tcBorders>
                              <w:bottom w:val="single" w:sz="4" w:space="0" w:color="auto"/>
                            </w:tcBorders>
                            <w:shd w:val="clear" w:color="auto" w:fill="auto"/>
                            <w:noWrap/>
                            <w:vAlign w:val="center"/>
                            <w:hideMark/>
                          </w:tcPr>
                          <w:p w14:paraId="50651D5F"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164</w:t>
                            </w:r>
                          </w:p>
                        </w:tc>
                        <w:tc>
                          <w:tcPr>
                            <w:tcW w:w="992" w:type="dxa"/>
                            <w:tcBorders>
                              <w:bottom w:val="single" w:sz="4" w:space="0" w:color="auto"/>
                            </w:tcBorders>
                            <w:shd w:val="clear" w:color="auto" w:fill="auto"/>
                            <w:noWrap/>
                            <w:vAlign w:val="center"/>
                            <w:hideMark/>
                          </w:tcPr>
                          <w:p w14:paraId="5224A8A4"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169</w:t>
                            </w:r>
                          </w:p>
                        </w:tc>
                        <w:tc>
                          <w:tcPr>
                            <w:tcW w:w="979" w:type="dxa"/>
                            <w:tcBorders>
                              <w:bottom w:val="single" w:sz="4" w:space="0" w:color="auto"/>
                            </w:tcBorders>
                            <w:shd w:val="clear" w:color="auto" w:fill="auto"/>
                            <w:noWrap/>
                            <w:vAlign w:val="center"/>
                            <w:hideMark/>
                          </w:tcPr>
                          <w:p w14:paraId="63668154"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44.83</w:t>
                            </w:r>
                          </w:p>
                        </w:tc>
                        <w:tc>
                          <w:tcPr>
                            <w:tcW w:w="836" w:type="dxa"/>
                            <w:tcBorders>
                              <w:bottom w:val="single" w:sz="4" w:space="0" w:color="auto"/>
                            </w:tcBorders>
                            <w:shd w:val="clear" w:color="auto" w:fill="auto"/>
                            <w:noWrap/>
                            <w:vAlign w:val="center"/>
                            <w:hideMark/>
                          </w:tcPr>
                          <w:p w14:paraId="6E7C66FA" w14:textId="77777777" w:rsidR="00CE57F9" w:rsidRPr="004E5F31" w:rsidRDefault="00CE57F9" w:rsidP="00F72E6D">
                            <w:pPr>
                              <w:ind w:leftChars="17" w:left="41"/>
                              <w:jc w:val="right"/>
                              <w:rPr>
                                <w:rFonts w:ascii="標楷體" w:eastAsia="標楷體" w:hAnsi="標楷體" w:cs="新細明體"/>
                                <w:kern w:val="0"/>
                                <w:sz w:val="20"/>
                                <w:szCs w:val="18"/>
                              </w:rPr>
                            </w:pPr>
                            <w:r w:rsidRPr="004E5F31">
                              <w:rPr>
                                <w:rFonts w:ascii="標楷體" w:eastAsia="標楷體" w:hAnsi="標楷體" w:cs="新細明體" w:hint="eastAsia"/>
                                <w:kern w:val="0"/>
                                <w:sz w:val="20"/>
                                <w:szCs w:val="18"/>
                              </w:rPr>
                              <w:t>169</w:t>
                            </w:r>
                          </w:p>
                        </w:tc>
                      </w:tr>
                      <w:tr w:rsidR="00CE57F9" w:rsidRPr="00E82617" w14:paraId="08FDFBBA" w14:textId="77777777" w:rsidTr="00F72E6D">
                        <w:trPr>
                          <w:trHeight w:val="330"/>
                        </w:trPr>
                        <w:tc>
                          <w:tcPr>
                            <w:tcW w:w="9781" w:type="dxa"/>
                            <w:gridSpan w:val="11"/>
                            <w:tcBorders>
                              <w:top w:val="single" w:sz="4" w:space="0" w:color="auto"/>
                              <w:left w:val="nil"/>
                              <w:bottom w:val="nil"/>
                              <w:right w:val="nil"/>
                            </w:tcBorders>
                            <w:shd w:val="clear" w:color="auto" w:fill="auto"/>
                            <w:noWrap/>
                            <w:vAlign w:val="center"/>
                          </w:tcPr>
                          <w:p w14:paraId="2A7FEEEE" w14:textId="77777777" w:rsidR="00CE57F9" w:rsidRPr="00E82617" w:rsidRDefault="00CE57F9" w:rsidP="003301EF">
                            <w:pPr>
                              <w:widowControl/>
                              <w:spacing w:line="300" w:lineRule="exact"/>
                              <w:ind w:left="900" w:hangingChars="500" w:hanging="900"/>
                              <w:jc w:val="both"/>
                              <w:rPr>
                                <w:rFonts w:ascii="標楷體" w:eastAsia="標楷體" w:hAnsi="標楷體" w:cs="新細明體"/>
                                <w:bCs/>
                                <w:color w:val="000000"/>
                                <w:kern w:val="0"/>
                                <w:sz w:val="20"/>
                              </w:rPr>
                            </w:pPr>
                            <w:r w:rsidRPr="002C3EF4">
                              <w:rPr>
                                <w:rFonts w:ascii="標楷體" w:eastAsia="標楷體" w:hAnsi="標楷體" w:cs="新細明體" w:hint="eastAsia"/>
                                <w:bCs/>
                                <w:color w:val="000000"/>
                                <w:kern w:val="0"/>
                                <w:sz w:val="18"/>
                              </w:rPr>
                              <w:t>資料來源：整理自資安署提供資料。</w:t>
                            </w:r>
                          </w:p>
                        </w:tc>
                      </w:tr>
                    </w:tbl>
                    <w:p w14:paraId="12AECB31" w14:textId="77777777" w:rsidR="00CE57F9" w:rsidRDefault="00CE57F9" w:rsidP="00E9304D"/>
                  </w:txbxContent>
                </v:textbox>
                <w10:wrap type="square" anchorx="page"/>
              </v:shape>
            </w:pict>
          </mc:Fallback>
        </mc:AlternateContent>
      </w:r>
      <w:r w:rsidRPr="00DA2751">
        <w:rPr>
          <w:rFonts w:ascii="標楷體" w:eastAsia="標楷體" w:hAnsi="標楷體" w:hint="eastAsia"/>
          <w:szCs w:val="24"/>
        </w:rPr>
        <w:t>機關法遵事項未盡落實之主因，係公、私部門資安人力需求日益遽增，加以公、私部門用人薪資水準存有差距</w:t>
      </w:r>
      <w:r w:rsidRPr="00CE57F9">
        <w:rPr>
          <w:rFonts w:ascii="標楷體" w:eastAsia="標楷體" w:hAnsi="標楷體" w:hint="eastAsia"/>
          <w:szCs w:val="24"/>
        </w:rPr>
        <w:t>，又政府機關現行制度尚無有關資安人員任免、訓練及管理考核之統籌機制，致徵才不易且人員流動率高；</w:t>
      </w:r>
      <w:r w:rsidR="00413556" w:rsidRPr="00CE57F9">
        <w:rPr>
          <w:rFonts w:ascii="標楷體" w:eastAsia="標楷體" w:hAnsi="標楷體" w:hint="eastAsia"/>
          <w:szCs w:val="24"/>
        </w:rPr>
        <w:t>另因機關資安培訓預算有限，未能足額或增額派員參訓</w:t>
      </w:r>
      <w:r w:rsidRPr="00CE57F9">
        <w:rPr>
          <w:rFonts w:ascii="標楷體" w:eastAsia="標楷體" w:hAnsi="標楷體" w:hint="eastAsia"/>
          <w:szCs w:val="24"/>
        </w:rPr>
        <w:t>，且考照通過不易，近2年度（110及111年度）證書通過率約60％至70％，</w:t>
      </w:r>
      <w:r w:rsidR="00413556" w:rsidRPr="00CE57F9">
        <w:rPr>
          <w:rFonts w:ascii="標楷體" w:eastAsia="標楷體" w:hAnsi="標楷體" w:hint="eastAsia"/>
          <w:szCs w:val="24"/>
        </w:rPr>
        <w:t>影響證照（書）取得數量等所致</w:t>
      </w:r>
      <w:r w:rsidRPr="00CE57F9">
        <w:rPr>
          <w:rFonts w:ascii="標楷體" w:eastAsia="標楷體" w:hAnsi="標楷體" w:hint="eastAsia"/>
          <w:szCs w:val="24"/>
        </w:rPr>
        <w:t>，刻正與考試院考選部、行政院人事行政總處及</w:t>
      </w:r>
      <w:r w:rsidR="00413556" w:rsidRPr="00CE57F9">
        <w:rPr>
          <w:rFonts w:ascii="標楷體" w:eastAsia="標楷體" w:hAnsi="標楷體" w:hint="eastAsia"/>
          <w:szCs w:val="24"/>
        </w:rPr>
        <w:t>相關</w:t>
      </w:r>
      <w:r w:rsidRPr="00CE57F9">
        <w:rPr>
          <w:rFonts w:ascii="標楷體" w:eastAsia="標楷體" w:hAnsi="標楷體" w:hint="eastAsia"/>
          <w:szCs w:val="24"/>
        </w:rPr>
        <w:t>機關，共同研議透過國家考試取才，及研擬資安人員待遇提升措施。鑑於近年全球數位轉型快速發展及我國特殊政經情勢，各界益加注意政府機關資安應變能力，且政府及企業面臨資安攻擊及威脅與日俱增，爭相競逐資安人才，經函請行政院督促權責機關妥謀因應對策，督導資</w:t>
      </w:r>
      <w:r w:rsidR="00413556" w:rsidRPr="00CE57F9">
        <w:rPr>
          <w:rFonts w:ascii="標楷體" w:eastAsia="標楷體" w:hAnsi="標楷體" w:hint="eastAsia"/>
          <w:szCs w:val="24"/>
        </w:rPr>
        <w:t>安</w:t>
      </w:r>
      <w:r w:rsidRPr="00CE57F9">
        <w:rPr>
          <w:rFonts w:ascii="標楷體" w:eastAsia="標楷體" w:hAnsi="標楷體" w:hint="eastAsia"/>
          <w:szCs w:val="24"/>
        </w:rPr>
        <w:t>法納管機關（構）審酌機關資安層級及業務實需，妥適籌編資安預算及編制人力，落實資安督導業務，以利執行資安法相關規範，提升國家整體資安防護量能。據復：</w:t>
      </w:r>
      <w:r w:rsidR="00413556" w:rsidRPr="00CE57F9">
        <w:rPr>
          <w:rFonts w:ascii="標楷體" w:eastAsia="標楷體" w:hAnsi="標楷體" w:hint="eastAsia"/>
          <w:szCs w:val="24"/>
        </w:rPr>
        <w:t>依資安法及相關規定，透過內、外部資安稽核機制，對公務機關資安專職人力之配置等應辦事項進行督導考核，並考量</w:t>
      </w:r>
      <w:r w:rsidR="00873E00" w:rsidRPr="00CE57F9">
        <w:rPr>
          <w:rFonts w:ascii="標楷體" w:eastAsia="標楷體" w:hAnsi="標楷體" w:hint="eastAsia"/>
          <w:szCs w:val="24"/>
        </w:rPr>
        <w:t>機關資安責任等級及業務繁重程度等，增訂資安人員增支專業加給；另</w:t>
      </w:r>
      <w:r w:rsidR="00413556" w:rsidRPr="00CE57F9">
        <w:rPr>
          <w:rFonts w:ascii="標楷體" w:eastAsia="標楷體" w:hAnsi="標楷體" w:hint="eastAsia"/>
          <w:szCs w:val="24"/>
        </w:rPr>
        <w:t>資安署與考試院考選部、行政院人事行政總處及相關機關於</w:t>
      </w:r>
      <w:r w:rsidR="00413556" w:rsidRPr="00CE57F9">
        <w:rPr>
          <w:rFonts w:ascii="標楷體" w:eastAsia="標楷體" w:hAnsi="標楷體"/>
          <w:szCs w:val="24"/>
        </w:rPr>
        <w:t>112年4月召開會議，共同研商資安人力徵才不易及人員流動率等議題，以精進相關機制，推動國家整體資安防護作為</w:t>
      </w:r>
      <w:r w:rsidRPr="00CE57F9">
        <w:rPr>
          <w:rFonts w:ascii="標楷體" w:eastAsia="標楷體" w:hAnsi="標楷體" w:hint="eastAsia"/>
          <w:szCs w:val="24"/>
        </w:rPr>
        <w:t>。</w:t>
      </w:r>
    </w:p>
    <w:p w14:paraId="78D106F0" w14:textId="0BF1BCE7" w:rsidR="00D35B0C" w:rsidRPr="009D11AD" w:rsidRDefault="00D35B0C" w:rsidP="00DA2751">
      <w:pPr>
        <w:pStyle w:val="2"/>
        <w:overflowPunct w:val="0"/>
        <w:spacing w:beforeLines="30" w:before="108"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（十一）　行政院為建立國人對政府行動化應用軟體使用安全之信賴感，已修</w:t>
      </w:r>
      <w:r w:rsidR="00673095">
        <w:rPr>
          <w:rFonts w:hAnsi="標楷體" w:hint="eastAsia"/>
          <w:b/>
          <w:color w:val="000000" w:themeColor="text1"/>
          <w:sz w:val="28"/>
          <w:szCs w:val="28"/>
        </w:rPr>
        <w:t>正</w:t>
      </w:r>
      <w:r w:rsidRPr="009D11AD">
        <w:rPr>
          <w:rFonts w:hAnsi="標楷體" w:hint="eastAsia"/>
          <w:b/>
          <w:color w:val="000000" w:themeColor="text1"/>
          <w:sz w:val="28"/>
          <w:szCs w:val="28"/>
        </w:rPr>
        <w:t>行動化服務作業原則，明定機關開發之App應通過資安檢測，始得提供民眾下載使用，惟未明確規範檢測作業方式及頻率、未將機關內部使用之App納入作業原則適用對象，及未落實相關管考機制等，易衍生個資外洩及資安風險，亟待相關權責機關研謀因應</w:t>
      </w:r>
      <w:r w:rsidRPr="00DA2751">
        <w:rPr>
          <w:rFonts w:hAnsi="標楷體" w:hint="eastAsia"/>
          <w:b/>
          <w:color w:val="000000" w:themeColor="text1"/>
          <w:sz w:val="28"/>
          <w:szCs w:val="28"/>
        </w:rPr>
        <w:t>。</w:t>
      </w:r>
    </w:p>
    <w:p w14:paraId="06041BE1" w14:textId="640F550D" w:rsidR="00D35B0C" w:rsidRPr="009D11AD" w:rsidRDefault="00D35B0C" w:rsidP="00CE6A7D">
      <w:pPr>
        <w:overflowPunct w:val="0"/>
        <w:adjustRightInd w:val="0"/>
        <w:snapToGrid w:val="0"/>
        <w:spacing w:line="404" w:lineRule="exact"/>
        <w:ind w:firstLineChars="200" w:firstLine="480"/>
        <w:jc w:val="both"/>
        <w:rPr>
          <w:rFonts w:ascii="標楷體" w:eastAsia="標楷體" w:hAnsi="標楷體"/>
          <w:kern w:val="0"/>
          <w:szCs w:val="24"/>
        </w:rPr>
      </w:pPr>
      <w:r w:rsidRPr="00CE57F9">
        <w:rPr>
          <w:rFonts w:ascii="標楷體" w:eastAsia="標楷體" w:hAnsi="標楷體" w:hint="eastAsia"/>
          <w:kern w:val="0"/>
          <w:szCs w:val="24"/>
        </w:rPr>
        <w:t>行政院為確保各機關行動化服務符合資通安全規範、避免使用者資料外洩或財物損失等風險，建立國人對政府行動化應用軟體（下稱App）使用之安全信賴感，於106年7月28日</w:t>
      </w:r>
      <w:r w:rsidR="001C73E2" w:rsidRPr="00777ACA">
        <w:rPr>
          <w:rFonts w:ascii="標楷體" w:eastAsia="標楷體" w:hAnsi="標楷體" w:hint="eastAsia"/>
          <w:kern w:val="0"/>
          <w:szCs w:val="24"/>
        </w:rPr>
        <w:t>已</w:t>
      </w:r>
      <w:r w:rsidRPr="00CE57F9">
        <w:rPr>
          <w:rFonts w:ascii="標楷體" w:eastAsia="標楷體" w:hAnsi="標楷體" w:hint="eastAsia"/>
          <w:kern w:val="0"/>
          <w:szCs w:val="24"/>
        </w:rPr>
        <w:t>修</w:t>
      </w:r>
      <w:r w:rsidR="00673095" w:rsidRPr="00CE57F9">
        <w:rPr>
          <w:rFonts w:ascii="標楷體" w:eastAsia="標楷體" w:hAnsi="標楷體" w:hint="eastAsia"/>
          <w:kern w:val="0"/>
          <w:szCs w:val="24"/>
        </w:rPr>
        <w:t>正</w:t>
      </w:r>
      <w:r w:rsidR="007945DB" w:rsidRPr="00CE57F9">
        <w:rPr>
          <w:rFonts w:ascii="標楷體" w:eastAsia="標楷體" w:hAnsi="標楷體" w:hint="eastAsia"/>
          <w:kern w:val="0"/>
          <w:szCs w:val="24"/>
        </w:rPr>
        <w:t>「</w:t>
      </w:r>
      <w:r w:rsidRPr="00CE57F9">
        <w:rPr>
          <w:rFonts w:ascii="標楷體" w:eastAsia="標楷體" w:hAnsi="標楷體" w:hint="eastAsia"/>
          <w:kern w:val="0"/>
          <w:szCs w:val="24"/>
        </w:rPr>
        <w:t>行政院及所屬各機關行動化服務發展作業原則</w:t>
      </w:r>
      <w:r w:rsidR="007945DB" w:rsidRPr="00CE57F9">
        <w:rPr>
          <w:rFonts w:ascii="標楷體" w:eastAsia="標楷體" w:hAnsi="標楷體" w:hint="eastAsia"/>
          <w:kern w:val="0"/>
          <w:szCs w:val="24"/>
        </w:rPr>
        <w:t>」</w:t>
      </w:r>
      <w:r w:rsidRPr="00CE57F9">
        <w:rPr>
          <w:rFonts w:ascii="標楷體" w:eastAsia="標楷體" w:hAnsi="標楷體" w:hint="eastAsia"/>
          <w:kern w:val="0"/>
          <w:szCs w:val="24"/>
        </w:rPr>
        <w:t>（下稱行動化服務作業原則），增訂第11</w:t>
      </w:r>
      <w:r w:rsidRPr="00CE57F9">
        <w:rPr>
          <w:rFonts w:ascii="標楷體" w:eastAsia="標楷體" w:hAnsi="標楷體" w:hint="eastAsia"/>
          <w:kern w:val="0"/>
          <w:szCs w:val="24"/>
        </w:rPr>
        <w:lastRenderedPageBreak/>
        <w:t>點規定，明定中央政府各機關開發之行動化服務應通過經濟部工業局訂定行動化應用軟體之檢測項目，始得提供民眾下載使用，及第12點規定，行政院所屬二級機關應於每年12月31日前彙整其所屬機關（構）之績效及資通安全檢測報告，送國家發展委員會進行管考。嗣111年8月27日數</w:t>
      </w:r>
      <w:r w:rsidR="002932A6" w:rsidRPr="00CE57F9">
        <w:rPr>
          <w:rFonts w:ascii="標楷體" w:eastAsia="標楷體" w:hAnsi="標楷體" w:hint="eastAsia"/>
          <w:kern w:val="0"/>
          <w:szCs w:val="24"/>
        </w:rPr>
        <w:t>位發展部</w:t>
      </w:r>
      <w:r w:rsidRPr="00CE57F9">
        <w:rPr>
          <w:rFonts w:ascii="標楷體" w:eastAsia="標楷體" w:hAnsi="標楷體" w:hint="eastAsia"/>
          <w:kern w:val="0"/>
          <w:szCs w:val="24"/>
        </w:rPr>
        <w:t>成立，承接App相關規範訂定、管考及資安與無障礙檢測等相關業務。經查中央政府各機關開發及維護之App資訊安全及維護管理情形，核有：1.行政院</w:t>
      </w:r>
      <w:r w:rsidR="007945DB" w:rsidRPr="00CE57F9">
        <w:rPr>
          <w:rFonts w:ascii="標楷體" w:eastAsia="標楷體" w:hAnsi="標楷體" w:hint="eastAsia"/>
          <w:kern w:val="0"/>
          <w:szCs w:val="24"/>
        </w:rPr>
        <w:t>修正</w:t>
      </w:r>
      <w:r w:rsidRPr="00CE57F9">
        <w:rPr>
          <w:rFonts w:ascii="標楷體" w:eastAsia="標楷體" w:hAnsi="標楷體" w:hint="eastAsia"/>
          <w:kern w:val="0"/>
          <w:szCs w:val="24"/>
        </w:rPr>
        <w:t>之行動化服務作業原則，未明確規範App檢測作業方式及頻率，致各機關辦理檢測作業方式不一，或有部分App通過財團法人全國認證基金會（Taiwan Accreditation Foundation, TAF）認可實驗室資安檢測但未拿標章、通過TAF認可實驗室資安檢測但有效期限已過期、未通過資安檢測，或採其他方式自行辦理資安檢測等（圖</w:t>
      </w:r>
      <w:r w:rsidR="00105077" w:rsidRPr="00CE57F9">
        <w:rPr>
          <w:rFonts w:ascii="標楷體" w:eastAsia="標楷體" w:hAnsi="標楷體" w:hint="eastAsia"/>
          <w:kern w:val="0"/>
          <w:szCs w:val="24"/>
        </w:rPr>
        <w:t>6</w:t>
      </w:r>
      <w:r w:rsidRPr="00CE57F9">
        <w:rPr>
          <w:rFonts w:ascii="標楷體" w:eastAsia="標楷體" w:hAnsi="標楷體" w:hint="eastAsia"/>
          <w:kern w:val="0"/>
          <w:szCs w:val="24"/>
        </w:rPr>
        <w:t>），易衍生資安風險；2.行動化服務作業原則未將機關內部使用之App納入適用對象，經參考行動應用資安聯盟資安認證制度認可實驗室安華聯網科技股份有限公司於110年揭露臺灣App常見之三大風險，包含不安全的資料儲存（用戶端裝置儲存資料未加密及存放路徑或檔案不安全）、不安全的資</w:t>
      </w:r>
      <w:r w:rsidRPr="00CE57F9">
        <w:rPr>
          <w:rFonts w:ascii="標楷體" w:eastAsia="標楷體" w:hAnsi="標楷體" w:hint="eastAsia"/>
          <w:spacing w:val="-4"/>
          <w:kern w:val="0"/>
          <w:szCs w:val="24"/>
        </w:rPr>
        <w:t>料傳輸（傳輸資料方式未加密）及資料輸入內容未經完整驗證（用戶端程式碼安全性</w:t>
      </w:r>
      <w:r w:rsidRPr="00CE57F9">
        <w:rPr>
          <w:rFonts w:ascii="標楷體" w:eastAsia="標楷體" w:hAnsi="標楷體" w:hint="eastAsia"/>
          <w:kern w:val="0"/>
          <w:szCs w:val="24"/>
        </w:rPr>
        <w:t>不足），未因使用對象不同而降低資安風險等級</w:t>
      </w:r>
      <w:r w:rsidR="007945DB" w:rsidRPr="00CE57F9">
        <w:rPr>
          <w:rFonts w:ascii="標楷體" w:eastAsia="標楷體" w:hAnsi="標楷體" w:hint="eastAsia"/>
          <w:kern w:val="0"/>
          <w:szCs w:val="24"/>
        </w:rPr>
        <w:t>，且駭客攻擊層出不窮，公務機關仍有發生民眾個資或機敏資料外洩疑慮；</w:t>
      </w:r>
      <w:r w:rsidRPr="00CE57F9">
        <w:rPr>
          <w:rFonts w:ascii="標楷體" w:eastAsia="標楷體" w:hAnsi="標楷體" w:hint="eastAsia"/>
          <w:kern w:val="0"/>
          <w:szCs w:val="24"/>
        </w:rPr>
        <w:t>3.行</w:t>
      </w:r>
      <w:r w:rsidRPr="009D11AD">
        <w:rPr>
          <w:rFonts w:ascii="標楷體" w:eastAsia="標楷體" w:hAnsi="標楷體" w:hint="eastAsia"/>
          <w:kern w:val="0"/>
          <w:szCs w:val="24"/>
        </w:rPr>
        <w:t>政院為確保所屬各機關開發之App符合資安規範，已建立績效管理與管考機制，惟未落實App相關管考機制，截至111年7月底止，中央政府各機關開發提供民眾下載使用之App共計163個，開發建置成本約4億938萬餘元，其中31個App漏未於「我的E政府」管理平臺填報、15個App未辦理資安檢測、11個App未依改善期限完成資安檢測等，影響民眾使用App之安全；4.政府於行動化服務作業原則規範App應辦理無障礙設計，且訂定無障礙開發及檢測指引，作為機關辦理App</w:t>
      </w:r>
      <w:r w:rsidR="00CE6A7D" w:rsidRPr="00CE6A7D">
        <w:rPr>
          <w:rFonts w:ascii="標楷體" w:eastAsia="標楷體" w:hAnsi="標楷體" w:hint="eastAsia"/>
          <w:noProof/>
          <w:kern w:val="0"/>
          <w:szCs w:val="24"/>
        </w:rPr>
        <mc:AlternateContent>
          <mc:Choice Requires="wpg">
            <w:drawing>
              <wp:anchor distT="0" distB="0" distL="114300" distR="114300" simplePos="0" relativeHeight="251648512" behindDoc="0" locked="0" layoutInCell="1" allowOverlap="1" wp14:anchorId="3BB302E8" wp14:editId="0ADFCBE2">
                <wp:simplePos x="0" y="0"/>
                <wp:positionH relativeFrom="margin">
                  <wp:posOffset>151130</wp:posOffset>
                </wp:positionH>
                <wp:positionV relativeFrom="paragraph">
                  <wp:posOffset>5674747</wp:posOffset>
                </wp:positionV>
                <wp:extent cx="6320790" cy="3204845"/>
                <wp:effectExtent l="0" t="0" r="0" b="0"/>
                <wp:wrapSquare wrapText="bothSides"/>
                <wp:docPr id="62" name="群組 62"/>
                <wp:cNvGraphicFramePr/>
                <a:graphic xmlns:a="http://schemas.openxmlformats.org/drawingml/2006/main">
                  <a:graphicData uri="http://schemas.microsoft.com/office/word/2010/wordprocessingGroup">
                    <wpg:wgp>
                      <wpg:cNvGrpSpPr/>
                      <wpg:grpSpPr>
                        <a:xfrm>
                          <a:off x="0" y="0"/>
                          <a:ext cx="6320790" cy="3204845"/>
                          <a:chOff x="0" y="22859"/>
                          <a:chExt cx="5237480" cy="3244851"/>
                        </a:xfrm>
                      </wpg:grpSpPr>
                      <wpg:grpSp>
                        <wpg:cNvPr id="63" name="群組 63"/>
                        <wpg:cNvGrpSpPr/>
                        <wpg:grpSpPr>
                          <a:xfrm>
                            <a:off x="278944" y="22859"/>
                            <a:ext cx="4694441" cy="3244851"/>
                            <a:chOff x="684020" y="-248159"/>
                            <a:chExt cx="2768168" cy="2762164"/>
                          </a:xfrm>
                        </wpg:grpSpPr>
                        <wps:wsp>
                          <wps:cNvPr id="448" name="文字方塊 2"/>
                          <wps:cNvSpPr txBox="1">
                            <a:spLocks noChangeArrowheads="1"/>
                          </wps:cNvSpPr>
                          <wps:spPr bwMode="auto">
                            <a:xfrm>
                              <a:off x="721053" y="-248159"/>
                              <a:ext cx="2731135" cy="344557"/>
                            </a:xfrm>
                            <a:prstGeom prst="rect">
                              <a:avLst/>
                            </a:prstGeom>
                            <a:noFill/>
                            <a:ln w="9525">
                              <a:noFill/>
                              <a:miter lim="800000"/>
                              <a:headEnd/>
                              <a:tailEnd/>
                            </a:ln>
                          </wps:spPr>
                          <wps:txbx>
                            <w:txbxContent>
                              <w:p w14:paraId="17725A14" w14:textId="3048D358" w:rsidR="00CE57F9" w:rsidRPr="00B31673" w:rsidRDefault="00CE57F9" w:rsidP="00D35B0C">
                                <w:pPr>
                                  <w:jc w:val="center"/>
                                  <w:rPr>
                                    <w:rFonts w:ascii="標楷體" w:eastAsia="標楷體" w:hAnsi="標楷體"/>
                                    <w:b/>
                                    <w:spacing w:val="4"/>
                                  </w:rPr>
                                </w:pPr>
                                <w:r w:rsidRPr="00B31673">
                                  <w:rPr>
                                    <w:rFonts w:ascii="標楷體" w:eastAsia="標楷體" w:hAnsi="標楷體" w:hint="eastAsia"/>
                                    <w:b/>
                                    <w:spacing w:val="4"/>
                                  </w:rPr>
                                  <w:t>圖</w:t>
                                </w:r>
                                <w:r>
                                  <w:rPr>
                                    <w:rFonts w:ascii="標楷體" w:eastAsia="標楷體" w:hAnsi="標楷體"/>
                                    <w:b/>
                                    <w:spacing w:val="4"/>
                                  </w:rPr>
                                  <w:t>6</w:t>
                                </w:r>
                                <w:r w:rsidRPr="00B31673">
                                  <w:rPr>
                                    <w:rFonts w:ascii="標楷體" w:eastAsia="標楷體" w:hAnsi="標楷體" w:hint="eastAsia"/>
                                    <w:b/>
                                    <w:spacing w:val="4"/>
                                  </w:rPr>
                                  <w:t xml:space="preserve">　中央政府各機關提供民眾下載使用App資安檢測情形</w:t>
                                </w:r>
                              </w:p>
                            </w:txbxContent>
                          </wps:txbx>
                          <wps:bodyPr rot="0" vert="horz" wrap="square" lIns="91440" tIns="45720" rIns="91440" bIns="45720" anchor="t" anchorCtr="0">
                            <a:noAutofit/>
                          </wps:bodyPr>
                        </wps:wsp>
                        <wps:wsp>
                          <wps:cNvPr id="449" name="文字方塊 4"/>
                          <wps:cNvSpPr txBox="1">
                            <a:spLocks noChangeArrowheads="1"/>
                          </wps:cNvSpPr>
                          <wps:spPr bwMode="auto">
                            <a:xfrm>
                              <a:off x="684020" y="2141131"/>
                              <a:ext cx="2429148" cy="372874"/>
                            </a:xfrm>
                            <a:prstGeom prst="rect">
                              <a:avLst/>
                            </a:prstGeom>
                            <a:noFill/>
                            <a:ln w="9525">
                              <a:noFill/>
                              <a:miter lim="800000"/>
                              <a:headEnd/>
                              <a:tailEnd/>
                            </a:ln>
                          </wps:spPr>
                          <wps:txbx>
                            <w:txbxContent>
                              <w:p w14:paraId="18F66498" w14:textId="74E099A7" w:rsidR="00CE57F9" w:rsidRPr="00F7079D" w:rsidRDefault="00CE57F9" w:rsidP="00D35B0C">
                                <w:pPr>
                                  <w:adjustRightInd w:val="0"/>
                                  <w:snapToGrid w:val="0"/>
                                  <w:rPr>
                                    <w:rFonts w:ascii="標楷體" w:eastAsia="標楷體" w:hAnsi="標楷體"/>
                                    <w:sz w:val="18"/>
                                  </w:rPr>
                                </w:pPr>
                                <w:r w:rsidRPr="00F7079D">
                                  <w:rPr>
                                    <w:rFonts w:ascii="標楷體" w:eastAsia="標楷體" w:hAnsi="標楷體" w:hint="eastAsia"/>
                                    <w:sz w:val="18"/>
                                  </w:rPr>
                                  <w:t>註：1.</w:t>
                                </w:r>
                                <w:r w:rsidRPr="00CE57F9">
                                  <w:rPr>
                                    <w:rFonts w:ascii="標楷體" w:eastAsia="標楷體" w:hAnsi="標楷體" w:hint="eastAsia"/>
                                    <w:sz w:val="18"/>
                                  </w:rPr>
                                  <w:t>資料截止日期：111年7月3</w:t>
                                </w:r>
                                <w:r w:rsidRPr="00CE57F9">
                                  <w:rPr>
                                    <w:rFonts w:ascii="標楷體" w:eastAsia="標楷體" w:hAnsi="標楷體"/>
                                    <w:sz w:val="18"/>
                                  </w:rPr>
                                  <w:t>1</w:t>
                                </w:r>
                                <w:r w:rsidRPr="00CE57F9">
                                  <w:rPr>
                                    <w:rFonts w:ascii="標楷體" w:eastAsia="標楷體" w:hAnsi="標楷體" w:hint="eastAsia"/>
                                    <w:sz w:val="18"/>
                                  </w:rPr>
                                  <w:t>日。</w:t>
                                </w:r>
                              </w:p>
                              <w:p w14:paraId="3F7DDEF4" w14:textId="77777777" w:rsidR="00CE57F9" w:rsidRPr="001D7246" w:rsidRDefault="00CE57F9" w:rsidP="00EE4917">
                                <w:pPr>
                                  <w:adjustRightInd w:val="0"/>
                                  <w:snapToGrid w:val="0"/>
                                  <w:ind w:firstLineChars="200" w:firstLine="360"/>
                                  <w:rPr>
                                    <w:rFonts w:ascii="標楷體" w:eastAsia="標楷體" w:hAnsi="標楷體"/>
                                    <w:sz w:val="18"/>
                                  </w:rPr>
                                </w:pPr>
                                <w:r w:rsidRPr="00F7079D">
                                  <w:rPr>
                                    <w:rFonts w:ascii="標楷體" w:eastAsia="標楷體" w:hAnsi="標楷體" w:hint="eastAsia"/>
                                    <w:sz w:val="18"/>
                                  </w:rPr>
                                  <w:t>2.資料來源：整理自中央政府各機關提供資料。</w:t>
                                </w:r>
                              </w:p>
                            </w:txbxContent>
                          </wps:txbx>
                          <wps:bodyPr rot="0" vert="horz" wrap="square" lIns="91440" tIns="45720" rIns="91440" bIns="45720" anchor="t" anchorCtr="0">
                            <a:noAutofit/>
                          </wps:bodyPr>
                        </wps:wsp>
                      </wpg:grpSp>
                      <wpg:graphicFrame>
                        <wpg:cNvPr id="450" name="圖表 450"/>
                        <wpg:cNvFrPr/>
                        <wpg:xfrm>
                          <a:off x="0" y="182880"/>
                          <a:ext cx="5237480" cy="2835910"/>
                        </wpg:xfrm>
                        <a:graphic>
                          <a:graphicData uri="http://schemas.openxmlformats.org/drawingml/2006/chart">
                            <c:chart xmlns:c="http://schemas.openxmlformats.org/drawingml/2006/chart" xmlns:r="http://schemas.openxmlformats.org/officeDocument/2006/relationships" r:id="rId17"/>
                          </a:graphicData>
                        </a:graphic>
                      </wpg:graphicFrame>
                    </wpg:wgp>
                  </a:graphicData>
                </a:graphic>
                <wp14:sizeRelH relativeFrom="margin">
                  <wp14:pctWidth>0</wp14:pctWidth>
                </wp14:sizeRelH>
                <wp14:sizeRelV relativeFrom="margin">
                  <wp14:pctHeight>0</wp14:pctHeight>
                </wp14:sizeRelV>
              </wp:anchor>
            </w:drawing>
          </mc:Choice>
          <mc:Fallback>
            <w:pict>
              <v:group w14:anchorId="3BB302E8" id="群組 62" o:spid="_x0000_s1039" style="position:absolute;left:0;text-align:left;margin-left:11.9pt;margin-top:446.85pt;width:497.7pt;height:252.35pt;z-index:251648512;mso-position-horizontal-relative:margin;mso-width-relative:margin;mso-height-relative:margin" coordorigin=",228" coordsize="52374,32448" o:gfxdata="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">
                <v:group id="群組 63" o:spid="_x0000_s1040" style="position:absolute;left:2789;top:228;width:46944;height:32449" coordorigin="6840,-2481" coordsize="27681,27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_x0000_s1041" type="#_x0000_t202" style="position:absolute;left:7210;top:-2481;width:27311;height:3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" filled="f" stroked="f">
                    <v:textbox>
                      <w:txbxContent>
                        <w:p w14:paraId="17725A14" w14:textId="3048D358" w:rsidR="00CE57F9" w:rsidRPr="00B31673" w:rsidRDefault="00CE57F9" w:rsidP="00D35B0C">
                          <w:pPr>
                            <w:jc w:val="center"/>
                            <w:rPr>
                              <w:rFonts w:ascii="標楷體" w:eastAsia="標楷體" w:hAnsi="標楷體"/>
                              <w:b/>
                              <w:spacing w:val="4"/>
                            </w:rPr>
                          </w:pPr>
                          <w:r w:rsidRPr="00B31673">
                            <w:rPr>
                              <w:rFonts w:ascii="標楷體" w:eastAsia="標楷體" w:hAnsi="標楷體" w:hint="eastAsia"/>
                              <w:b/>
                              <w:spacing w:val="4"/>
                            </w:rPr>
                            <w:t>圖</w:t>
                          </w:r>
                          <w:r>
                            <w:rPr>
                              <w:rFonts w:ascii="標楷體" w:eastAsia="標楷體" w:hAnsi="標楷體"/>
                              <w:b/>
                              <w:spacing w:val="4"/>
                            </w:rPr>
                            <w:t>6</w:t>
                          </w:r>
                          <w:r w:rsidRPr="00B31673">
                            <w:rPr>
                              <w:rFonts w:ascii="標楷體" w:eastAsia="標楷體" w:hAnsi="標楷體" w:hint="eastAsia"/>
                              <w:b/>
                              <w:spacing w:val="4"/>
                            </w:rPr>
                            <w:t xml:space="preserve">　中央政府各機關提供民眾下載使用App資安檢測情形</w:t>
                          </w:r>
                        </w:p>
                      </w:txbxContent>
                    </v:textbox>
                  </v:shape>
                  <v:shape id="文字方塊 4" o:spid="_x0000_s1042" type="#_x0000_t202" style="position:absolute;left:6840;top:21411;width:24291;height:3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" filled="f" stroked="f">
                    <v:textbox>
                      <w:txbxContent>
                        <w:p w14:paraId="18F66498" w14:textId="74E099A7" w:rsidR="00CE57F9" w:rsidRPr="00F7079D" w:rsidRDefault="00CE57F9" w:rsidP="00D35B0C">
                          <w:pPr>
                            <w:adjustRightInd w:val="0"/>
                            <w:snapToGrid w:val="0"/>
                            <w:rPr>
                              <w:rFonts w:ascii="標楷體" w:eastAsia="標楷體" w:hAnsi="標楷體"/>
                              <w:sz w:val="18"/>
                            </w:rPr>
                          </w:pPr>
                          <w:r w:rsidRPr="00F7079D">
                            <w:rPr>
                              <w:rFonts w:ascii="標楷體" w:eastAsia="標楷體" w:hAnsi="標楷體" w:hint="eastAsia"/>
                              <w:sz w:val="18"/>
                            </w:rPr>
                            <w:t>註：1.</w:t>
                          </w:r>
                          <w:r w:rsidRPr="00CE57F9">
                            <w:rPr>
                              <w:rFonts w:ascii="標楷體" w:eastAsia="標楷體" w:hAnsi="標楷體" w:hint="eastAsia"/>
                              <w:sz w:val="18"/>
                            </w:rPr>
                            <w:t>資料截止日期：111年7月3</w:t>
                          </w:r>
                          <w:r w:rsidRPr="00CE57F9">
                            <w:rPr>
                              <w:rFonts w:ascii="標楷體" w:eastAsia="標楷體" w:hAnsi="標楷體"/>
                              <w:sz w:val="18"/>
                            </w:rPr>
                            <w:t>1</w:t>
                          </w:r>
                          <w:r w:rsidRPr="00CE57F9">
                            <w:rPr>
                              <w:rFonts w:ascii="標楷體" w:eastAsia="標楷體" w:hAnsi="標楷體" w:hint="eastAsia"/>
                              <w:sz w:val="18"/>
                            </w:rPr>
                            <w:t>日。</w:t>
                          </w:r>
                        </w:p>
                        <w:p w14:paraId="3F7DDEF4" w14:textId="77777777" w:rsidR="00CE57F9" w:rsidRPr="001D7246" w:rsidRDefault="00CE57F9" w:rsidP="00EE4917">
                          <w:pPr>
                            <w:adjustRightInd w:val="0"/>
                            <w:snapToGrid w:val="0"/>
                            <w:ind w:firstLineChars="200" w:firstLine="360"/>
                            <w:rPr>
                              <w:rFonts w:ascii="標楷體" w:eastAsia="標楷體" w:hAnsi="標楷體"/>
                              <w:sz w:val="18"/>
                            </w:rPr>
                          </w:pPr>
                          <w:r w:rsidRPr="00F7079D">
                            <w:rPr>
                              <w:rFonts w:ascii="標楷體" w:eastAsia="標楷體" w:hAnsi="標楷體" w:hint="eastAsia"/>
                              <w:sz w:val="18"/>
                            </w:rPr>
                            <w:t>2.資料來源：整理自中央政府各機關提供資料。</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450" o:spid="_x0000_s1043" type="#_x0000_t75" style="position:absolute;left:3283;top:4734;width:46319;height:247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">
                  <v:imagedata r:id="rId18" o:title=""/>
                  <o:lock v:ext="edit" aspectratio="f"/>
                </v:shape>
                <w10:wrap type="square" anchorx="margin"/>
              </v:group>
              <o:OLEObject Type="Embed" ProgID="Excel.Chart.8" ShapeID="圖表 450" DrawAspect="Content" ObjectID="_1750686038" r:id="rId19">
                <o:FieldCodes>\s</o:FieldCodes>
              </o:OLEObject>
            </w:pict>
          </mc:Fallback>
        </mc:AlternateContent>
      </w:r>
      <w:r w:rsidRPr="00CE6A7D">
        <w:rPr>
          <w:rFonts w:ascii="標楷體" w:eastAsia="標楷體" w:hAnsi="標楷體" w:hint="eastAsia"/>
          <w:kern w:val="0"/>
          <w:szCs w:val="24"/>
        </w:rPr>
        <w:t>無障礙設計之參據，惟實務上各機關因App功能複雜度、性質、服務對象及經費等因素，開發</w:t>
      </w:r>
      <w:r w:rsidRPr="009D11AD">
        <w:rPr>
          <w:rFonts w:ascii="標楷體" w:eastAsia="標楷體" w:hAnsi="標楷體" w:hint="eastAsia"/>
          <w:kern w:val="0"/>
          <w:szCs w:val="24"/>
        </w:rPr>
        <w:t>時多未將無障礙設計納入考量，且均未通過無障礙檢測等情事，經</w:t>
      </w:r>
      <w:r w:rsidR="00A9032F" w:rsidRPr="009D11AD">
        <w:rPr>
          <w:rFonts w:ascii="標楷體" w:eastAsia="標楷體" w:hAnsi="標楷體" w:hint="eastAsia"/>
          <w:kern w:val="0"/>
          <w:szCs w:val="24"/>
        </w:rPr>
        <w:t>分別函請行政院及</w:t>
      </w:r>
      <w:r w:rsidR="002932A6" w:rsidRPr="009D11AD">
        <w:rPr>
          <w:rFonts w:ascii="標楷體" w:eastAsia="標楷體" w:hAnsi="標楷體" w:hint="eastAsia"/>
          <w:kern w:val="0"/>
          <w:szCs w:val="24"/>
        </w:rPr>
        <w:t>數位發展部</w:t>
      </w:r>
      <w:r w:rsidR="00A9032F" w:rsidRPr="009D11AD">
        <w:rPr>
          <w:rFonts w:ascii="標楷體" w:eastAsia="標楷體" w:hAnsi="標楷體" w:hint="eastAsia"/>
          <w:kern w:val="0"/>
          <w:szCs w:val="24"/>
        </w:rPr>
        <w:t>督促辦理及</w:t>
      </w:r>
      <w:r w:rsidRPr="009D11AD">
        <w:rPr>
          <w:rFonts w:ascii="標楷體" w:eastAsia="標楷體" w:hAnsi="標楷體" w:hint="eastAsia"/>
          <w:kern w:val="0"/>
          <w:szCs w:val="24"/>
        </w:rPr>
        <w:t>檢討妥處。據復：1.</w:t>
      </w:r>
      <w:r w:rsidR="002932A6" w:rsidRPr="009D11AD">
        <w:rPr>
          <w:rFonts w:ascii="標楷體" w:eastAsia="標楷體" w:hAnsi="標楷體" w:hint="eastAsia"/>
          <w:kern w:val="0"/>
          <w:szCs w:val="24"/>
        </w:rPr>
        <w:t>數位發展部</w:t>
      </w:r>
      <w:r w:rsidRPr="009D11AD">
        <w:rPr>
          <w:rFonts w:ascii="標楷體" w:eastAsia="標楷體" w:hAnsi="標楷體" w:hint="eastAsia"/>
          <w:kern w:val="0"/>
          <w:szCs w:val="24"/>
        </w:rPr>
        <w:t>將通函各機關，有關提供民眾下載之App應通過TAF</w:t>
      </w:r>
      <w:r w:rsidRPr="009D11AD">
        <w:rPr>
          <w:rFonts w:ascii="標楷體" w:eastAsia="標楷體" w:hAnsi="標楷體" w:hint="eastAsia"/>
          <w:kern w:val="0"/>
          <w:szCs w:val="24"/>
        </w:rPr>
        <w:lastRenderedPageBreak/>
        <w:t>認可實驗室之資安檢測；2.</w:t>
      </w:r>
      <w:r w:rsidR="002932A6" w:rsidRPr="009D11AD">
        <w:rPr>
          <w:rFonts w:ascii="標楷體" w:eastAsia="標楷體" w:hAnsi="標楷體" w:hint="eastAsia"/>
          <w:kern w:val="0"/>
          <w:szCs w:val="24"/>
        </w:rPr>
        <w:t>數位發展部</w:t>
      </w:r>
      <w:r w:rsidRPr="009D11AD">
        <w:rPr>
          <w:rFonts w:ascii="標楷體" w:eastAsia="標楷體" w:hAnsi="標楷體" w:hint="eastAsia"/>
          <w:kern w:val="0"/>
          <w:szCs w:val="24"/>
        </w:rPr>
        <w:t>將函請各機關，對於提供機關內部使用之App應遵循機關內部所訂定之資安管理規定及資訊安全管理制度等機制，辦理資安檢測；3.</w:t>
      </w:r>
      <w:r w:rsidR="002932A6" w:rsidRPr="009D11AD">
        <w:rPr>
          <w:rFonts w:ascii="標楷體" w:eastAsia="標楷體" w:hAnsi="標楷體" w:hint="eastAsia"/>
          <w:kern w:val="0"/>
          <w:szCs w:val="24"/>
        </w:rPr>
        <w:t>數位發展部</w:t>
      </w:r>
      <w:r w:rsidRPr="009D11AD">
        <w:rPr>
          <w:rFonts w:ascii="標楷體" w:eastAsia="標楷體" w:hAnsi="標楷體" w:hint="eastAsia"/>
          <w:kern w:val="0"/>
          <w:szCs w:val="24"/>
        </w:rPr>
        <w:t>將函請各機關確實辦理及更新「我的E政府」管理平臺上App資安檢測等相關資訊；4.</w:t>
      </w:r>
      <w:r w:rsidR="002932A6" w:rsidRPr="009D11AD">
        <w:rPr>
          <w:rFonts w:ascii="標楷體" w:eastAsia="標楷體" w:hAnsi="標楷體" w:hint="eastAsia"/>
          <w:kern w:val="0"/>
          <w:szCs w:val="24"/>
        </w:rPr>
        <w:t>數位發展部</w:t>
      </w:r>
      <w:r w:rsidRPr="009D11AD">
        <w:rPr>
          <w:rFonts w:ascii="標楷體" w:eastAsia="標楷體" w:hAnsi="標楷體" w:hint="eastAsia"/>
          <w:kern w:val="0"/>
          <w:szCs w:val="24"/>
        </w:rPr>
        <w:t>已規劃採分年、分階段方式推動政府機關App納入無障礙符合性檢測，俾滿足身心障礙民眾使用需求，擴大營造政府網路無障礙空間。</w:t>
      </w:r>
    </w:p>
    <w:p w14:paraId="11B9D313" w14:textId="73781A01" w:rsidR="00B93CEF" w:rsidRPr="009D11AD" w:rsidRDefault="00B93CEF" w:rsidP="00DA2751">
      <w:pPr>
        <w:pStyle w:val="2"/>
        <w:overflowPunct w:val="0"/>
        <w:spacing w:beforeLines="20" w:before="72" w:afterLines="20" w:after="72" w:line="44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（十二）　政府推動AI行動計畫已獲得相當成果，各產業對AI技術之應用益趨普及，惟伴隨AI應用所帶來之負面效</w:t>
      </w:r>
      <w:r w:rsidR="00673095">
        <w:rPr>
          <w:rFonts w:hAnsi="標楷體" w:hint="eastAsia"/>
          <w:b/>
          <w:color w:val="000000" w:themeColor="text1"/>
          <w:sz w:val="28"/>
          <w:szCs w:val="28"/>
        </w:rPr>
        <w:t>應</w:t>
      </w:r>
      <w:r w:rsidRPr="009D11AD">
        <w:rPr>
          <w:rFonts w:hAnsi="標楷體" w:hint="eastAsia"/>
          <w:b/>
          <w:color w:val="000000" w:themeColor="text1"/>
          <w:sz w:val="28"/>
          <w:szCs w:val="28"/>
        </w:rPr>
        <w:t>與風險已逐漸浮現，允宜參酌發展現況、社會各界之建議及各主要國家</w:t>
      </w:r>
      <w:r w:rsidR="00673095">
        <w:rPr>
          <w:rFonts w:hAnsi="標楷體" w:hint="eastAsia"/>
          <w:b/>
          <w:color w:val="000000" w:themeColor="text1"/>
          <w:sz w:val="28"/>
          <w:szCs w:val="28"/>
        </w:rPr>
        <w:t>實務</w:t>
      </w:r>
      <w:r w:rsidRPr="009D11AD">
        <w:rPr>
          <w:rFonts w:hAnsi="標楷體" w:hint="eastAsia"/>
          <w:b/>
          <w:color w:val="000000" w:themeColor="text1"/>
          <w:sz w:val="28"/>
          <w:szCs w:val="28"/>
        </w:rPr>
        <w:t>作法，</w:t>
      </w:r>
      <w:r w:rsidR="00673095">
        <w:rPr>
          <w:rFonts w:hAnsi="標楷體" w:hint="eastAsia"/>
          <w:b/>
          <w:color w:val="000000" w:themeColor="text1"/>
          <w:sz w:val="28"/>
          <w:szCs w:val="28"/>
        </w:rPr>
        <w:t>儘速</w:t>
      </w:r>
      <w:r w:rsidRPr="009D11AD">
        <w:rPr>
          <w:rFonts w:hAnsi="標楷體" w:hint="eastAsia"/>
          <w:b/>
          <w:color w:val="000000" w:themeColor="text1"/>
          <w:sz w:val="28"/>
          <w:szCs w:val="28"/>
        </w:rPr>
        <w:t>完成人工智慧基本法</w:t>
      </w:r>
      <w:r w:rsidR="00673095">
        <w:rPr>
          <w:rFonts w:hAnsi="標楷體" w:hint="eastAsia"/>
          <w:b/>
          <w:color w:val="000000" w:themeColor="text1"/>
          <w:sz w:val="28"/>
          <w:szCs w:val="28"/>
        </w:rPr>
        <w:t>之立法</w:t>
      </w:r>
      <w:r w:rsidRPr="009D11AD">
        <w:rPr>
          <w:rFonts w:hAnsi="標楷體" w:hint="eastAsia"/>
          <w:b/>
          <w:color w:val="000000" w:themeColor="text1"/>
          <w:sz w:val="28"/>
          <w:szCs w:val="28"/>
        </w:rPr>
        <w:t>及相關配套措施之研訂，以完備人工智慧法制基礎環境</w:t>
      </w:r>
      <w:r w:rsidRPr="00DA2751">
        <w:rPr>
          <w:rFonts w:hAnsi="標楷體" w:hint="eastAsia"/>
          <w:b/>
          <w:color w:val="000000" w:themeColor="text1"/>
          <w:sz w:val="28"/>
          <w:szCs w:val="28"/>
        </w:rPr>
        <w:t>。</w:t>
      </w:r>
    </w:p>
    <w:p w14:paraId="20E33F5E" w14:textId="0138C620" w:rsidR="00B93CEF" w:rsidRPr="00DA2751" w:rsidRDefault="001B4A7A" w:rsidP="00F626A9">
      <w:pPr>
        <w:overflowPunct w:val="0"/>
        <w:adjustRightInd w:val="0"/>
        <w:snapToGrid w:val="0"/>
        <w:spacing w:line="404" w:lineRule="exact"/>
        <w:ind w:firstLineChars="200" w:firstLine="480"/>
        <w:jc w:val="both"/>
        <w:textAlignment w:val="baseline"/>
        <w:rPr>
          <w:rFonts w:ascii="標楷體" w:eastAsia="標楷體" w:hAnsi="標楷體"/>
          <w:kern w:val="0"/>
          <w:szCs w:val="24"/>
        </w:rPr>
      </w:pPr>
      <w:r w:rsidRPr="00DA2751">
        <w:rPr>
          <w:rFonts w:ascii="標楷體" w:eastAsia="標楷體" w:hAnsi="標楷體" w:hint="eastAsia"/>
          <w:kern w:val="0"/>
          <w:szCs w:val="24"/>
        </w:rPr>
        <w:t>依據國家科學及技術委員會</w:t>
      </w:r>
      <w:r w:rsidR="00B93CEF" w:rsidRPr="00DA2751">
        <w:rPr>
          <w:rFonts w:ascii="標楷體" w:eastAsia="標楷體" w:hAnsi="標楷體" w:hint="eastAsia"/>
          <w:kern w:val="0"/>
          <w:szCs w:val="24"/>
        </w:rPr>
        <w:t>「</w:t>
      </w:r>
      <w:r w:rsidR="00B93CEF" w:rsidRPr="00DA2751">
        <w:rPr>
          <w:rFonts w:ascii="標楷體" w:eastAsia="標楷體" w:hAnsi="標楷體"/>
          <w:kern w:val="0"/>
          <w:szCs w:val="24"/>
        </w:rPr>
        <w:t>2022年臺灣AI國力調查」所載，近年來人工智慧（Artificial Intelligence, AI）技術持續突破，各項產品及各行業導入應用AI技術情形日漸普及。政府為掌握AI發展契機，並落實蔡總統「數位國家、智慧島嶼」國家戰略，自107年啟動「臺灣AI行動計畫」，公私協力共同推動臺灣AI發展大步前進。又根據蜂行資本</w:t>
      </w:r>
      <w:r w:rsidR="00EF3EEA" w:rsidRPr="00DA2751">
        <w:rPr>
          <w:rFonts w:ascii="標楷體" w:eastAsia="標楷體" w:hAnsi="標楷體" w:hint="eastAsia"/>
          <w:kern w:val="0"/>
          <w:szCs w:val="24"/>
        </w:rPr>
        <w:t>有限公司</w:t>
      </w:r>
      <w:r w:rsidR="00B93CEF" w:rsidRPr="00DA2751">
        <w:rPr>
          <w:rFonts w:ascii="標楷體" w:eastAsia="標楷體" w:hAnsi="標楷體"/>
          <w:kern w:val="0"/>
          <w:szCs w:val="24"/>
        </w:rPr>
        <w:t>2022年3月發布之「台灣企業AI趨勢報告」指出，2022年臺灣企業AI成熟度較2021年大幅提升，將近一半受訪企業已有AI項目被驗證、部署及展現價值、或是正擴大導入AI，成熟度較高之產業為遊戲及行銷、成熟度居中則有銀行金融服務、網路與媒體、醫療保健、電信、製造等產業。隨著人工智慧之應用擴大，其所引發之隱私侵害、偏見歧視、不公平競爭、安全性疑慮、工作變遷等負面效應及風險已然出現，並受到各主要國家之重視。舉如歐盟</w:t>
      </w:r>
      <w:r w:rsidR="00EF3EEA" w:rsidRPr="00DA2751">
        <w:rPr>
          <w:rFonts w:ascii="標楷體" w:eastAsia="標楷體" w:hAnsi="標楷體" w:hint="eastAsia"/>
          <w:kern w:val="0"/>
          <w:szCs w:val="24"/>
        </w:rPr>
        <w:t>執委會</w:t>
      </w:r>
      <w:r w:rsidR="00B93CEF" w:rsidRPr="00DA2751">
        <w:rPr>
          <w:rFonts w:ascii="標楷體" w:eastAsia="標楷體" w:hAnsi="標楷體" w:hint="eastAsia"/>
          <w:kern w:val="0"/>
          <w:szCs w:val="24"/>
        </w:rPr>
        <w:t>於</w:t>
      </w:r>
      <w:r w:rsidR="00B93CEF" w:rsidRPr="00DA2751">
        <w:rPr>
          <w:rFonts w:ascii="標楷體" w:eastAsia="標楷體" w:hAnsi="標楷體"/>
          <w:kern w:val="0"/>
          <w:szCs w:val="24"/>
        </w:rPr>
        <w:t>2021年提出「人工智慧</w:t>
      </w:r>
      <w:r w:rsidR="00EF3EEA" w:rsidRPr="00DA2751">
        <w:rPr>
          <w:rFonts w:ascii="標楷體" w:eastAsia="標楷體" w:hAnsi="標楷體" w:hint="eastAsia"/>
          <w:kern w:val="0"/>
          <w:szCs w:val="24"/>
        </w:rPr>
        <w:t>法</w:t>
      </w:r>
      <w:r w:rsidR="00B93CEF" w:rsidRPr="00DA2751">
        <w:rPr>
          <w:rFonts w:ascii="標楷體" w:eastAsia="標楷體" w:hAnsi="標楷體" w:hint="eastAsia"/>
          <w:kern w:val="0"/>
          <w:szCs w:val="24"/>
        </w:rPr>
        <w:t>（草案）」（</w:t>
      </w:r>
      <w:r w:rsidR="00B93CEF" w:rsidRPr="00DA2751">
        <w:rPr>
          <w:rFonts w:ascii="標楷體" w:eastAsia="標楷體" w:hAnsi="標楷體"/>
          <w:kern w:val="0"/>
          <w:szCs w:val="24"/>
        </w:rPr>
        <w:t>AI Act），將人工智慧應用系統分為</w:t>
      </w:r>
      <w:r w:rsidR="00EF3EEA" w:rsidRPr="00DA2751">
        <w:rPr>
          <w:rFonts w:ascii="標楷體" w:eastAsia="標楷體" w:hAnsi="標楷體"/>
          <w:kern w:val="0"/>
          <w:szCs w:val="24"/>
        </w:rPr>
        <w:t>4</w:t>
      </w:r>
      <w:r w:rsidR="00B93CEF" w:rsidRPr="00DA2751">
        <w:rPr>
          <w:rFonts w:ascii="標楷體" w:eastAsia="標楷體" w:hAnsi="標楷體" w:hint="eastAsia"/>
          <w:kern w:val="0"/>
          <w:szCs w:val="24"/>
        </w:rPr>
        <w:t>個級別之風險，並根據風險級別高低設定其受到之規範程度，旨在確保高風險人工智慧系統之安全性及可信賴性、保障個人與企業安全及基本權利，同時加強人工智慧之應用、投資與創新，並於</w:t>
      </w:r>
      <w:r w:rsidR="00B93CEF" w:rsidRPr="00DA2751">
        <w:rPr>
          <w:rFonts w:ascii="標楷體" w:eastAsia="標楷體" w:hAnsi="標楷體"/>
          <w:kern w:val="0"/>
          <w:szCs w:val="24"/>
        </w:rPr>
        <w:t>2022年通過「人工智慧責任指令」</w:t>
      </w:r>
      <w:r w:rsidR="00976AEA" w:rsidRPr="00DA2751">
        <w:rPr>
          <w:rFonts w:ascii="標楷體" w:eastAsia="標楷體" w:hAnsi="標楷體" w:hint="eastAsia"/>
          <w:kern w:val="0"/>
          <w:szCs w:val="24"/>
        </w:rPr>
        <w:t>（</w:t>
      </w:r>
      <w:r w:rsidR="00EF3EEA" w:rsidRPr="00DA2751">
        <w:rPr>
          <w:rFonts w:ascii="標楷體" w:eastAsia="標楷體" w:hAnsi="標楷體"/>
          <w:kern w:val="0"/>
          <w:szCs w:val="24"/>
        </w:rPr>
        <w:t>AI Liability Directive）</w:t>
      </w:r>
      <w:r w:rsidR="00B93CEF" w:rsidRPr="00DA2751">
        <w:rPr>
          <w:rFonts w:ascii="標楷體" w:eastAsia="標楷體" w:hAnsi="標楷體" w:hint="eastAsia"/>
          <w:kern w:val="0"/>
          <w:szCs w:val="24"/>
        </w:rPr>
        <w:t>，對過失責任制度進行改革，適用任何自然人、法人因人工智慧產品或開發者、供應商過失而造成任何受國家法律涵蓋之損害時，可提出索賠。另美國政府於</w:t>
      </w:r>
      <w:r w:rsidR="00B93CEF" w:rsidRPr="00DA2751">
        <w:rPr>
          <w:rFonts w:ascii="標楷體" w:eastAsia="標楷體" w:hAnsi="標楷體"/>
          <w:kern w:val="0"/>
          <w:szCs w:val="24"/>
        </w:rPr>
        <w:t>2023年5月4日發布新聞稿，將進一步推動負責任人工智慧之創新，並保護人民權利與安全，包含投資負責任美國人</w:t>
      </w:r>
      <w:r w:rsidR="00E76009" w:rsidRPr="00DA2751">
        <w:rPr>
          <w:rFonts w:ascii="標楷體" w:eastAsia="標楷體" w:hAnsi="標楷體" w:hint="eastAsia"/>
          <w:kern w:val="0"/>
          <w:szCs w:val="24"/>
        </w:rPr>
        <w:t>工</w:t>
      </w:r>
      <w:r w:rsidR="00B93CEF" w:rsidRPr="00DA2751">
        <w:rPr>
          <w:rFonts w:ascii="標楷體" w:eastAsia="標楷體" w:hAnsi="標楷體" w:hint="eastAsia"/>
          <w:kern w:val="0"/>
          <w:szCs w:val="24"/>
        </w:rPr>
        <w:t>智慧之研發、對現有生成式人工智慧系統進行公開評估、確保美國政府減輕人工智慧風險與利用人工智慧機會方面能以身作則之政策。</w:t>
      </w:r>
      <w:r w:rsidRPr="00DA2751">
        <w:rPr>
          <w:rFonts w:ascii="標楷體" w:eastAsia="標楷體" w:hAnsi="標楷體" w:hint="eastAsia"/>
          <w:kern w:val="0"/>
          <w:szCs w:val="24"/>
        </w:rPr>
        <w:t>國家科學及技術委員會</w:t>
      </w:r>
      <w:r w:rsidR="006A200D">
        <w:rPr>
          <w:rFonts w:ascii="標楷體" w:eastAsia="標楷體" w:hAnsi="標楷體" w:hint="eastAsia"/>
          <w:kern w:val="0"/>
          <w:szCs w:val="24"/>
        </w:rPr>
        <w:t>因應</w:t>
      </w:r>
      <w:r w:rsidR="00B93CEF" w:rsidRPr="00DA2751">
        <w:rPr>
          <w:rFonts w:ascii="標楷體" w:eastAsia="標楷體" w:hAnsi="標楷體"/>
          <w:kern w:val="0"/>
          <w:szCs w:val="24"/>
        </w:rPr>
        <w:t>AI科技研發可能帶來的創新、優勢與衝擊，已發布「人工智慧科研發展指引」，惟上開指引僅供</w:t>
      </w:r>
      <w:r w:rsidRPr="00DA2751">
        <w:rPr>
          <w:rFonts w:ascii="標楷體" w:eastAsia="標楷體" w:hAnsi="標楷體" w:hint="eastAsia"/>
          <w:kern w:val="0"/>
          <w:szCs w:val="24"/>
        </w:rPr>
        <w:t>國家科學及技術委員會</w:t>
      </w:r>
      <w:r w:rsidR="00B93CEF" w:rsidRPr="00DA2751">
        <w:rPr>
          <w:rFonts w:ascii="標楷體" w:eastAsia="標楷體" w:hAnsi="標楷體" w:hint="eastAsia"/>
          <w:kern w:val="0"/>
          <w:szCs w:val="24"/>
        </w:rPr>
        <w:t>補助之科研案件參考，適用範圍未能涵蓋全國各機關及</w:t>
      </w:r>
      <w:r w:rsidR="00B93CEF" w:rsidRPr="00DA2751">
        <w:rPr>
          <w:rFonts w:ascii="標楷體" w:eastAsia="標楷體" w:hAnsi="標楷體"/>
          <w:kern w:val="0"/>
          <w:szCs w:val="24"/>
        </w:rPr>
        <w:t>AI技術</w:t>
      </w:r>
      <w:r w:rsidR="00B93CEF" w:rsidRPr="00C65377">
        <w:rPr>
          <w:rFonts w:ascii="標楷體" w:eastAsia="標楷體" w:hAnsi="標楷體"/>
          <w:kern w:val="0"/>
          <w:szCs w:val="24"/>
        </w:rPr>
        <w:t>產品之上市查驗、使用、監控及修正等生命週期階段。而政府相關部會為因應人工智慧快速發</w:t>
      </w:r>
      <w:r w:rsidR="00B93CEF" w:rsidRPr="00DA2751">
        <w:rPr>
          <w:rFonts w:ascii="標楷體" w:eastAsia="標楷體" w:hAnsi="標楷體" w:hint="eastAsia"/>
          <w:kern w:val="0"/>
          <w:szCs w:val="24"/>
        </w:rPr>
        <w:t>展及社會各界之期待，雖已開始分工研議人工智慧法制規範，但尚無具體之完成期程。鑑於</w:t>
      </w:r>
      <w:r w:rsidR="00B93CEF" w:rsidRPr="00DA2751">
        <w:rPr>
          <w:rFonts w:ascii="標楷體" w:eastAsia="標楷體" w:hAnsi="標楷體"/>
          <w:kern w:val="0"/>
          <w:szCs w:val="24"/>
        </w:rPr>
        <w:t>AI技術為社會帶來經濟效益之同時，亦伴隨著相關風險與負面效應，惟現階段政府相關</w:t>
      </w:r>
      <w:r w:rsidR="006A200D">
        <w:rPr>
          <w:rFonts w:ascii="標楷體" w:eastAsia="標楷體" w:hAnsi="標楷體" w:hint="eastAsia"/>
          <w:kern w:val="0"/>
          <w:szCs w:val="24"/>
        </w:rPr>
        <w:t>機關</w:t>
      </w:r>
      <w:r w:rsidR="00B93CEF" w:rsidRPr="00DA2751">
        <w:rPr>
          <w:rFonts w:ascii="標楷體" w:eastAsia="標楷體" w:hAnsi="標楷體"/>
          <w:kern w:val="0"/>
          <w:szCs w:val="24"/>
        </w:rPr>
        <w:t>對人工智慧</w:t>
      </w:r>
      <w:r w:rsidR="006A200D">
        <w:rPr>
          <w:rFonts w:ascii="標楷體" w:eastAsia="標楷體" w:hAnsi="標楷體" w:hint="eastAsia"/>
          <w:kern w:val="0"/>
          <w:szCs w:val="24"/>
        </w:rPr>
        <w:t>應用</w:t>
      </w:r>
      <w:r w:rsidR="00B93CEF" w:rsidRPr="00DA2751">
        <w:rPr>
          <w:rFonts w:ascii="標楷體" w:eastAsia="標楷體" w:hAnsi="標楷體"/>
          <w:kern w:val="0"/>
          <w:szCs w:val="24"/>
        </w:rPr>
        <w:t>之規範，僅</w:t>
      </w:r>
      <w:r w:rsidRPr="00DA2751">
        <w:rPr>
          <w:rFonts w:ascii="標楷體" w:eastAsia="標楷體" w:hAnsi="標楷體" w:hint="eastAsia"/>
          <w:kern w:val="0"/>
          <w:szCs w:val="24"/>
        </w:rPr>
        <w:t>國家科學及技術委員會</w:t>
      </w:r>
      <w:r w:rsidR="00B93CEF" w:rsidRPr="00DA2751">
        <w:rPr>
          <w:rFonts w:ascii="標楷體" w:eastAsia="標楷體" w:hAnsi="標楷體" w:hint="eastAsia"/>
          <w:kern w:val="0"/>
          <w:szCs w:val="24"/>
        </w:rPr>
        <w:t>訂定之「人工智慧科研發展指引」可供參考，其適用對象、涵蓋範圍及落實機制仍有所不足，經函請行政院參酌發展現況、社會各界之建議及</w:t>
      </w:r>
      <w:r w:rsidR="00B93CEF" w:rsidRPr="00DA2751">
        <w:rPr>
          <w:rFonts w:ascii="標楷體" w:eastAsia="標楷體" w:hAnsi="標楷體" w:hint="eastAsia"/>
          <w:kern w:val="0"/>
          <w:szCs w:val="24"/>
        </w:rPr>
        <w:lastRenderedPageBreak/>
        <w:t>各主要國家</w:t>
      </w:r>
      <w:r w:rsidR="006A200D">
        <w:rPr>
          <w:rFonts w:ascii="標楷體" w:eastAsia="標楷體" w:hAnsi="標楷體" w:hint="eastAsia"/>
          <w:kern w:val="0"/>
          <w:szCs w:val="24"/>
        </w:rPr>
        <w:t>實務</w:t>
      </w:r>
      <w:r w:rsidR="00B93CEF" w:rsidRPr="00DA2751">
        <w:rPr>
          <w:rFonts w:ascii="標楷體" w:eastAsia="標楷體" w:hAnsi="標楷體" w:hint="eastAsia"/>
          <w:kern w:val="0"/>
          <w:szCs w:val="24"/>
        </w:rPr>
        <w:t>作法，</w:t>
      </w:r>
      <w:r w:rsidR="006A200D">
        <w:rPr>
          <w:rFonts w:ascii="標楷體" w:eastAsia="標楷體" w:hAnsi="標楷體" w:hint="eastAsia"/>
          <w:kern w:val="0"/>
          <w:szCs w:val="24"/>
        </w:rPr>
        <w:t>儘速</w:t>
      </w:r>
      <w:r w:rsidR="00B93CEF" w:rsidRPr="00DA2751">
        <w:rPr>
          <w:rFonts w:ascii="標楷體" w:eastAsia="標楷體" w:hAnsi="標楷體" w:hint="eastAsia"/>
          <w:kern w:val="0"/>
          <w:szCs w:val="24"/>
        </w:rPr>
        <w:t>完成人工智慧基本法</w:t>
      </w:r>
      <w:r w:rsidR="006A200D">
        <w:rPr>
          <w:rFonts w:ascii="標楷體" w:eastAsia="標楷體" w:hAnsi="標楷體" w:hint="eastAsia"/>
          <w:kern w:val="0"/>
          <w:szCs w:val="24"/>
        </w:rPr>
        <w:t>之立法</w:t>
      </w:r>
      <w:r w:rsidR="00B93CEF" w:rsidRPr="00DA2751">
        <w:rPr>
          <w:rFonts w:ascii="標楷體" w:eastAsia="標楷體" w:hAnsi="標楷體" w:hint="eastAsia"/>
          <w:kern w:val="0"/>
          <w:szCs w:val="24"/>
        </w:rPr>
        <w:t>及相關配套措施之研訂，以完備人工智慧法制基礎環境。</w:t>
      </w:r>
      <w:r w:rsidR="00B30330" w:rsidRPr="00CE6A7D">
        <w:rPr>
          <w:rFonts w:ascii="標楷體" w:eastAsia="標楷體" w:hAnsi="標楷體" w:hint="eastAsia"/>
          <w:kern w:val="0"/>
          <w:szCs w:val="24"/>
        </w:rPr>
        <w:t>據復：</w:t>
      </w:r>
      <w:r w:rsidR="00CE6A7D" w:rsidRPr="00CE57F9">
        <w:rPr>
          <w:rFonts w:ascii="標楷體" w:eastAsia="標楷體" w:hAnsi="標楷體" w:hint="eastAsia"/>
          <w:kern w:val="0"/>
          <w:szCs w:val="24"/>
        </w:rPr>
        <w:t>已定期召集部會研商人工智慧立法推動事宜，</w:t>
      </w:r>
      <w:r w:rsidR="00873E00" w:rsidRPr="00CE57F9">
        <w:rPr>
          <w:rFonts w:ascii="標楷體" w:eastAsia="標楷體" w:hAnsi="標楷體" w:hint="eastAsia"/>
          <w:kern w:val="0"/>
          <w:szCs w:val="24"/>
        </w:rPr>
        <w:t>依</w:t>
      </w:r>
      <w:r w:rsidR="00CE6A7D" w:rsidRPr="00CE57F9">
        <w:rPr>
          <w:rFonts w:ascii="標楷體" w:eastAsia="標楷體" w:hAnsi="標楷體" w:hint="eastAsia"/>
          <w:kern w:val="0"/>
          <w:szCs w:val="24"/>
        </w:rPr>
        <w:t>「個法先於總法」、「指引先於法律」、「行政先於產業」等推動策略，</w:t>
      </w:r>
      <w:r w:rsidR="00873E00" w:rsidRPr="00CE57F9">
        <w:rPr>
          <w:rFonts w:ascii="標楷體" w:eastAsia="標楷體" w:hAnsi="標楷體" w:hint="eastAsia"/>
          <w:kern w:val="0"/>
          <w:szCs w:val="24"/>
        </w:rPr>
        <w:t>及</w:t>
      </w:r>
      <w:r w:rsidR="00CE6A7D" w:rsidRPr="00CE57F9">
        <w:rPr>
          <w:rFonts w:ascii="標楷體" w:eastAsia="標楷體" w:hAnsi="標楷體" w:hint="eastAsia"/>
          <w:kern w:val="0"/>
          <w:szCs w:val="24"/>
        </w:rPr>
        <w:t>部會需求</w:t>
      </w:r>
      <w:r w:rsidR="00873E00" w:rsidRPr="00CE57F9">
        <w:rPr>
          <w:rFonts w:ascii="標楷體" w:eastAsia="標楷體" w:hAnsi="標楷體" w:hint="eastAsia"/>
          <w:kern w:val="0"/>
          <w:szCs w:val="24"/>
        </w:rPr>
        <w:t>同步進行，以加速推動相關政策與法制，並由各部會通盤檢視、盤點現行</w:t>
      </w:r>
      <w:r w:rsidR="00CE6A7D" w:rsidRPr="00CE57F9">
        <w:rPr>
          <w:rFonts w:ascii="標楷體" w:eastAsia="標楷體" w:hAnsi="標楷體" w:hint="eastAsia"/>
          <w:kern w:val="0"/>
          <w:szCs w:val="24"/>
        </w:rPr>
        <w:t>及未來與人工智慧（AI）有關之議題、政策、規範及研究，先提報至</w:t>
      </w:r>
      <w:r w:rsidR="00E35517" w:rsidRPr="00CE57F9">
        <w:rPr>
          <w:rFonts w:ascii="標楷體" w:eastAsia="標楷體" w:hAnsi="標楷體" w:hint="eastAsia"/>
          <w:kern w:val="0"/>
          <w:szCs w:val="24"/>
        </w:rPr>
        <w:t>該</w:t>
      </w:r>
      <w:r w:rsidR="00CE6A7D" w:rsidRPr="00CE57F9">
        <w:rPr>
          <w:rFonts w:ascii="標楷體" w:eastAsia="標楷體" w:hAnsi="標楷體" w:hint="eastAsia"/>
          <w:kern w:val="0"/>
          <w:szCs w:val="24"/>
        </w:rPr>
        <w:t>院數位政策法制協調平台專案會議「人工智慧法制分組」進行討論，後續將依數位政策法制協調平台之</w:t>
      </w:r>
      <w:r w:rsidR="00873E00" w:rsidRPr="00CE57F9">
        <w:rPr>
          <w:rFonts w:ascii="標楷體" w:eastAsia="標楷體" w:hAnsi="標楷體" w:hint="eastAsia"/>
          <w:kern w:val="0"/>
          <w:szCs w:val="24"/>
        </w:rPr>
        <w:t>分工，由國家科學及技術委員會偕同數位發展部進行跨部會協調，</w:t>
      </w:r>
      <w:r w:rsidR="00CE6A7D" w:rsidRPr="00CE57F9">
        <w:rPr>
          <w:rFonts w:ascii="標楷體" w:eastAsia="標楷體" w:hAnsi="標楷體" w:hint="eastAsia"/>
          <w:kern w:val="0"/>
          <w:szCs w:val="24"/>
        </w:rPr>
        <w:t>共同研議</w:t>
      </w:r>
      <w:r w:rsidR="00873E00" w:rsidRPr="00CE57F9">
        <w:rPr>
          <w:rFonts w:ascii="標楷體" w:eastAsia="標楷體" w:hAnsi="標楷體" w:hint="eastAsia"/>
          <w:kern w:val="0"/>
          <w:szCs w:val="24"/>
        </w:rPr>
        <w:t>人工智慧基本法與作用法之立法推動</w:t>
      </w:r>
      <w:r w:rsidR="00CE6A7D" w:rsidRPr="00CE57F9">
        <w:rPr>
          <w:rFonts w:ascii="標楷體" w:eastAsia="標楷體" w:hAnsi="標楷體" w:hint="eastAsia"/>
          <w:kern w:val="0"/>
          <w:szCs w:val="24"/>
        </w:rPr>
        <w:t>。</w:t>
      </w:r>
    </w:p>
    <w:p w14:paraId="6599FDD5" w14:textId="3D4D4E6B" w:rsidR="00B93CEF" w:rsidRPr="009D11AD" w:rsidRDefault="00B93CEF" w:rsidP="00F663B3">
      <w:pPr>
        <w:pStyle w:val="2"/>
        <w:kinsoku/>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 xml:space="preserve">（十三）　</w:t>
      </w:r>
      <w:r w:rsidRPr="00F663B3">
        <w:rPr>
          <w:rFonts w:hAnsi="標楷體" w:hint="eastAsia"/>
          <w:b/>
          <w:color w:val="000000" w:themeColor="text1"/>
          <w:sz w:val="28"/>
          <w:szCs w:val="28"/>
        </w:rPr>
        <w:t>行政院已指定金融監督管理委員會擔任虛擬資產平臺之主管機關，</w:t>
      </w:r>
      <w:r w:rsidR="0095564A" w:rsidRPr="00F663B3">
        <w:rPr>
          <w:rFonts w:hAnsi="標楷體" w:hint="eastAsia"/>
          <w:b/>
          <w:color w:val="000000" w:themeColor="text1"/>
          <w:sz w:val="28"/>
          <w:szCs w:val="28"/>
        </w:rPr>
        <w:t>鑑於</w:t>
      </w:r>
      <w:r w:rsidRPr="00F663B3">
        <w:rPr>
          <w:rFonts w:hAnsi="標楷體" w:hint="eastAsia"/>
          <w:b/>
          <w:color w:val="000000" w:themeColor="text1"/>
          <w:sz w:val="28"/>
          <w:szCs w:val="28"/>
        </w:rPr>
        <w:t>虛擬資產類型及衍生之犯罪態樣眾多，且涉及跨部會權責，允宜儘速邀集相關部會研議全面性之管理架構。</w:t>
      </w:r>
    </w:p>
    <w:p w14:paraId="5FABCF56" w14:textId="596A0EF5" w:rsidR="00B93CEF" w:rsidRPr="009D11AD" w:rsidRDefault="00E23B08" w:rsidP="00CE6A7D">
      <w:pPr>
        <w:overflowPunct w:val="0"/>
        <w:spacing w:line="404" w:lineRule="exact"/>
        <w:ind w:firstLineChars="218" w:firstLine="523"/>
        <w:jc w:val="both"/>
        <w:rPr>
          <w:rFonts w:ascii="標楷體" w:eastAsia="標楷體" w:hAnsi="標楷體"/>
          <w:sz w:val="32"/>
          <w:szCs w:val="32"/>
        </w:rPr>
      </w:pPr>
      <w:r w:rsidRPr="00DA2751">
        <w:rPr>
          <w:rFonts w:ascii="標楷體" w:eastAsia="標楷體" w:hAnsi="標楷體"/>
          <w:noProof/>
          <w:szCs w:val="24"/>
        </w:rPr>
        <mc:AlternateContent>
          <mc:Choice Requires="wps">
            <w:drawing>
              <wp:anchor distT="0" distB="0" distL="114300" distR="114300" simplePos="0" relativeHeight="251636224" behindDoc="0" locked="0" layoutInCell="1" allowOverlap="1" wp14:anchorId="63ACDF7B" wp14:editId="469D5E10">
                <wp:simplePos x="0" y="0"/>
                <wp:positionH relativeFrom="margin">
                  <wp:posOffset>2648585</wp:posOffset>
                </wp:positionH>
                <wp:positionV relativeFrom="paragraph">
                  <wp:posOffset>2626995</wp:posOffset>
                </wp:positionV>
                <wp:extent cx="3641725" cy="2501265"/>
                <wp:effectExtent l="0" t="0" r="0" b="0"/>
                <wp:wrapSquare wrapText="bothSides"/>
                <wp:docPr id="56" name="文字方塊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41725" cy="2501265"/>
                        </a:xfrm>
                        <a:prstGeom prst="rect">
                          <a:avLst/>
                        </a:prstGeom>
                        <a:noFill/>
                        <a:ln w="6350">
                          <a:noFill/>
                        </a:ln>
                        <a:effectLst/>
                      </wps:spPr>
                      <wps:txbx>
                        <w:txbxContent>
                          <w:tbl>
                            <w:tblPr>
                              <w:tblW w:w="5374" w:type="dxa"/>
                              <w:tblInd w:w="13" w:type="dxa"/>
                              <w:tblCellMar>
                                <w:left w:w="28" w:type="dxa"/>
                                <w:right w:w="28" w:type="dxa"/>
                              </w:tblCellMar>
                              <w:tblLook w:val="04A0" w:firstRow="1" w:lastRow="0" w:firstColumn="1" w:lastColumn="0" w:noHBand="0" w:noVBand="1"/>
                            </w:tblPr>
                            <w:tblGrid>
                              <w:gridCol w:w="1856"/>
                              <w:gridCol w:w="2127"/>
                              <w:gridCol w:w="1559"/>
                            </w:tblGrid>
                            <w:tr w:rsidR="00CE57F9" w:rsidRPr="00D112E9" w14:paraId="519CE8F9" w14:textId="77777777" w:rsidTr="00F72E6D">
                              <w:trPr>
                                <w:trHeight w:val="324"/>
                              </w:trPr>
                              <w:tc>
                                <w:tcPr>
                                  <w:tcW w:w="5374" w:type="dxa"/>
                                  <w:gridSpan w:val="3"/>
                                  <w:tcBorders>
                                    <w:top w:val="nil"/>
                                    <w:left w:val="nil"/>
                                    <w:bottom w:val="nil"/>
                                    <w:right w:val="nil"/>
                                  </w:tcBorders>
                                  <w:shd w:val="clear" w:color="auto" w:fill="auto"/>
                                  <w:noWrap/>
                                  <w:vAlign w:val="center"/>
                                  <w:hideMark/>
                                </w:tcPr>
                                <w:p w14:paraId="4E0C86D1" w14:textId="39401A76" w:rsidR="00CE57F9" w:rsidRPr="00D112E9" w:rsidRDefault="00CE57F9" w:rsidP="00F626A9">
                                  <w:pPr>
                                    <w:spacing w:line="340" w:lineRule="exact"/>
                                    <w:jc w:val="center"/>
                                    <w:rPr>
                                      <w:rFonts w:ascii="標楷體" w:eastAsia="標楷體" w:hAnsi="標楷體"/>
                                      <w:b/>
                                      <w:bCs/>
                                      <w:color w:val="000000"/>
                                    </w:rPr>
                                  </w:pPr>
                                  <w:r w:rsidRPr="00D112E9">
                                    <w:rPr>
                                      <w:rFonts w:ascii="標楷體" w:eastAsia="標楷體" w:hAnsi="標楷體" w:hint="eastAsia"/>
                                      <w:b/>
                                      <w:bCs/>
                                      <w:color w:val="000000"/>
                                    </w:rPr>
                                    <w:t>表</w:t>
                                  </w:r>
                                  <w:r>
                                    <w:rPr>
                                      <w:rFonts w:ascii="標楷體" w:eastAsia="標楷體" w:hAnsi="標楷體" w:hint="eastAsia"/>
                                      <w:b/>
                                      <w:bCs/>
                                      <w:color w:val="000000"/>
                                    </w:rPr>
                                    <w:t>1</w:t>
                                  </w:r>
                                  <w:r>
                                    <w:rPr>
                                      <w:rFonts w:ascii="標楷體" w:eastAsia="標楷體" w:hAnsi="標楷體"/>
                                      <w:b/>
                                      <w:bCs/>
                                      <w:color w:val="000000"/>
                                    </w:rPr>
                                    <w:t>0</w:t>
                                  </w:r>
                                  <w:r w:rsidRPr="001F770C">
                                    <w:rPr>
                                      <w:rFonts w:ascii="標楷體" w:eastAsia="標楷體" w:hAnsi="標楷體" w:hint="eastAsia"/>
                                      <w:b/>
                                    </w:rPr>
                                    <w:t xml:space="preserve">　</w:t>
                                  </w:r>
                                  <w:r>
                                    <w:rPr>
                                      <w:rFonts w:ascii="標楷體" w:eastAsia="標楷體" w:hAnsi="標楷體" w:hint="eastAsia"/>
                                      <w:b/>
                                      <w:bCs/>
                                      <w:color w:val="000000"/>
                                    </w:rPr>
                                    <w:t>虛擬資產類型</w:t>
                                  </w:r>
                                </w:p>
                              </w:tc>
                            </w:tr>
                            <w:tr w:rsidR="00CE57F9" w:rsidRPr="00D112E9" w14:paraId="190ABBB2" w14:textId="77777777" w:rsidTr="00F72E6D">
                              <w:trPr>
                                <w:trHeight w:val="324"/>
                              </w:trPr>
                              <w:tc>
                                <w:tcPr>
                                  <w:tcW w:w="16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A28BA0" w14:textId="77777777" w:rsidR="00CE57F9" w:rsidRPr="00DA2751" w:rsidRDefault="00CE57F9" w:rsidP="00F72E6D">
                                  <w:pPr>
                                    <w:spacing w:line="320" w:lineRule="exact"/>
                                    <w:jc w:val="center"/>
                                    <w:rPr>
                                      <w:rFonts w:ascii="標楷體" w:eastAsia="標楷體" w:hAnsi="標楷體"/>
                                      <w:bCs/>
                                      <w:color w:val="000000"/>
                                      <w:sz w:val="20"/>
                                    </w:rPr>
                                  </w:pPr>
                                  <w:r w:rsidRPr="00DA2751">
                                    <w:rPr>
                                      <w:rFonts w:ascii="標楷體" w:eastAsia="標楷體" w:hAnsi="標楷體" w:hint="eastAsia"/>
                                      <w:bCs/>
                                      <w:color w:val="000000"/>
                                      <w:sz w:val="20"/>
                                    </w:rPr>
                                    <w:t>類型</w:t>
                                  </w:r>
                                </w:p>
                              </w:tc>
                              <w:tc>
                                <w:tcPr>
                                  <w:tcW w:w="2127" w:type="dxa"/>
                                  <w:tcBorders>
                                    <w:top w:val="single" w:sz="4" w:space="0" w:color="auto"/>
                                    <w:left w:val="nil"/>
                                    <w:bottom w:val="single" w:sz="4" w:space="0" w:color="auto"/>
                                    <w:right w:val="single" w:sz="4" w:space="0" w:color="auto"/>
                                  </w:tcBorders>
                                  <w:shd w:val="clear" w:color="auto" w:fill="auto"/>
                                  <w:noWrap/>
                                  <w:vAlign w:val="center"/>
                                  <w:hideMark/>
                                </w:tcPr>
                                <w:p w14:paraId="75D33391" w14:textId="77777777" w:rsidR="00CE57F9" w:rsidRPr="00DA2751" w:rsidRDefault="00CE57F9" w:rsidP="00F72E6D">
                                  <w:pPr>
                                    <w:spacing w:line="320" w:lineRule="exact"/>
                                    <w:jc w:val="center"/>
                                    <w:rPr>
                                      <w:rFonts w:ascii="標楷體" w:eastAsia="標楷體" w:hAnsi="標楷體"/>
                                      <w:bCs/>
                                      <w:color w:val="000000"/>
                                      <w:sz w:val="20"/>
                                    </w:rPr>
                                  </w:pPr>
                                  <w:r w:rsidRPr="00DA2751">
                                    <w:rPr>
                                      <w:rFonts w:ascii="標楷體" w:eastAsia="標楷體" w:hAnsi="標楷體" w:hint="eastAsia"/>
                                      <w:bCs/>
                                      <w:color w:val="000000"/>
                                      <w:sz w:val="20"/>
                                    </w:rPr>
                                    <w:t>定義</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426E3597" w14:textId="77777777" w:rsidR="00CE57F9" w:rsidRPr="00DA2751" w:rsidRDefault="00CE57F9" w:rsidP="00F72E6D">
                                  <w:pPr>
                                    <w:spacing w:line="320" w:lineRule="exact"/>
                                    <w:jc w:val="center"/>
                                    <w:rPr>
                                      <w:rFonts w:ascii="標楷體" w:eastAsia="標楷體" w:hAnsi="標楷體"/>
                                      <w:bCs/>
                                      <w:color w:val="000000"/>
                                      <w:sz w:val="20"/>
                                    </w:rPr>
                                  </w:pPr>
                                  <w:r w:rsidRPr="00DA2751">
                                    <w:rPr>
                                      <w:rFonts w:ascii="標楷體" w:eastAsia="標楷體" w:hAnsi="標楷體" w:hint="eastAsia"/>
                                      <w:bCs/>
                                      <w:color w:val="000000"/>
                                      <w:sz w:val="20"/>
                                    </w:rPr>
                                    <w:t>用途</w:t>
                                  </w:r>
                                </w:p>
                              </w:tc>
                            </w:tr>
                            <w:tr w:rsidR="00CE57F9" w:rsidRPr="00D112E9" w14:paraId="62DC2904" w14:textId="77777777" w:rsidTr="00F72E6D">
                              <w:trPr>
                                <w:trHeight w:val="648"/>
                              </w:trPr>
                              <w:tc>
                                <w:tcPr>
                                  <w:tcW w:w="1688" w:type="dxa"/>
                                  <w:tcBorders>
                                    <w:top w:val="nil"/>
                                    <w:left w:val="single" w:sz="4" w:space="0" w:color="auto"/>
                                    <w:bottom w:val="single" w:sz="4" w:space="0" w:color="auto"/>
                                    <w:right w:val="single" w:sz="4" w:space="0" w:color="auto"/>
                                  </w:tcBorders>
                                  <w:shd w:val="clear" w:color="auto" w:fill="auto"/>
                                  <w:vAlign w:val="center"/>
                                  <w:hideMark/>
                                </w:tcPr>
                                <w:p w14:paraId="4BCF6D56" w14:textId="1EA6A579" w:rsidR="00CE57F9" w:rsidRPr="008B0A30" w:rsidRDefault="00CE57F9" w:rsidP="00DA2751">
                                  <w:pPr>
                                    <w:spacing w:line="240" w:lineRule="exact"/>
                                    <w:rPr>
                                      <w:rFonts w:ascii="標楷體" w:eastAsia="標楷體" w:hAnsi="標楷體"/>
                                      <w:color w:val="000000"/>
                                      <w:sz w:val="20"/>
                                    </w:rPr>
                                  </w:pPr>
                                  <w:r w:rsidRPr="008B0A30">
                                    <w:rPr>
                                      <w:rFonts w:ascii="標楷體" w:eastAsia="標楷體" w:hAnsi="標楷體" w:hint="eastAsia"/>
                                      <w:color w:val="000000"/>
                                      <w:sz w:val="20"/>
                                    </w:rPr>
                                    <w:t xml:space="preserve">加密貨幣 </w:t>
                                  </w:r>
                                  <w:r>
                                    <w:rPr>
                                      <w:rFonts w:ascii="標楷體" w:eastAsia="標楷體" w:hAnsi="標楷體" w:hint="eastAsia"/>
                                      <w:color w:val="000000"/>
                                      <w:sz w:val="20"/>
                                    </w:rPr>
                                    <w:t>（</w:t>
                                  </w:r>
                                  <w:r w:rsidRPr="008B0A30">
                                    <w:rPr>
                                      <w:rFonts w:ascii="標楷體" w:eastAsia="標楷體" w:hAnsi="標楷體" w:hint="eastAsia"/>
                                      <w:color w:val="000000"/>
                                      <w:sz w:val="20"/>
                                    </w:rPr>
                                    <w:t>Cryptocurrency</w:t>
                                  </w:r>
                                  <w:r>
                                    <w:rPr>
                                      <w:rFonts w:ascii="標楷體" w:eastAsia="標楷體" w:hAnsi="標楷體" w:hint="eastAsia"/>
                                      <w:color w:val="000000"/>
                                      <w:sz w:val="20"/>
                                    </w:rPr>
                                    <w:t>）</w:t>
                                  </w:r>
                                </w:p>
                              </w:tc>
                              <w:tc>
                                <w:tcPr>
                                  <w:tcW w:w="2127" w:type="dxa"/>
                                  <w:tcBorders>
                                    <w:top w:val="nil"/>
                                    <w:left w:val="nil"/>
                                    <w:bottom w:val="single" w:sz="4" w:space="0" w:color="auto"/>
                                    <w:right w:val="single" w:sz="4" w:space="0" w:color="auto"/>
                                  </w:tcBorders>
                                  <w:shd w:val="clear" w:color="auto" w:fill="auto"/>
                                  <w:vAlign w:val="center"/>
                                  <w:hideMark/>
                                </w:tcPr>
                                <w:p w14:paraId="6FA255A1" w14:textId="77777777" w:rsidR="00CE57F9" w:rsidRPr="008B0A30" w:rsidRDefault="00CE57F9" w:rsidP="00DA2751">
                                  <w:pPr>
                                    <w:spacing w:line="240" w:lineRule="exact"/>
                                    <w:jc w:val="both"/>
                                    <w:rPr>
                                      <w:rFonts w:ascii="標楷體" w:eastAsia="標楷體" w:hAnsi="標楷體"/>
                                      <w:color w:val="000000"/>
                                      <w:sz w:val="20"/>
                                    </w:rPr>
                                  </w:pPr>
                                  <w:r w:rsidRPr="008B0A30">
                                    <w:rPr>
                                      <w:rFonts w:ascii="標楷體" w:eastAsia="標楷體" w:hAnsi="標楷體" w:hint="eastAsia"/>
                                      <w:color w:val="000000"/>
                                      <w:sz w:val="20"/>
                                    </w:rPr>
                                    <w:t>建立於區塊鏈技術上之貨幣儲存媒介</w:t>
                                  </w:r>
                                </w:p>
                              </w:tc>
                              <w:tc>
                                <w:tcPr>
                                  <w:tcW w:w="1559" w:type="dxa"/>
                                  <w:tcBorders>
                                    <w:top w:val="nil"/>
                                    <w:left w:val="nil"/>
                                    <w:bottom w:val="single" w:sz="4" w:space="0" w:color="auto"/>
                                    <w:right w:val="single" w:sz="4" w:space="0" w:color="auto"/>
                                  </w:tcBorders>
                                  <w:shd w:val="clear" w:color="auto" w:fill="auto"/>
                                  <w:noWrap/>
                                  <w:vAlign w:val="center"/>
                                  <w:hideMark/>
                                </w:tcPr>
                                <w:p w14:paraId="41BBF614" w14:textId="77777777" w:rsidR="00CE57F9" w:rsidRPr="008B0A30" w:rsidRDefault="00CE57F9" w:rsidP="00DA2751">
                                  <w:pPr>
                                    <w:spacing w:line="240" w:lineRule="exact"/>
                                    <w:jc w:val="both"/>
                                    <w:rPr>
                                      <w:rFonts w:ascii="標楷體" w:eastAsia="標楷體" w:hAnsi="標楷體"/>
                                      <w:color w:val="000000"/>
                                      <w:sz w:val="20"/>
                                    </w:rPr>
                                  </w:pPr>
                                  <w:r w:rsidRPr="008B0A30">
                                    <w:rPr>
                                      <w:rFonts w:ascii="標楷體" w:eastAsia="標楷體" w:hAnsi="標楷體" w:hint="eastAsia"/>
                                      <w:color w:val="000000"/>
                                      <w:sz w:val="20"/>
                                    </w:rPr>
                                    <w:t>投資、支付、籌資</w:t>
                                  </w:r>
                                </w:p>
                              </w:tc>
                            </w:tr>
                            <w:tr w:rsidR="00CE57F9" w:rsidRPr="00D112E9" w14:paraId="0B0AFF60" w14:textId="77777777" w:rsidTr="00F72E6D">
                              <w:trPr>
                                <w:trHeight w:val="648"/>
                              </w:trPr>
                              <w:tc>
                                <w:tcPr>
                                  <w:tcW w:w="1688" w:type="dxa"/>
                                  <w:tcBorders>
                                    <w:top w:val="nil"/>
                                    <w:left w:val="single" w:sz="4" w:space="0" w:color="auto"/>
                                    <w:bottom w:val="single" w:sz="4" w:space="0" w:color="auto"/>
                                    <w:right w:val="single" w:sz="4" w:space="0" w:color="auto"/>
                                  </w:tcBorders>
                                  <w:shd w:val="clear" w:color="auto" w:fill="auto"/>
                                  <w:vAlign w:val="center"/>
                                  <w:hideMark/>
                                </w:tcPr>
                                <w:p w14:paraId="331E70CB" w14:textId="416E4A42" w:rsidR="00CE57F9" w:rsidRPr="008B0A30" w:rsidRDefault="00CE57F9" w:rsidP="00DA2751">
                                  <w:pPr>
                                    <w:spacing w:line="240" w:lineRule="exact"/>
                                    <w:rPr>
                                      <w:rFonts w:ascii="標楷體" w:eastAsia="標楷體" w:hAnsi="標楷體"/>
                                      <w:color w:val="000000"/>
                                      <w:sz w:val="20"/>
                                    </w:rPr>
                                  </w:pPr>
                                  <w:r w:rsidRPr="008B0A30">
                                    <w:rPr>
                                      <w:rFonts w:ascii="標楷體" w:eastAsia="標楷體" w:hAnsi="標楷體" w:hint="eastAsia"/>
                                      <w:color w:val="000000"/>
                                      <w:sz w:val="20"/>
                                    </w:rPr>
                                    <w:t>穩定幣</w:t>
                                  </w:r>
                                  <w:r>
                                    <w:rPr>
                                      <w:rFonts w:ascii="標楷體" w:eastAsia="標楷體" w:hAnsi="標楷體" w:hint="eastAsia"/>
                                      <w:color w:val="000000"/>
                                      <w:sz w:val="20"/>
                                    </w:rPr>
                                    <w:t>（</w:t>
                                  </w:r>
                                  <w:r w:rsidRPr="008B0A30">
                                    <w:rPr>
                                      <w:rFonts w:ascii="標楷體" w:eastAsia="標楷體" w:hAnsi="標楷體" w:hint="eastAsia"/>
                                      <w:color w:val="000000"/>
                                      <w:sz w:val="20"/>
                                    </w:rPr>
                                    <w:t>Stablecoins</w:t>
                                  </w:r>
                                  <w:r>
                                    <w:rPr>
                                      <w:rFonts w:ascii="標楷體" w:eastAsia="標楷體" w:hAnsi="標楷體" w:hint="eastAsia"/>
                                      <w:color w:val="000000"/>
                                      <w:sz w:val="20"/>
                                    </w:rPr>
                                    <w:t>）</w:t>
                                  </w:r>
                                </w:p>
                              </w:tc>
                              <w:tc>
                                <w:tcPr>
                                  <w:tcW w:w="2127" w:type="dxa"/>
                                  <w:tcBorders>
                                    <w:top w:val="nil"/>
                                    <w:left w:val="nil"/>
                                    <w:bottom w:val="single" w:sz="4" w:space="0" w:color="auto"/>
                                    <w:right w:val="single" w:sz="4" w:space="0" w:color="auto"/>
                                  </w:tcBorders>
                                  <w:shd w:val="clear" w:color="auto" w:fill="auto"/>
                                  <w:vAlign w:val="center"/>
                                  <w:hideMark/>
                                </w:tcPr>
                                <w:p w14:paraId="31D9FCA1" w14:textId="77777777" w:rsidR="00CE57F9" w:rsidRPr="008B0A30" w:rsidRDefault="00CE57F9" w:rsidP="00DA2751">
                                  <w:pPr>
                                    <w:spacing w:line="240" w:lineRule="exact"/>
                                    <w:jc w:val="both"/>
                                    <w:rPr>
                                      <w:rFonts w:ascii="標楷體" w:eastAsia="標楷體" w:hAnsi="標楷體"/>
                                      <w:color w:val="000000"/>
                                      <w:sz w:val="20"/>
                                    </w:rPr>
                                  </w:pPr>
                                  <w:r w:rsidRPr="008B0A30">
                                    <w:rPr>
                                      <w:rFonts w:ascii="標楷體" w:eastAsia="標楷體" w:hAnsi="標楷體" w:hint="eastAsia"/>
                                      <w:color w:val="000000"/>
                                      <w:sz w:val="20"/>
                                    </w:rPr>
                                    <w:t>透過連接法定貨幣、商品，以維持幣值穩定之虛擬資產</w:t>
                                  </w:r>
                                </w:p>
                              </w:tc>
                              <w:tc>
                                <w:tcPr>
                                  <w:tcW w:w="1559" w:type="dxa"/>
                                  <w:tcBorders>
                                    <w:top w:val="nil"/>
                                    <w:left w:val="nil"/>
                                    <w:bottom w:val="single" w:sz="4" w:space="0" w:color="auto"/>
                                    <w:right w:val="single" w:sz="4" w:space="0" w:color="auto"/>
                                  </w:tcBorders>
                                  <w:shd w:val="clear" w:color="auto" w:fill="auto"/>
                                  <w:vAlign w:val="center"/>
                                  <w:hideMark/>
                                </w:tcPr>
                                <w:p w14:paraId="12BD8103" w14:textId="52F0BB08" w:rsidR="00CE57F9" w:rsidRPr="008B0A30" w:rsidRDefault="00CE57F9" w:rsidP="00DA2751">
                                  <w:pPr>
                                    <w:spacing w:line="240" w:lineRule="exact"/>
                                    <w:jc w:val="both"/>
                                    <w:rPr>
                                      <w:rFonts w:ascii="標楷體" w:eastAsia="標楷體" w:hAnsi="標楷體"/>
                                      <w:color w:val="000000"/>
                                      <w:sz w:val="20"/>
                                    </w:rPr>
                                  </w:pPr>
                                  <w:r w:rsidRPr="008B0A30">
                                    <w:rPr>
                                      <w:rFonts w:ascii="標楷體" w:eastAsia="標楷體" w:hAnsi="標楷體" w:hint="eastAsia"/>
                                      <w:color w:val="000000"/>
                                      <w:sz w:val="20"/>
                                    </w:rPr>
                                    <w:t>支付、匯兌、跨境移轉</w:t>
                                  </w:r>
                                  <w:r>
                                    <w:rPr>
                                      <w:rFonts w:ascii="標楷體" w:eastAsia="標楷體" w:hAnsi="標楷體" w:hint="eastAsia"/>
                                      <w:color w:val="000000"/>
                                      <w:sz w:val="20"/>
                                    </w:rPr>
                                    <w:t>（</w:t>
                                  </w:r>
                                  <w:r w:rsidRPr="008B0A30">
                                    <w:rPr>
                                      <w:rFonts w:ascii="標楷體" w:eastAsia="標楷體" w:hAnsi="標楷體" w:hint="eastAsia"/>
                                      <w:color w:val="000000"/>
                                      <w:sz w:val="20"/>
                                    </w:rPr>
                                    <w:t>含支付及匯兌等</w:t>
                                  </w:r>
                                  <w:r>
                                    <w:rPr>
                                      <w:rFonts w:ascii="標楷體" w:eastAsia="標楷體" w:hAnsi="標楷體" w:hint="eastAsia"/>
                                      <w:color w:val="000000"/>
                                      <w:sz w:val="20"/>
                                    </w:rPr>
                                    <w:t>）</w:t>
                                  </w:r>
                                </w:p>
                              </w:tc>
                            </w:tr>
                            <w:tr w:rsidR="00CE57F9" w:rsidRPr="00D112E9" w14:paraId="7232726A" w14:textId="77777777" w:rsidTr="00F72E6D">
                              <w:trPr>
                                <w:trHeight w:val="972"/>
                              </w:trPr>
                              <w:tc>
                                <w:tcPr>
                                  <w:tcW w:w="1688" w:type="dxa"/>
                                  <w:tcBorders>
                                    <w:top w:val="nil"/>
                                    <w:left w:val="single" w:sz="4" w:space="0" w:color="auto"/>
                                    <w:bottom w:val="single" w:sz="4" w:space="0" w:color="auto"/>
                                    <w:right w:val="single" w:sz="4" w:space="0" w:color="auto"/>
                                  </w:tcBorders>
                                  <w:shd w:val="clear" w:color="auto" w:fill="auto"/>
                                  <w:vAlign w:val="center"/>
                                  <w:hideMark/>
                                </w:tcPr>
                                <w:p w14:paraId="3FF3AA97" w14:textId="5CB28192" w:rsidR="00CE57F9" w:rsidRPr="008B0A30" w:rsidRDefault="00CE57F9" w:rsidP="00DA2751">
                                  <w:pPr>
                                    <w:spacing w:line="240" w:lineRule="exact"/>
                                    <w:rPr>
                                      <w:rFonts w:ascii="標楷體" w:eastAsia="標楷體" w:hAnsi="標楷體"/>
                                      <w:color w:val="000000"/>
                                      <w:sz w:val="20"/>
                                    </w:rPr>
                                  </w:pPr>
                                  <w:r w:rsidRPr="008B0A30">
                                    <w:rPr>
                                      <w:rFonts w:ascii="標楷體" w:eastAsia="標楷體" w:hAnsi="標楷體" w:hint="eastAsia"/>
                                      <w:color w:val="000000"/>
                                      <w:sz w:val="20"/>
                                    </w:rPr>
                                    <w:t xml:space="preserve">非同質化代幣 </w:t>
                                  </w:r>
                                  <w:r>
                                    <w:rPr>
                                      <w:rFonts w:ascii="標楷體" w:eastAsia="標楷體" w:hAnsi="標楷體" w:hint="eastAsia"/>
                                      <w:color w:val="000000"/>
                                      <w:sz w:val="20"/>
                                    </w:rPr>
                                    <w:t>（</w:t>
                                  </w:r>
                                  <w:r w:rsidRPr="008B0A30">
                                    <w:rPr>
                                      <w:rFonts w:ascii="標楷體" w:eastAsia="標楷體" w:hAnsi="標楷體" w:hint="eastAsia"/>
                                      <w:color w:val="000000"/>
                                      <w:sz w:val="20"/>
                                    </w:rPr>
                                    <w:t>Non-</w:t>
                                  </w:r>
                                  <w:r>
                                    <w:rPr>
                                      <w:rFonts w:ascii="標楷體" w:eastAsia="標楷體" w:hAnsi="標楷體"/>
                                      <w:color w:val="000000"/>
                                      <w:sz w:val="20"/>
                                    </w:rPr>
                                    <w:t>F</w:t>
                                  </w:r>
                                  <w:r w:rsidRPr="008B0A30">
                                    <w:rPr>
                                      <w:rFonts w:ascii="標楷體" w:eastAsia="標楷體" w:hAnsi="標楷體" w:hint="eastAsia"/>
                                      <w:color w:val="000000"/>
                                      <w:sz w:val="20"/>
                                    </w:rPr>
                                    <w:t xml:space="preserve">ungible </w:t>
                                  </w:r>
                                  <w:r>
                                    <w:rPr>
                                      <w:rFonts w:ascii="標楷體" w:eastAsia="標楷體" w:hAnsi="標楷體"/>
                                      <w:color w:val="000000"/>
                                      <w:sz w:val="20"/>
                                    </w:rPr>
                                    <w:t>T</w:t>
                                  </w:r>
                                  <w:r w:rsidRPr="008B0A30">
                                    <w:rPr>
                                      <w:rFonts w:ascii="標楷體" w:eastAsia="標楷體" w:hAnsi="標楷體" w:hint="eastAsia"/>
                                      <w:color w:val="000000"/>
                                      <w:sz w:val="20"/>
                                    </w:rPr>
                                    <w:t>okens,NFT</w:t>
                                  </w:r>
                                  <w:r>
                                    <w:rPr>
                                      <w:rFonts w:ascii="標楷體" w:eastAsia="標楷體" w:hAnsi="標楷體"/>
                                      <w:color w:val="000000"/>
                                      <w:sz w:val="20"/>
                                    </w:rPr>
                                    <w:t>s</w:t>
                                  </w:r>
                                  <w:r>
                                    <w:rPr>
                                      <w:rFonts w:ascii="標楷體" w:eastAsia="標楷體" w:hAnsi="標楷體" w:hint="eastAsia"/>
                                      <w:color w:val="000000"/>
                                      <w:sz w:val="20"/>
                                    </w:rPr>
                                    <w:t>）</w:t>
                                  </w:r>
                                </w:p>
                              </w:tc>
                              <w:tc>
                                <w:tcPr>
                                  <w:tcW w:w="2127" w:type="dxa"/>
                                  <w:tcBorders>
                                    <w:top w:val="nil"/>
                                    <w:left w:val="nil"/>
                                    <w:bottom w:val="single" w:sz="4" w:space="0" w:color="auto"/>
                                    <w:right w:val="single" w:sz="4" w:space="0" w:color="auto"/>
                                  </w:tcBorders>
                                  <w:shd w:val="clear" w:color="auto" w:fill="auto"/>
                                  <w:vAlign w:val="center"/>
                                  <w:hideMark/>
                                </w:tcPr>
                                <w:p w14:paraId="01E43CD9" w14:textId="7CAADA03" w:rsidR="00CE57F9" w:rsidRPr="008B0A30" w:rsidRDefault="00CE57F9" w:rsidP="00DA2751">
                                  <w:pPr>
                                    <w:spacing w:line="240" w:lineRule="exact"/>
                                    <w:jc w:val="both"/>
                                    <w:rPr>
                                      <w:rFonts w:ascii="標楷體" w:eastAsia="標楷體" w:hAnsi="標楷體"/>
                                      <w:color w:val="000000"/>
                                      <w:sz w:val="20"/>
                                    </w:rPr>
                                  </w:pPr>
                                  <w:r w:rsidRPr="008B0A30">
                                    <w:rPr>
                                      <w:rFonts w:ascii="標楷體" w:eastAsia="標楷體" w:hAnsi="標楷體" w:hint="eastAsia"/>
                                      <w:color w:val="000000"/>
                                      <w:sz w:val="20"/>
                                    </w:rPr>
                                    <w:t>表彰虛擬資產</w:t>
                                  </w:r>
                                  <w:r>
                                    <w:rPr>
                                      <w:rFonts w:ascii="標楷體" w:eastAsia="標楷體" w:hAnsi="標楷體" w:hint="eastAsia"/>
                                      <w:color w:val="000000"/>
                                      <w:sz w:val="20"/>
                                    </w:rPr>
                                    <w:t>（</w:t>
                                  </w:r>
                                  <w:r w:rsidRPr="008B0A30">
                                    <w:rPr>
                                      <w:rFonts w:ascii="標楷體" w:eastAsia="標楷體" w:hAnsi="標楷體" w:hint="eastAsia"/>
                                      <w:color w:val="000000"/>
                                      <w:sz w:val="20"/>
                                    </w:rPr>
                                    <w:t>如：畫作、藝術品、影片、個人頭像、保險</w:t>
                                  </w:r>
                                  <w:r>
                                    <w:rPr>
                                      <w:rFonts w:ascii="標楷體" w:eastAsia="標楷體" w:hAnsi="標楷體" w:hint="eastAsia"/>
                                      <w:color w:val="000000"/>
                                      <w:sz w:val="20"/>
                                    </w:rPr>
                                    <w:t>）</w:t>
                                  </w:r>
                                  <w:r w:rsidRPr="008B0A30">
                                    <w:rPr>
                                      <w:rFonts w:ascii="標楷體" w:eastAsia="標楷體" w:hAnsi="標楷體" w:hint="eastAsia"/>
                                      <w:color w:val="000000"/>
                                      <w:sz w:val="20"/>
                                    </w:rPr>
                                    <w:t>所有權之數位代幣</w:t>
                                  </w:r>
                                </w:p>
                              </w:tc>
                              <w:tc>
                                <w:tcPr>
                                  <w:tcW w:w="1559" w:type="dxa"/>
                                  <w:tcBorders>
                                    <w:top w:val="nil"/>
                                    <w:left w:val="nil"/>
                                    <w:bottom w:val="single" w:sz="4" w:space="0" w:color="auto"/>
                                    <w:right w:val="single" w:sz="4" w:space="0" w:color="auto"/>
                                  </w:tcBorders>
                                  <w:shd w:val="clear" w:color="auto" w:fill="auto"/>
                                  <w:vAlign w:val="center"/>
                                  <w:hideMark/>
                                </w:tcPr>
                                <w:p w14:paraId="2BFF0A14" w14:textId="77777777" w:rsidR="00CE57F9" w:rsidRPr="008B0A30" w:rsidRDefault="00CE57F9" w:rsidP="00DA2751">
                                  <w:pPr>
                                    <w:spacing w:line="240" w:lineRule="exact"/>
                                    <w:jc w:val="both"/>
                                    <w:rPr>
                                      <w:rFonts w:ascii="標楷體" w:eastAsia="標楷體" w:hAnsi="標楷體"/>
                                      <w:color w:val="000000"/>
                                      <w:sz w:val="20"/>
                                    </w:rPr>
                                  </w:pPr>
                                  <w:r w:rsidRPr="008B0A30">
                                    <w:rPr>
                                      <w:rFonts w:ascii="標楷體" w:eastAsia="標楷體" w:hAnsi="標楷體" w:hint="eastAsia"/>
                                      <w:color w:val="000000"/>
                                      <w:sz w:val="20"/>
                                    </w:rPr>
                                    <w:t>身分認證、標記存貨等商品之買賣等動向</w:t>
                                  </w:r>
                                </w:p>
                              </w:tc>
                            </w:tr>
                            <w:tr w:rsidR="00CE57F9" w:rsidRPr="00D112E9" w14:paraId="7C773FE8" w14:textId="77777777" w:rsidTr="00F72E6D">
                              <w:trPr>
                                <w:trHeight w:val="455"/>
                              </w:trPr>
                              <w:tc>
                                <w:tcPr>
                                  <w:tcW w:w="5374" w:type="dxa"/>
                                  <w:gridSpan w:val="3"/>
                                  <w:tcBorders>
                                    <w:top w:val="single" w:sz="4" w:space="0" w:color="auto"/>
                                    <w:left w:val="nil"/>
                                    <w:bottom w:val="nil"/>
                                    <w:right w:val="nil"/>
                                  </w:tcBorders>
                                  <w:shd w:val="clear" w:color="auto" w:fill="auto"/>
                                  <w:vAlign w:val="center"/>
                                  <w:hideMark/>
                                </w:tcPr>
                                <w:p w14:paraId="145C327D" w14:textId="77777777" w:rsidR="00CE57F9" w:rsidRDefault="00CE57F9" w:rsidP="00F72E6D">
                                  <w:pPr>
                                    <w:spacing w:line="240" w:lineRule="exact"/>
                                    <w:rPr>
                                      <w:rFonts w:ascii="標楷體" w:eastAsia="標楷體" w:hAnsi="標楷體"/>
                                      <w:color w:val="000000"/>
                                      <w:sz w:val="18"/>
                                    </w:rPr>
                                  </w:pPr>
                                  <w:r w:rsidRPr="008B0A30">
                                    <w:rPr>
                                      <w:rFonts w:ascii="標楷體" w:eastAsia="標楷體" w:hAnsi="標楷體" w:hint="eastAsia"/>
                                      <w:color w:val="000000"/>
                                      <w:sz w:val="18"/>
                                    </w:rPr>
                                    <w:t>註：1.虛擬資產類型眾多，不僅侷限於本表所列類型。</w:t>
                                  </w:r>
                                </w:p>
                                <w:p w14:paraId="3009A121" w14:textId="79889EB8" w:rsidR="00CE57F9" w:rsidRPr="008B0A30" w:rsidRDefault="00CE57F9" w:rsidP="00F72E6D">
                                  <w:pPr>
                                    <w:spacing w:line="240" w:lineRule="exact"/>
                                    <w:ind w:leftChars="148" w:left="551" w:hangingChars="109" w:hanging="196"/>
                                    <w:rPr>
                                      <w:rFonts w:ascii="標楷體" w:eastAsia="標楷體" w:hAnsi="標楷體"/>
                                      <w:color w:val="000000"/>
                                      <w:sz w:val="18"/>
                                    </w:rPr>
                                  </w:pPr>
                                  <w:r w:rsidRPr="008B0A30">
                                    <w:rPr>
                                      <w:rFonts w:ascii="標楷體" w:eastAsia="標楷體" w:hAnsi="標楷體" w:hint="eastAsia"/>
                                      <w:color w:val="000000"/>
                                      <w:sz w:val="18"/>
                                    </w:rPr>
                                    <w:t>2.資料來源：整理自國際會計審計專業服務公司普華永道</w:t>
                                  </w:r>
                                  <w:r>
                                    <w:rPr>
                                      <w:rFonts w:ascii="標楷體" w:eastAsia="標楷體" w:hAnsi="標楷體" w:hint="eastAsia"/>
                                      <w:color w:val="000000"/>
                                      <w:sz w:val="18"/>
                                    </w:rPr>
                                    <w:t>（</w:t>
                                  </w:r>
                                  <w:r w:rsidRPr="008B0A30">
                                    <w:rPr>
                                      <w:rFonts w:ascii="標楷體" w:eastAsia="標楷體" w:hAnsi="標楷體" w:hint="eastAsia"/>
                                      <w:color w:val="000000"/>
                                      <w:sz w:val="18"/>
                                    </w:rPr>
                                    <w:t>PwC</w:t>
                                  </w:r>
                                  <w:r>
                                    <w:rPr>
                                      <w:rFonts w:ascii="標楷體" w:eastAsia="標楷體" w:hAnsi="標楷體" w:hint="eastAsia"/>
                                      <w:color w:val="000000"/>
                                      <w:sz w:val="18"/>
                                    </w:rPr>
                                    <w:t>）</w:t>
                                  </w:r>
                                  <w:r w:rsidRPr="008B0A30">
                                    <w:rPr>
                                      <w:rFonts w:ascii="標楷體" w:eastAsia="標楷體" w:hAnsi="標楷體" w:hint="eastAsia"/>
                                      <w:color w:val="000000"/>
                                      <w:sz w:val="18"/>
                                    </w:rPr>
                                    <w:t>網站資料</w:t>
                                  </w:r>
                                  <w:r w:rsidRPr="00BA61D1">
                                    <w:rPr>
                                      <w:rFonts w:ascii="標楷體" w:eastAsia="標楷體" w:hAnsi="標楷體" w:hint="eastAsia"/>
                                      <w:color w:val="000000"/>
                                      <w:sz w:val="18"/>
                                    </w:rPr>
                                    <w:t>（查閱日期：</w:t>
                                  </w:r>
                                  <w:r w:rsidRPr="00BA61D1">
                                    <w:rPr>
                                      <w:rFonts w:ascii="標楷體" w:eastAsia="標楷體" w:hAnsi="標楷體"/>
                                      <w:color w:val="000000"/>
                                      <w:sz w:val="18"/>
                                    </w:rPr>
                                    <w:t>112年4月3日</w:t>
                                  </w:r>
                                  <w:r w:rsidRPr="00BA61D1">
                                    <w:rPr>
                                      <w:rFonts w:ascii="標楷體" w:eastAsia="標楷體" w:hAnsi="標楷體" w:hint="eastAsia"/>
                                      <w:color w:val="000000"/>
                                      <w:sz w:val="18"/>
                                    </w:rPr>
                                    <w:t>）。</w:t>
                                  </w:r>
                                </w:p>
                              </w:tc>
                            </w:tr>
                          </w:tbl>
                          <w:p w14:paraId="05DBAE15" w14:textId="77777777" w:rsidR="00CE57F9" w:rsidRPr="00D112E9" w:rsidRDefault="00CE57F9" w:rsidP="00B93CE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ACDF7B" id="文字方塊 56" o:spid="_x0000_s1044" type="#_x0000_t202" style="position:absolute;left:0;text-align:left;margin-left:208.55pt;margin-top:206.85pt;width:286.75pt;height:196.95pt;z-index:251636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" filled="f" stroked="f" strokeweight=".5pt">
                <v:path arrowok="t"/>
                <v:textbox>
                  <w:txbxContent>
                    <w:tbl>
                      <w:tblPr>
                        <w:tblW w:w="5374" w:type="dxa"/>
                        <w:tblInd w:w="13" w:type="dxa"/>
                        <w:tblCellMar>
                          <w:left w:w="28" w:type="dxa"/>
                          <w:right w:w="28" w:type="dxa"/>
                        </w:tblCellMar>
                        <w:tblLook w:val="04A0" w:firstRow="1" w:lastRow="0" w:firstColumn="1" w:lastColumn="0" w:noHBand="0" w:noVBand="1"/>
                      </w:tblPr>
                      <w:tblGrid>
                        <w:gridCol w:w="1856"/>
                        <w:gridCol w:w="2127"/>
                        <w:gridCol w:w="1559"/>
                      </w:tblGrid>
                      <w:tr w:rsidR="00CE57F9" w:rsidRPr="00D112E9" w14:paraId="519CE8F9" w14:textId="77777777" w:rsidTr="00F72E6D">
                        <w:trPr>
                          <w:trHeight w:val="324"/>
                        </w:trPr>
                        <w:tc>
                          <w:tcPr>
                            <w:tcW w:w="5374" w:type="dxa"/>
                            <w:gridSpan w:val="3"/>
                            <w:tcBorders>
                              <w:top w:val="nil"/>
                              <w:left w:val="nil"/>
                              <w:bottom w:val="nil"/>
                              <w:right w:val="nil"/>
                            </w:tcBorders>
                            <w:shd w:val="clear" w:color="auto" w:fill="auto"/>
                            <w:noWrap/>
                            <w:vAlign w:val="center"/>
                            <w:hideMark/>
                          </w:tcPr>
                          <w:p w14:paraId="4E0C86D1" w14:textId="39401A76" w:rsidR="00CE57F9" w:rsidRPr="00D112E9" w:rsidRDefault="00CE57F9" w:rsidP="00F626A9">
                            <w:pPr>
                              <w:spacing w:line="340" w:lineRule="exact"/>
                              <w:jc w:val="center"/>
                              <w:rPr>
                                <w:rFonts w:ascii="標楷體" w:eastAsia="標楷體" w:hAnsi="標楷體"/>
                                <w:b/>
                                <w:bCs/>
                                <w:color w:val="000000"/>
                              </w:rPr>
                            </w:pPr>
                            <w:r w:rsidRPr="00D112E9">
                              <w:rPr>
                                <w:rFonts w:ascii="標楷體" w:eastAsia="標楷體" w:hAnsi="標楷體" w:hint="eastAsia"/>
                                <w:b/>
                                <w:bCs/>
                                <w:color w:val="000000"/>
                              </w:rPr>
                              <w:t>表</w:t>
                            </w:r>
                            <w:r>
                              <w:rPr>
                                <w:rFonts w:ascii="標楷體" w:eastAsia="標楷體" w:hAnsi="標楷體" w:hint="eastAsia"/>
                                <w:b/>
                                <w:bCs/>
                                <w:color w:val="000000"/>
                              </w:rPr>
                              <w:t>1</w:t>
                            </w:r>
                            <w:r>
                              <w:rPr>
                                <w:rFonts w:ascii="標楷體" w:eastAsia="標楷體" w:hAnsi="標楷體"/>
                                <w:b/>
                                <w:bCs/>
                                <w:color w:val="000000"/>
                              </w:rPr>
                              <w:t>0</w:t>
                            </w:r>
                            <w:r w:rsidRPr="001F770C">
                              <w:rPr>
                                <w:rFonts w:ascii="標楷體" w:eastAsia="標楷體" w:hAnsi="標楷體" w:hint="eastAsia"/>
                                <w:b/>
                              </w:rPr>
                              <w:t xml:space="preserve">　</w:t>
                            </w:r>
                            <w:r>
                              <w:rPr>
                                <w:rFonts w:ascii="標楷體" w:eastAsia="標楷體" w:hAnsi="標楷體" w:hint="eastAsia"/>
                                <w:b/>
                                <w:bCs/>
                                <w:color w:val="000000"/>
                              </w:rPr>
                              <w:t>虛擬資產類型</w:t>
                            </w:r>
                          </w:p>
                        </w:tc>
                      </w:tr>
                      <w:tr w:rsidR="00CE57F9" w:rsidRPr="00D112E9" w14:paraId="190ABBB2" w14:textId="77777777" w:rsidTr="00F72E6D">
                        <w:trPr>
                          <w:trHeight w:val="324"/>
                        </w:trPr>
                        <w:tc>
                          <w:tcPr>
                            <w:tcW w:w="16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A28BA0" w14:textId="77777777" w:rsidR="00CE57F9" w:rsidRPr="00DA2751" w:rsidRDefault="00CE57F9" w:rsidP="00F72E6D">
                            <w:pPr>
                              <w:spacing w:line="320" w:lineRule="exact"/>
                              <w:jc w:val="center"/>
                              <w:rPr>
                                <w:rFonts w:ascii="標楷體" w:eastAsia="標楷體" w:hAnsi="標楷體"/>
                                <w:bCs/>
                                <w:color w:val="000000"/>
                                <w:sz w:val="20"/>
                              </w:rPr>
                            </w:pPr>
                            <w:r w:rsidRPr="00DA2751">
                              <w:rPr>
                                <w:rFonts w:ascii="標楷體" w:eastAsia="標楷體" w:hAnsi="標楷體" w:hint="eastAsia"/>
                                <w:bCs/>
                                <w:color w:val="000000"/>
                                <w:sz w:val="20"/>
                              </w:rPr>
                              <w:t>類型</w:t>
                            </w:r>
                          </w:p>
                        </w:tc>
                        <w:tc>
                          <w:tcPr>
                            <w:tcW w:w="2127" w:type="dxa"/>
                            <w:tcBorders>
                              <w:top w:val="single" w:sz="4" w:space="0" w:color="auto"/>
                              <w:left w:val="nil"/>
                              <w:bottom w:val="single" w:sz="4" w:space="0" w:color="auto"/>
                              <w:right w:val="single" w:sz="4" w:space="0" w:color="auto"/>
                            </w:tcBorders>
                            <w:shd w:val="clear" w:color="auto" w:fill="auto"/>
                            <w:noWrap/>
                            <w:vAlign w:val="center"/>
                            <w:hideMark/>
                          </w:tcPr>
                          <w:p w14:paraId="75D33391" w14:textId="77777777" w:rsidR="00CE57F9" w:rsidRPr="00DA2751" w:rsidRDefault="00CE57F9" w:rsidP="00F72E6D">
                            <w:pPr>
                              <w:spacing w:line="320" w:lineRule="exact"/>
                              <w:jc w:val="center"/>
                              <w:rPr>
                                <w:rFonts w:ascii="標楷體" w:eastAsia="標楷體" w:hAnsi="標楷體"/>
                                <w:bCs/>
                                <w:color w:val="000000"/>
                                <w:sz w:val="20"/>
                              </w:rPr>
                            </w:pPr>
                            <w:r w:rsidRPr="00DA2751">
                              <w:rPr>
                                <w:rFonts w:ascii="標楷體" w:eastAsia="標楷體" w:hAnsi="標楷體" w:hint="eastAsia"/>
                                <w:bCs/>
                                <w:color w:val="000000"/>
                                <w:sz w:val="20"/>
                              </w:rPr>
                              <w:t>定義</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426E3597" w14:textId="77777777" w:rsidR="00CE57F9" w:rsidRPr="00DA2751" w:rsidRDefault="00CE57F9" w:rsidP="00F72E6D">
                            <w:pPr>
                              <w:spacing w:line="320" w:lineRule="exact"/>
                              <w:jc w:val="center"/>
                              <w:rPr>
                                <w:rFonts w:ascii="標楷體" w:eastAsia="標楷體" w:hAnsi="標楷體"/>
                                <w:bCs/>
                                <w:color w:val="000000"/>
                                <w:sz w:val="20"/>
                              </w:rPr>
                            </w:pPr>
                            <w:r w:rsidRPr="00DA2751">
                              <w:rPr>
                                <w:rFonts w:ascii="標楷體" w:eastAsia="標楷體" w:hAnsi="標楷體" w:hint="eastAsia"/>
                                <w:bCs/>
                                <w:color w:val="000000"/>
                                <w:sz w:val="20"/>
                              </w:rPr>
                              <w:t>用途</w:t>
                            </w:r>
                          </w:p>
                        </w:tc>
                      </w:tr>
                      <w:tr w:rsidR="00CE57F9" w:rsidRPr="00D112E9" w14:paraId="62DC2904" w14:textId="77777777" w:rsidTr="00F72E6D">
                        <w:trPr>
                          <w:trHeight w:val="648"/>
                        </w:trPr>
                        <w:tc>
                          <w:tcPr>
                            <w:tcW w:w="1688" w:type="dxa"/>
                            <w:tcBorders>
                              <w:top w:val="nil"/>
                              <w:left w:val="single" w:sz="4" w:space="0" w:color="auto"/>
                              <w:bottom w:val="single" w:sz="4" w:space="0" w:color="auto"/>
                              <w:right w:val="single" w:sz="4" w:space="0" w:color="auto"/>
                            </w:tcBorders>
                            <w:shd w:val="clear" w:color="auto" w:fill="auto"/>
                            <w:vAlign w:val="center"/>
                            <w:hideMark/>
                          </w:tcPr>
                          <w:p w14:paraId="4BCF6D56" w14:textId="1EA6A579" w:rsidR="00CE57F9" w:rsidRPr="008B0A30" w:rsidRDefault="00CE57F9" w:rsidP="00DA2751">
                            <w:pPr>
                              <w:spacing w:line="240" w:lineRule="exact"/>
                              <w:rPr>
                                <w:rFonts w:ascii="標楷體" w:eastAsia="標楷體" w:hAnsi="標楷體"/>
                                <w:color w:val="000000"/>
                                <w:sz w:val="20"/>
                              </w:rPr>
                            </w:pPr>
                            <w:r w:rsidRPr="008B0A30">
                              <w:rPr>
                                <w:rFonts w:ascii="標楷體" w:eastAsia="標楷體" w:hAnsi="標楷體" w:hint="eastAsia"/>
                                <w:color w:val="000000"/>
                                <w:sz w:val="20"/>
                              </w:rPr>
                              <w:t xml:space="preserve">加密貨幣 </w:t>
                            </w:r>
                            <w:r>
                              <w:rPr>
                                <w:rFonts w:ascii="標楷體" w:eastAsia="標楷體" w:hAnsi="標楷體" w:hint="eastAsia"/>
                                <w:color w:val="000000"/>
                                <w:sz w:val="20"/>
                              </w:rPr>
                              <w:t>（</w:t>
                            </w:r>
                            <w:r w:rsidRPr="008B0A30">
                              <w:rPr>
                                <w:rFonts w:ascii="標楷體" w:eastAsia="標楷體" w:hAnsi="標楷體" w:hint="eastAsia"/>
                                <w:color w:val="000000"/>
                                <w:sz w:val="20"/>
                              </w:rPr>
                              <w:t>Cryptocurrency</w:t>
                            </w:r>
                            <w:r>
                              <w:rPr>
                                <w:rFonts w:ascii="標楷體" w:eastAsia="標楷體" w:hAnsi="標楷體" w:hint="eastAsia"/>
                                <w:color w:val="000000"/>
                                <w:sz w:val="20"/>
                              </w:rPr>
                              <w:t>）</w:t>
                            </w:r>
                          </w:p>
                        </w:tc>
                        <w:tc>
                          <w:tcPr>
                            <w:tcW w:w="2127" w:type="dxa"/>
                            <w:tcBorders>
                              <w:top w:val="nil"/>
                              <w:left w:val="nil"/>
                              <w:bottom w:val="single" w:sz="4" w:space="0" w:color="auto"/>
                              <w:right w:val="single" w:sz="4" w:space="0" w:color="auto"/>
                            </w:tcBorders>
                            <w:shd w:val="clear" w:color="auto" w:fill="auto"/>
                            <w:vAlign w:val="center"/>
                            <w:hideMark/>
                          </w:tcPr>
                          <w:p w14:paraId="6FA255A1" w14:textId="77777777" w:rsidR="00CE57F9" w:rsidRPr="008B0A30" w:rsidRDefault="00CE57F9" w:rsidP="00DA2751">
                            <w:pPr>
                              <w:spacing w:line="240" w:lineRule="exact"/>
                              <w:jc w:val="both"/>
                              <w:rPr>
                                <w:rFonts w:ascii="標楷體" w:eastAsia="標楷體" w:hAnsi="標楷體"/>
                                <w:color w:val="000000"/>
                                <w:sz w:val="20"/>
                              </w:rPr>
                            </w:pPr>
                            <w:r w:rsidRPr="008B0A30">
                              <w:rPr>
                                <w:rFonts w:ascii="標楷體" w:eastAsia="標楷體" w:hAnsi="標楷體" w:hint="eastAsia"/>
                                <w:color w:val="000000"/>
                                <w:sz w:val="20"/>
                              </w:rPr>
                              <w:t>建立於區塊鏈技術上之貨幣儲存媒介</w:t>
                            </w:r>
                          </w:p>
                        </w:tc>
                        <w:tc>
                          <w:tcPr>
                            <w:tcW w:w="1559" w:type="dxa"/>
                            <w:tcBorders>
                              <w:top w:val="nil"/>
                              <w:left w:val="nil"/>
                              <w:bottom w:val="single" w:sz="4" w:space="0" w:color="auto"/>
                              <w:right w:val="single" w:sz="4" w:space="0" w:color="auto"/>
                            </w:tcBorders>
                            <w:shd w:val="clear" w:color="auto" w:fill="auto"/>
                            <w:noWrap/>
                            <w:vAlign w:val="center"/>
                            <w:hideMark/>
                          </w:tcPr>
                          <w:p w14:paraId="41BBF614" w14:textId="77777777" w:rsidR="00CE57F9" w:rsidRPr="008B0A30" w:rsidRDefault="00CE57F9" w:rsidP="00DA2751">
                            <w:pPr>
                              <w:spacing w:line="240" w:lineRule="exact"/>
                              <w:jc w:val="both"/>
                              <w:rPr>
                                <w:rFonts w:ascii="標楷體" w:eastAsia="標楷體" w:hAnsi="標楷體"/>
                                <w:color w:val="000000"/>
                                <w:sz w:val="20"/>
                              </w:rPr>
                            </w:pPr>
                            <w:r w:rsidRPr="008B0A30">
                              <w:rPr>
                                <w:rFonts w:ascii="標楷體" w:eastAsia="標楷體" w:hAnsi="標楷體" w:hint="eastAsia"/>
                                <w:color w:val="000000"/>
                                <w:sz w:val="20"/>
                              </w:rPr>
                              <w:t>投資、支付、籌資</w:t>
                            </w:r>
                          </w:p>
                        </w:tc>
                      </w:tr>
                      <w:tr w:rsidR="00CE57F9" w:rsidRPr="00D112E9" w14:paraId="0B0AFF60" w14:textId="77777777" w:rsidTr="00F72E6D">
                        <w:trPr>
                          <w:trHeight w:val="648"/>
                        </w:trPr>
                        <w:tc>
                          <w:tcPr>
                            <w:tcW w:w="1688" w:type="dxa"/>
                            <w:tcBorders>
                              <w:top w:val="nil"/>
                              <w:left w:val="single" w:sz="4" w:space="0" w:color="auto"/>
                              <w:bottom w:val="single" w:sz="4" w:space="0" w:color="auto"/>
                              <w:right w:val="single" w:sz="4" w:space="0" w:color="auto"/>
                            </w:tcBorders>
                            <w:shd w:val="clear" w:color="auto" w:fill="auto"/>
                            <w:vAlign w:val="center"/>
                            <w:hideMark/>
                          </w:tcPr>
                          <w:p w14:paraId="331E70CB" w14:textId="416E4A42" w:rsidR="00CE57F9" w:rsidRPr="008B0A30" w:rsidRDefault="00CE57F9" w:rsidP="00DA2751">
                            <w:pPr>
                              <w:spacing w:line="240" w:lineRule="exact"/>
                              <w:rPr>
                                <w:rFonts w:ascii="標楷體" w:eastAsia="標楷體" w:hAnsi="標楷體"/>
                                <w:color w:val="000000"/>
                                <w:sz w:val="20"/>
                              </w:rPr>
                            </w:pPr>
                            <w:r w:rsidRPr="008B0A30">
                              <w:rPr>
                                <w:rFonts w:ascii="標楷體" w:eastAsia="標楷體" w:hAnsi="標楷體" w:hint="eastAsia"/>
                                <w:color w:val="000000"/>
                                <w:sz w:val="20"/>
                              </w:rPr>
                              <w:t>穩定幣</w:t>
                            </w:r>
                            <w:r>
                              <w:rPr>
                                <w:rFonts w:ascii="標楷體" w:eastAsia="標楷體" w:hAnsi="標楷體" w:hint="eastAsia"/>
                                <w:color w:val="000000"/>
                                <w:sz w:val="20"/>
                              </w:rPr>
                              <w:t>（</w:t>
                            </w:r>
                            <w:r w:rsidRPr="008B0A30">
                              <w:rPr>
                                <w:rFonts w:ascii="標楷體" w:eastAsia="標楷體" w:hAnsi="標楷體" w:hint="eastAsia"/>
                                <w:color w:val="000000"/>
                                <w:sz w:val="20"/>
                              </w:rPr>
                              <w:t>Stablecoins</w:t>
                            </w:r>
                            <w:r>
                              <w:rPr>
                                <w:rFonts w:ascii="標楷體" w:eastAsia="標楷體" w:hAnsi="標楷體" w:hint="eastAsia"/>
                                <w:color w:val="000000"/>
                                <w:sz w:val="20"/>
                              </w:rPr>
                              <w:t>）</w:t>
                            </w:r>
                          </w:p>
                        </w:tc>
                        <w:tc>
                          <w:tcPr>
                            <w:tcW w:w="2127" w:type="dxa"/>
                            <w:tcBorders>
                              <w:top w:val="nil"/>
                              <w:left w:val="nil"/>
                              <w:bottom w:val="single" w:sz="4" w:space="0" w:color="auto"/>
                              <w:right w:val="single" w:sz="4" w:space="0" w:color="auto"/>
                            </w:tcBorders>
                            <w:shd w:val="clear" w:color="auto" w:fill="auto"/>
                            <w:vAlign w:val="center"/>
                            <w:hideMark/>
                          </w:tcPr>
                          <w:p w14:paraId="31D9FCA1" w14:textId="77777777" w:rsidR="00CE57F9" w:rsidRPr="008B0A30" w:rsidRDefault="00CE57F9" w:rsidP="00DA2751">
                            <w:pPr>
                              <w:spacing w:line="240" w:lineRule="exact"/>
                              <w:jc w:val="both"/>
                              <w:rPr>
                                <w:rFonts w:ascii="標楷體" w:eastAsia="標楷體" w:hAnsi="標楷體"/>
                                <w:color w:val="000000"/>
                                <w:sz w:val="20"/>
                              </w:rPr>
                            </w:pPr>
                            <w:r w:rsidRPr="008B0A30">
                              <w:rPr>
                                <w:rFonts w:ascii="標楷體" w:eastAsia="標楷體" w:hAnsi="標楷體" w:hint="eastAsia"/>
                                <w:color w:val="000000"/>
                                <w:sz w:val="20"/>
                              </w:rPr>
                              <w:t>透過連接法定貨幣、商品，以維持幣值穩定之虛擬資產</w:t>
                            </w:r>
                          </w:p>
                        </w:tc>
                        <w:tc>
                          <w:tcPr>
                            <w:tcW w:w="1559" w:type="dxa"/>
                            <w:tcBorders>
                              <w:top w:val="nil"/>
                              <w:left w:val="nil"/>
                              <w:bottom w:val="single" w:sz="4" w:space="0" w:color="auto"/>
                              <w:right w:val="single" w:sz="4" w:space="0" w:color="auto"/>
                            </w:tcBorders>
                            <w:shd w:val="clear" w:color="auto" w:fill="auto"/>
                            <w:vAlign w:val="center"/>
                            <w:hideMark/>
                          </w:tcPr>
                          <w:p w14:paraId="12BD8103" w14:textId="52F0BB08" w:rsidR="00CE57F9" w:rsidRPr="008B0A30" w:rsidRDefault="00CE57F9" w:rsidP="00DA2751">
                            <w:pPr>
                              <w:spacing w:line="240" w:lineRule="exact"/>
                              <w:jc w:val="both"/>
                              <w:rPr>
                                <w:rFonts w:ascii="標楷體" w:eastAsia="標楷體" w:hAnsi="標楷體"/>
                                <w:color w:val="000000"/>
                                <w:sz w:val="20"/>
                              </w:rPr>
                            </w:pPr>
                            <w:r w:rsidRPr="008B0A30">
                              <w:rPr>
                                <w:rFonts w:ascii="標楷體" w:eastAsia="標楷體" w:hAnsi="標楷體" w:hint="eastAsia"/>
                                <w:color w:val="000000"/>
                                <w:sz w:val="20"/>
                              </w:rPr>
                              <w:t>支付、匯兌、跨境移轉</w:t>
                            </w:r>
                            <w:r>
                              <w:rPr>
                                <w:rFonts w:ascii="標楷體" w:eastAsia="標楷體" w:hAnsi="標楷體" w:hint="eastAsia"/>
                                <w:color w:val="000000"/>
                                <w:sz w:val="20"/>
                              </w:rPr>
                              <w:t>（</w:t>
                            </w:r>
                            <w:r w:rsidRPr="008B0A30">
                              <w:rPr>
                                <w:rFonts w:ascii="標楷體" w:eastAsia="標楷體" w:hAnsi="標楷體" w:hint="eastAsia"/>
                                <w:color w:val="000000"/>
                                <w:sz w:val="20"/>
                              </w:rPr>
                              <w:t>含支付及匯兌等</w:t>
                            </w:r>
                            <w:r>
                              <w:rPr>
                                <w:rFonts w:ascii="標楷體" w:eastAsia="標楷體" w:hAnsi="標楷體" w:hint="eastAsia"/>
                                <w:color w:val="000000"/>
                                <w:sz w:val="20"/>
                              </w:rPr>
                              <w:t>）</w:t>
                            </w:r>
                          </w:p>
                        </w:tc>
                      </w:tr>
                      <w:tr w:rsidR="00CE57F9" w:rsidRPr="00D112E9" w14:paraId="7232726A" w14:textId="77777777" w:rsidTr="00F72E6D">
                        <w:trPr>
                          <w:trHeight w:val="972"/>
                        </w:trPr>
                        <w:tc>
                          <w:tcPr>
                            <w:tcW w:w="1688" w:type="dxa"/>
                            <w:tcBorders>
                              <w:top w:val="nil"/>
                              <w:left w:val="single" w:sz="4" w:space="0" w:color="auto"/>
                              <w:bottom w:val="single" w:sz="4" w:space="0" w:color="auto"/>
                              <w:right w:val="single" w:sz="4" w:space="0" w:color="auto"/>
                            </w:tcBorders>
                            <w:shd w:val="clear" w:color="auto" w:fill="auto"/>
                            <w:vAlign w:val="center"/>
                            <w:hideMark/>
                          </w:tcPr>
                          <w:p w14:paraId="3FF3AA97" w14:textId="5CB28192" w:rsidR="00CE57F9" w:rsidRPr="008B0A30" w:rsidRDefault="00CE57F9" w:rsidP="00DA2751">
                            <w:pPr>
                              <w:spacing w:line="240" w:lineRule="exact"/>
                              <w:rPr>
                                <w:rFonts w:ascii="標楷體" w:eastAsia="標楷體" w:hAnsi="標楷體"/>
                                <w:color w:val="000000"/>
                                <w:sz w:val="20"/>
                              </w:rPr>
                            </w:pPr>
                            <w:r w:rsidRPr="008B0A30">
                              <w:rPr>
                                <w:rFonts w:ascii="標楷體" w:eastAsia="標楷體" w:hAnsi="標楷體" w:hint="eastAsia"/>
                                <w:color w:val="000000"/>
                                <w:sz w:val="20"/>
                              </w:rPr>
                              <w:t xml:space="preserve">非同質化代幣 </w:t>
                            </w:r>
                            <w:r>
                              <w:rPr>
                                <w:rFonts w:ascii="標楷體" w:eastAsia="標楷體" w:hAnsi="標楷體" w:hint="eastAsia"/>
                                <w:color w:val="000000"/>
                                <w:sz w:val="20"/>
                              </w:rPr>
                              <w:t>（</w:t>
                            </w:r>
                            <w:r w:rsidRPr="008B0A30">
                              <w:rPr>
                                <w:rFonts w:ascii="標楷體" w:eastAsia="標楷體" w:hAnsi="標楷體" w:hint="eastAsia"/>
                                <w:color w:val="000000"/>
                                <w:sz w:val="20"/>
                              </w:rPr>
                              <w:t>Non-</w:t>
                            </w:r>
                            <w:r>
                              <w:rPr>
                                <w:rFonts w:ascii="標楷體" w:eastAsia="標楷體" w:hAnsi="標楷體"/>
                                <w:color w:val="000000"/>
                                <w:sz w:val="20"/>
                              </w:rPr>
                              <w:t>F</w:t>
                            </w:r>
                            <w:r w:rsidRPr="008B0A30">
                              <w:rPr>
                                <w:rFonts w:ascii="標楷體" w:eastAsia="標楷體" w:hAnsi="標楷體" w:hint="eastAsia"/>
                                <w:color w:val="000000"/>
                                <w:sz w:val="20"/>
                              </w:rPr>
                              <w:t xml:space="preserve">ungible </w:t>
                            </w:r>
                            <w:r>
                              <w:rPr>
                                <w:rFonts w:ascii="標楷體" w:eastAsia="標楷體" w:hAnsi="標楷體"/>
                                <w:color w:val="000000"/>
                                <w:sz w:val="20"/>
                              </w:rPr>
                              <w:t>T</w:t>
                            </w:r>
                            <w:r w:rsidRPr="008B0A30">
                              <w:rPr>
                                <w:rFonts w:ascii="標楷體" w:eastAsia="標楷體" w:hAnsi="標楷體" w:hint="eastAsia"/>
                                <w:color w:val="000000"/>
                                <w:sz w:val="20"/>
                              </w:rPr>
                              <w:t>okens,NFT</w:t>
                            </w:r>
                            <w:r>
                              <w:rPr>
                                <w:rFonts w:ascii="標楷體" w:eastAsia="標楷體" w:hAnsi="標楷體"/>
                                <w:color w:val="000000"/>
                                <w:sz w:val="20"/>
                              </w:rPr>
                              <w:t>s</w:t>
                            </w:r>
                            <w:r>
                              <w:rPr>
                                <w:rFonts w:ascii="標楷體" w:eastAsia="標楷體" w:hAnsi="標楷體" w:hint="eastAsia"/>
                                <w:color w:val="000000"/>
                                <w:sz w:val="20"/>
                              </w:rPr>
                              <w:t>）</w:t>
                            </w:r>
                          </w:p>
                        </w:tc>
                        <w:tc>
                          <w:tcPr>
                            <w:tcW w:w="2127" w:type="dxa"/>
                            <w:tcBorders>
                              <w:top w:val="nil"/>
                              <w:left w:val="nil"/>
                              <w:bottom w:val="single" w:sz="4" w:space="0" w:color="auto"/>
                              <w:right w:val="single" w:sz="4" w:space="0" w:color="auto"/>
                            </w:tcBorders>
                            <w:shd w:val="clear" w:color="auto" w:fill="auto"/>
                            <w:vAlign w:val="center"/>
                            <w:hideMark/>
                          </w:tcPr>
                          <w:p w14:paraId="01E43CD9" w14:textId="7CAADA03" w:rsidR="00CE57F9" w:rsidRPr="008B0A30" w:rsidRDefault="00CE57F9" w:rsidP="00DA2751">
                            <w:pPr>
                              <w:spacing w:line="240" w:lineRule="exact"/>
                              <w:jc w:val="both"/>
                              <w:rPr>
                                <w:rFonts w:ascii="標楷體" w:eastAsia="標楷體" w:hAnsi="標楷體"/>
                                <w:color w:val="000000"/>
                                <w:sz w:val="20"/>
                              </w:rPr>
                            </w:pPr>
                            <w:r w:rsidRPr="008B0A30">
                              <w:rPr>
                                <w:rFonts w:ascii="標楷體" w:eastAsia="標楷體" w:hAnsi="標楷體" w:hint="eastAsia"/>
                                <w:color w:val="000000"/>
                                <w:sz w:val="20"/>
                              </w:rPr>
                              <w:t>表彰虛擬資產</w:t>
                            </w:r>
                            <w:r>
                              <w:rPr>
                                <w:rFonts w:ascii="標楷體" w:eastAsia="標楷體" w:hAnsi="標楷體" w:hint="eastAsia"/>
                                <w:color w:val="000000"/>
                                <w:sz w:val="20"/>
                              </w:rPr>
                              <w:t>（</w:t>
                            </w:r>
                            <w:r w:rsidRPr="008B0A30">
                              <w:rPr>
                                <w:rFonts w:ascii="標楷體" w:eastAsia="標楷體" w:hAnsi="標楷體" w:hint="eastAsia"/>
                                <w:color w:val="000000"/>
                                <w:sz w:val="20"/>
                              </w:rPr>
                              <w:t>如：畫作、藝術品、影片、個人頭像、保險</w:t>
                            </w:r>
                            <w:r>
                              <w:rPr>
                                <w:rFonts w:ascii="標楷體" w:eastAsia="標楷體" w:hAnsi="標楷體" w:hint="eastAsia"/>
                                <w:color w:val="000000"/>
                                <w:sz w:val="20"/>
                              </w:rPr>
                              <w:t>）</w:t>
                            </w:r>
                            <w:r w:rsidRPr="008B0A30">
                              <w:rPr>
                                <w:rFonts w:ascii="標楷體" w:eastAsia="標楷體" w:hAnsi="標楷體" w:hint="eastAsia"/>
                                <w:color w:val="000000"/>
                                <w:sz w:val="20"/>
                              </w:rPr>
                              <w:t>所有權之數位代幣</w:t>
                            </w:r>
                          </w:p>
                        </w:tc>
                        <w:tc>
                          <w:tcPr>
                            <w:tcW w:w="1559" w:type="dxa"/>
                            <w:tcBorders>
                              <w:top w:val="nil"/>
                              <w:left w:val="nil"/>
                              <w:bottom w:val="single" w:sz="4" w:space="0" w:color="auto"/>
                              <w:right w:val="single" w:sz="4" w:space="0" w:color="auto"/>
                            </w:tcBorders>
                            <w:shd w:val="clear" w:color="auto" w:fill="auto"/>
                            <w:vAlign w:val="center"/>
                            <w:hideMark/>
                          </w:tcPr>
                          <w:p w14:paraId="2BFF0A14" w14:textId="77777777" w:rsidR="00CE57F9" w:rsidRPr="008B0A30" w:rsidRDefault="00CE57F9" w:rsidP="00DA2751">
                            <w:pPr>
                              <w:spacing w:line="240" w:lineRule="exact"/>
                              <w:jc w:val="both"/>
                              <w:rPr>
                                <w:rFonts w:ascii="標楷體" w:eastAsia="標楷體" w:hAnsi="標楷體"/>
                                <w:color w:val="000000"/>
                                <w:sz w:val="20"/>
                              </w:rPr>
                            </w:pPr>
                            <w:r w:rsidRPr="008B0A30">
                              <w:rPr>
                                <w:rFonts w:ascii="標楷體" w:eastAsia="標楷體" w:hAnsi="標楷體" w:hint="eastAsia"/>
                                <w:color w:val="000000"/>
                                <w:sz w:val="20"/>
                              </w:rPr>
                              <w:t>身分認證、標記存貨等商品之買賣等動向</w:t>
                            </w:r>
                          </w:p>
                        </w:tc>
                      </w:tr>
                      <w:tr w:rsidR="00CE57F9" w:rsidRPr="00D112E9" w14:paraId="7C773FE8" w14:textId="77777777" w:rsidTr="00F72E6D">
                        <w:trPr>
                          <w:trHeight w:val="455"/>
                        </w:trPr>
                        <w:tc>
                          <w:tcPr>
                            <w:tcW w:w="5374" w:type="dxa"/>
                            <w:gridSpan w:val="3"/>
                            <w:tcBorders>
                              <w:top w:val="single" w:sz="4" w:space="0" w:color="auto"/>
                              <w:left w:val="nil"/>
                              <w:bottom w:val="nil"/>
                              <w:right w:val="nil"/>
                            </w:tcBorders>
                            <w:shd w:val="clear" w:color="auto" w:fill="auto"/>
                            <w:vAlign w:val="center"/>
                            <w:hideMark/>
                          </w:tcPr>
                          <w:p w14:paraId="145C327D" w14:textId="77777777" w:rsidR="00CE57F9" w:rsidRDefault="00CE57F9" w:rsidP="00F72E6D">
                            <w:pPr>
                              <w:spacing w:line="240" w:lineRule="exact"/>
                              <w:rPr>
                                <w:rFonts w:ascii="標楷體" w:eastAsia="標楷體" w:hAnsi="標楷體"/>
                                <w:color w:val="000000"/>
                                <w:sz w:val="18"/>
                              </w:rPr>
                            </w:pPr>
                            <w:r w:rsidRPr="008B0A30">
                              <w:rPr>
                                <w:rFonts w:ascii="標楷體" w:eastAsia="標楷體" w:hAnsi="標楷體" w:hint="eastAsia"/>
                                <w:color w:val="000000"/>
                                <w:sz w:val="18"/>
                              </w:rPr>
                              <w:t>註：1.虛擬資產類型眾多，不僅侷限於本表所列類型。</w:t>
                            </w:r>
                          </w:p>
                          <w:p w14:paraId="3009A121" w14:textId="79889EB8" w:rsidR="00CE57F9" w:rsidRPr="008B0A30" w:rsidRDefault="00CE57F9" w:rsidP="00F72E6D">
                            <w:pPr>
                              <w:spacing w:line="240" w:lineRule="exact"/>
                              <w:ind w:leftChars="148" w:left="551" w:hangingChars="109" w:hanging="196"/>
                              <w:rPr>
                                <w:rFonts w:ascii="標楷體" w:eastAsia="標楷體" w:hAnsi="標楷體"/>
                                <w:color w:val="000000"/>
                                <w:sz w:val="18"/>
                              </w:rPr>
                            </w:pPr>
                            <w:r w:rsidRPr="008B0A30">
                              <w:rPr>
                                <w:rFonts w:ascii="標楷體" w:eastAsia="標楷體" w:hAnsi="標楷體" w:hint="eastAsia"/>
                                <w:color w:val="000000"/>
                                <w:sz w:val="18"/>
                              </w:rPr>
                              <w:t>2.資料來源：整理自國際會計審計專業服務公司普華永道</w:t>
                            </w:r>
                            <w:r>
                              <w:rPr>
                                <w:rFonts w:ascii="標楷體" w:eastAsia="標楷體" w:hAnsi="標楷體" w:hint="eastAsia"/>
                                <w:color w:val="000000"/>
                                <w:sz w:val="18"/>
                              </w:rPr>
                              <w:t>（</w:t>
                            </w:r>
                            <w:r w:rsidRPr="008B0A30">
                              <w:rPr>
                                <w:rFonts w:ascii="標楷體" w:eastAsia="標楷體" w:hAnsi="標楷體" w:hint="eastAsia"/>
                                <w:color w:val="000000"/>
                                <w:sz w:val="18"/>
                              </w:rPr>
                              <w:t>PwC</w:t>
                            </w:r>
                            <w:r>
                              <w:rPr>
                                <w:rFonts w:ascii="標楷體" w:eastAsia="標楷體" w:hAnsi="標楷體" w:hint="eastAsia"/>
                                <w:color w:val="000000"/>
                                <w:sz w:val="18"/>
                              </w:rPr>
                              <w:t>）</w:t>
                            </w:r>
                            <w:r w:rsidRPr="008B0A30">
                              <w:rPr>
                                <w:rFonts w:ascii="標楷體" w:eastAsia="標楷體" w:hAnsi="標楷體" w:hint="eastAsia"/>
                                <w:color w:val="000000"/>
                                <w:sz w:val="18"/>
                              </w:rPr>
                              <w:t>網站資料</w:t>
                            </w:r>
                            <w:r w:rsidRPr="00BA61D1">
                              <w:rPr>
                                <w:rFonts w:ascii="標楷體" w:eastAsia="標楷體" w:hAnsi="標楷體" w:hint="eastAsia"/>
                                <w:color w:val="000000"/>
                                <w:sz w:val="18"/>
                              </w:rPr>
                              <w:t>（查閱日期：</w:t>
                            </w:r>
                            <w:r w:rsidRPr="00BA61D1">
                              <w:rPr>
                                <w:rFonts w:ascii="標楷體" w:eastAsia="標楷體" w:hAnsi="標楷體"/>
                                <w:color w:val="000000"/>
                                <w:sz w:val="18"/>
                              </w:rPr>
                              <w:t>112年4月3日</w:t>
                            </w:r>
                            <w:r w:rsidRPr="00BA61D1">
                              <w:rPr>
                                <w:rFonts w:ascii="標楷體" w:eastAsia="標楷體" w:hAnsi="標楷體" w:hint="eastAsia"/>
                                <w:color w:val="000000"/>
                                <w:sz w:val="18"/>
                              </w:rPr>
                              <w:t>）。</w:t>
                            </w:r>
                          </w:p>
                        </w:tc>
                      </w:tr>
                    </w:tbl>
                    <w:p w14:paraId="05DBAE15" w14:textId="77777777" w:rsidR="00CE57F9" w:rsidRPr="00D112E9" w:rsidRDefault="00CE57F9" w:rsidP="00B93CEF"/>
                  </w:txbxContent>
                </v:textbox>
                <w10:wrap type="square" anchorx="margin"/>
              </v:shape>
            </w:pict>
          </mc:Fallback>
        </mc:AlternateContent>
      </w:r>
      <w:r w:rsidR="00B93CEF" w:rsidRPr="009D11AD">
        <w:rPr>
          <w:rFonts w:ascii="標楷體" w:eastAsia="標楷體" w:hAnsi="標楷體" w:hint="eastAsia"/>
          <w:color w:val="000000"/>
          <w:szCs w:val="24"/>
        </w:rPr>
        <w:t>行政院前於107年間考量防制洗錢金融行動工作組織（Financial Action Task Force,</w:t>
      </w:r>
      <w:r w:rsidR="00E76009" w:rsidRPr="009D11AD">
        <w:rPr>
          <w:rFonts w:ascii="標楷體" w:eastAsia="標楷體" w:hAnsi="標楷體" w:hint="eastAsia"/>
          <w:color w:val="000000"/>
          <w:szCs w:val="24"/>
        </w:rPr>
        <w:t xml:space="preserve"> </w:t>
      </w:r>
      <w:r w:rsidR="00B93CEF" w:rsidRPr="009D11AD">
        <w:rPr>
          <w:rFonts w:ascii="標楷體" w:eastAsia="標楷體" w:hAnsi="標楷體" w:hint="eastAsia"/>
          <w:color w:val="000000"/>
          <w:szCs w:val="24"/>
        </w:rPr>
        <w:t>FATF）已發布虛擬貨幣風險基礎方法指引，爰修正洗錢防制法第5條，並責成金融監督管理委員會（下稱金管會）發布虛擬通貨平台及交易業務事業防制洗錢及打擊資恐辦法，要求國內平臺業者應執行確認客戶身分、紀錄保存及可疑交易申報等措施；嗣於112年3月間賡續指定金管會擔任具金融投資或支付性質之虛擬平臺目的事業主管機關，該會隨於112年3月30日發布相關監管規劃，將針對虛擬資產之交易與交付頒布指導原則，及促請業界訂定自律規範，以循序漸進方式強化國內虛擬資產平臺對客戶之權益保護。</w:t>
      </w:r>
      <w:r w:rsidR="00B93CEF" w:rsidRPr="009D11AD">
        <w:rPr>
          <w:rFonts w:ascii="標楷體" w:eastAsia="標楷體" w:hAnsi="標楷體" w:hint="eastAsia"/>
          <w:szCs w:val="24"/>
        </w:rPr>
        <w:t>惟據</w:t>
      </w:r>
      <w:r w:rsidR="00B93CEF" w:rsidRPr="009D11AD">
        <w:rPr>
          <w:rFonts w:ascii="標楷體" w:eastAsia="標楷體" w:hAnsi="標楷體"/>
          <w:szCs w:val="24"/>
        </w:rPr>
        <w:t>國際會計審計專業服務公司普華永道</w:t>
      </w:r>
      <w:r w:rsidR="00D441FD" w:rsidRPr="009D11AD">
        <w:rPr>
          <w:rFonts w:ascii="標楷體" w:eastAsia="標楷體" w:hAnsi="標楷體" w:hint="eastAsia"/>
          <w:color w:val="000000"/>
          <w:szCs w:val="24"/>
        </w:rPr>
        <w:t>（</w:t>
      </w:r>
      <w:r w:rsidR="00B93CEF" w:rsidRPr="009D11AD">
        <w:rPr>
          <w:rFonts w:ascii="標楷體" w:eastAsia="標楷體" w:hAnsi="標楷體"/>
          <w:color w:val="000000"/>
          <w:szCs w:val="24"/>
        </w:rPr>
        <w:t>PricewaterhouseCoopers</w:t>
      </w:r>
      <w:r w:rsidR="00B93CEF" w:rsidRPr="009D11AD">
        <w:rPr>
          <w:rFonts w:ascii="標楷體" w:eastAsia="標楷體" w:hAnsi="標楷體" w:hint="eastAsia"/>
          <w:color w:val="000000"/>
          <w:szCs w:val="24"/>
        </w:rPr>
        <w:t>,</w:t>
      </w:r>
      <w:r w:rsidR="00E76009" w:rsidRPr="009D11AD">
        <w:rPr>
          <w:rFonts w:ascii="標楷體" w:eastAsia="標楷體" w:hAnsi="標楷體" w:hint="eastAsia"/>
          <w:color w:val="000000"/>
          <w:szCs w:val="24"/>
        </w:rPr>
        <w:t xml:space="preserve"> </w:t>
      </w:r>
      <w:r w:rsidR="00B93CEF" w:rsidRPr="009D11AD">
        <w:rPr>
          <w:rFonts w:ascii="標楷體" w:eastAsia="標楷體" w:hAnsi="標楷體"/>
          <w:color w:val="000000"/>
          <w:szCs w:val="24"/>
        </w:rPr>
        <w:t>PwC</w:t>
      </w:r>
      <w:r w:rsidR="00D441FD" w:rsidRPr="009D11AD">
        <w:rPr>
          <w:rFonts w:ascii="標楷體" w:eastAsia="標楷體" w:hAnsi="標楷體" w:hint="eastAsia"/>
          <w:color w:val="000000"/>
          <w:szCs w:val="24"/>
        </w:rPr>
        <w:t>）</w:t>
      </w:r>
      <w:r w:rsidR="00B93CEF" w:rsidRPr="009D11AD">
        <w:rPr>
          <w:rFonts w:ascii="標楷體" w:eastAsia="標楷體" w:hAnsi="標楷體"/>
          <w:szCs w:val="24"/>
        </w:rPr>
        <w:t>及美國國稅局</w:t>
      </w:r>
      <w:r w:rsidR="00D441FD" w:rsidRPr="009D11AD">
        <w:rPr>
          <w:rFonts w:ascii="標楷體" w:eastAsia="標楷體" w:hAnsi="標楷體" w:hint="eastAsia"/>
          <w:szCs w:val="24"/>
        </w:rPr>
        <w:t>（</w:t>
      </w:r>
      <w:r w:rsidR="00B93CEF" w:rsidRPr="009D11AD">
        <w:rPr>
          <w:rFonts w:ascii="標楷體" w:eastAsia="標楷體" w:hAnsi="標楷體"/>
          <w:color w:val="000000"/>
          <w:szCs w:val="24"/>
        </w:rPr>
        <w:t>Internal Revenue Service</w:t>
      </w:r>
      <w:r w:rsidR="00B93CEF" w:rsidRPr="009D11AD">
        <w:rPr>
          <w:rFonts w:ascii="標楷體" w:eastAsia="標楷體" w:hAnsi="標楷體" w:hint="eastAsia"/>
          <w:color w:val="000000"/>
          <w:szCs w:val="24"/>
        </w:rPr>
        <w:t>,</w:t>
      </w:r>
      <w:r w:rsidR="00E76009" w:rsidRPr="009D11AD">
        <w:rPr>
          <w:rFonts w:ascii="標楷體" w:eastAsia="標楷體" w:hAnsi="標楷體" w:hint="eastAsia"/>
          <w:color w:val="000000"/>
          <w:szCs w:val="24"/>
        </w:rPr>
        <w:t xml:space="preserve"> </w:t>
      </w:r>
      <w:r w:rsidR="00B93CEF" w:rsidRPr="009D11AD">
        <w:rPr>
          <w:rFonts w:ascii="標楷體" w:eastAsia="標楷體" w:hAnsi="標楷體" w:hint="eastAsia"/>
          <w:color w:val="000000"/>
          <w:szCs w:val="24"/>
        </w:rPr>
        <w:t>IRS</w:t>
      </w:r>
      <w:r w:rsidR="00D441FD" w:rsidRPr="009D11AD">
        <w:rPr>
          <w:rFonts w:ascii="標楷體" w:eastAsia="標楷體" w:hAnsi="標楷體" w:hint="eastAsia"/>
          <w:szCs w:val="24"/>
        </w:rPr>
        <w:t>）</w:t>
      </w:r>
      <w:r w:rsidR="00B93CEF" w:rsidRPr="009D11AD">
        <w:rPr>
          <w:rFonts w:ascii="標楷體" w:eastAsia="標楷體" w:hAnsi="標楷體"/>
          <w:szCs w:val="24"/>
        </w:rPr>
        <w:t>指出，數位資產種類包含「</w:t>
      </w:r>
      <w:r w:rsidR="00B93CEF" w:rsidRPr="009D11AD">
        <w:rPr>
          <w:rFonts w:ascii="標楷體" w:eastAsia="標楷體" w:hAnsi="標楷體" w:hint="eastAsia"/>
          <w:szCs w:val="24"/>
        </w:rPr>
        <w:t>加</w:t>
      </w:r>
      <w:r w:rsidR="00B93CEF" w:rsidRPr="00DA2751">
        <w:rPr>
          <w:rFonts w:ascii="標楷體" w:eastAsia="標楷體" w:hAnsi="標楷體" w:hint="eastAsia"/>
          <w:szCs w:val="24"/>
        </w:rPr>
        <w:t>密貨幣</w:t>
      </w:r>
      <w:r w:rsidR="00D441FD" w:rsidRPr="00DA2751">
        <w:rPr>
          <w:rFonts w:ascii="標楷體" w:eastAsia="標楷體" w:hAnsi="標楷體"/>
          <w:szCs w:val="24"/>
        </w:rPr>
        <w:t>（</w:t>
      </w:r>
      <w:r w:rsidR="00B93CEF" w:rsidRPr="00DA2751">
        <w:rPr>
          <w:rFonts w:ascii="標楷體" w:eastAsia="標楷體" w:hAnsi="標楷體"/>
          <w:szCs w:val="24"/>
        </w:rPr>
        <w:t>Cryptocurrency</w:t>
      </w:r>
      <w:r w:rsidR="00D441FD" w:rsidRPr="00DA2751">
        <w:rPr>
          <w:rFonts w:ascii="標楷體" w:eastAsia="標楷體" w:hAnsi="標楷體"/>
          <w:szCs w:val="24"/>
        </w:rPr>
        <w:t>）</w:t>
      </w:r>
      <w:r w:rsidR="00B93CEF" w:rsidRPr="00DA2751">
        <w:rPr>
          <w:rFonts w:ascii="標楷體" w:eastAsia="標楷體" w:hAnsi="標楷體"/>
          <w:szCs w:val="24"/>
        </w:rPr>
        <w:t>」、「</w:t>
      </w:r>
      <w:r w:rsidR="00B93CEF" w:rsidRPr="00DA2751">
        <w:rPr>
          <w:rFonts w:ascii="標楷體" w:eastAsia="標楷體" w:hAnsi="標楷體" w:hint="eastAsia"/>
          <w:szCs w:val="24"/>
        </w:rPr>
        <w:t>穩定幣</w:t>
      </w:r>
      <w:r w:rsidR="00D441FD" w:rsidRPr="00DA2751">
        <w:rPr>
          <w:rFonts w:ascii="標楷體" w:eastAsia="標楷體" w:hAnsi="標楷體"/>
          <w:szCs w:val="24"/>
        </w:rPr>
        <w:t>（</w:t>
      </w:r>
      <w:r w:rsidR="00B93CEF" w:rsidRPr="00DA2751">
        <w:rPr>
          <w:rFonts w:ascii="標楷體" w:eastAsia="標楷體" w:hAnsi="標楷體"/>
          <w:szCs w:val="24"/>
        </w:rPr>
        <w:t>Stablecoins</w:t>
      </w:r>
      <w:r w:rsidR="00D441FD" w:rsidRPr="00DA2751">
        <w:rPr>
          <w:rFonts w:ascii="標楷體" w:eastAsia="標楷體" w:hAnsi="標楷體"/>
          <w:szCs w:val="24"/>
        </w:rPr>
        <w:t>）</w:t>
      </w:r>
      <w:r w:rsidR="00B93CEF" w:rsidRPr="00DA2751">
        <w:rPr>
          <w:rFonts w:ascii="標楷體" w:eastAsia="標楷體" w:hAnsi="標楷體"/>
          <w:szCs w:val="24"/>
        </w:rPr>
        <w:t>」、「</w:t>
      </w:r>
      <w:r w:rsidR="00B93CEF" w:rsidRPr="00DA2751">
        <w:rPr>
          <w:rFonts w:ascii="標楷體" w:eastAsia="標楷體" w:hAnsi="標楷體" w:hint="eastAsia"/>
          <w:szCs w:val="24"/>
        </w:rPr>
        <w:t>非同質化代幣</w:t>
      </w:r>
      <w:r w:rsidR="00D441FD" w:rsidRPr="00DA2751">
        <w:rPr>
          <w:rFonts w:ascii="標楷體" w:eastAsia="標楷體" w:hAnsi="標楷體"/>
          <w:szCs w:val="24"/>
        </w:rPr>
        <w:t>（</w:t>
      </w:r>
      <w:r w:rsidR="00B93CEF" w:rsidRPr="00DA2751">
        <w:rPr>
          <w:rFonts w:ascii="標楷體" w:eastAsia="標楷體" w:hAnsi="標楷體"/>
          <w:szCs w:val="24"/>
        </w:rPr>
        <w:t>Non-</w:t>
      </w:r>
      <w:r w:rsidR="00E76009" w:rsidRPr="00DA2751">
        <w:rPr>
          <w:rFonts w:ascii="標楷體" w:eastAsia="標楷體" w:hAnsi="標楷體"/>
          <w:szCs w:val="24"/>
        </w:rPr>
        <w:t>F</w:t>
      </w:r>
      <w:r w:rsidR="00B93CEF" w:rsidRPr="00DA2751">
        <w:rPr>
          <w:rFonts w:ascii="標楷體" w:eastAsia="標楷體" w:hAnsi="標楷體"/>
          <w:szCs w:val="24"/>
        </w:rPr>
        <w:t xml:space="preserve">ungible </w:t>
      </w:r>
      <w:r w:rsidR="00E76009" w:rsidRPr="00DA2751">
        <w:rPr>
          <w:rFonts w:ascii="標楷體" w:eastAsia="標楷體" w:hAnsi="標楷體"/>
          <w:szCs w:val="24"/>
        </w:rPr>
        <w:t>T</w:t>
      </w:r>
      <w:r w:rsidR="00B93CEF" w:rsidRPr="00DA2751">
        <w:rPr>
          <w:rFonts w:ascii="標楷體" w:eastAsia="標楷體" w:hAnsi="標楷體"/>
          <w:szCs w:val="24"/>
        </w:rPr>
        <w:t>okens, NFT</w:t>
      </w:r>
      <w:r w:rsidR="00E76009" w:rsidRPr="00DA2751">
        <w:rPr>
          <w:rFonts w:ascii="標楷體" w:eastAsia="標楷體" w:hAnsi="標楷體"/>
          <w:szCs w:val="24"/>
        </w:rPr>
        <w:t>s</w:t>
      </w:r>
      <w:r w:rsidR="00D441FD" w:rsidRPr="00DA2751">
        <w:rPr>
          <w:rFonts w:ascii="標楷體" w:eastAsia="標楷體" w:hAnsi="標楷體"/>
          <w:szCs w:val="24"/>
        </w:rPr>
        <w:t>）</w:t>
      </w:r>
      <w:r w:rsidR="00B93CEF" w:rsidRPr="00DA2751">
        <w:rPr>
          <w:rFonts w:ascii="標楷體" w:eastAsia="標楷體" w:hAnsi="標楷體"/>
          <w:szCs w:val="24"/>
        </w:rPr>
        <w:t>」等類</w:t>
      </w:r>
      <w:r w:rsidR="00B93CEF" w:rsidRPr="00DA2751">
        <w:rPr>
          <w:rFonts w:ascii="標楷體" w:eastAsia="標楷體" w:hAnsi="標楷體"/>
          <w:color w:val="000000"/>
          <w:szCs w:val="24"/>
        </w:rPr>
        <w:t>型</w:t>
      </w:r>
      <w:r w:rsidR="00D441FD" w:rsidRPr="00DA2751">
        <w:rPr>
          <w:rFonts w:ascii="標楷體" w:eastAsia="標楷體" w:hAnsi="標楷體" w:hint="eastAsia"/>
          <w:color w:val="000000"/>
          <w:szCs w:val="24"/>
        </w:rPr>
        <w:t>（</w:t>
      </w:r>
      <w:r w:rsidR="00B93CEF" w:rsidRPr="00CE57F9">
        <w:rPr>
          <w:rFonts w:ascii="標楷體" w:eastAsia="標楷體" w:hAnsi="標楷體" w:hint="eastAsia"/>
          <w:color w:val="000000"/>
          <w:szCs w:val="24"/>
        </w:rPr>
        <w:t>表</w:t>
      </w:r>
      <w:r w:rsidR="00B93CEF" w:rsidRPr="00CE57F9">
        <w:rPr>
          <w:rFonts w:ascii="標楷體" w:eastAsia="標楷體" w:hAnsi="標楷體"/>
          <w:color w:val="000000"/>
          <w:szCs w:val="24"/>
        </w:rPr>
        <w:t>10</w:t>
      </w:r>
      <w:r w:rsidR="00D441FD" w:rsidRPr="00DA2751">
        <w:rPr>
          <w:rFonts w:ascii="標楷體" w:eastAsia="標楷體" w:hAnsi="標楷體" w:hint="eastAsia"/>
          <w:color w:val="000000"/>
          <w:szCs w:val="24"/>
        </w:rPr>
        <w:t>）</w:t>
      </w:r>
      <w:r w:rsidR="00B93CEF" w:rsidRPr="00DA2751">
        <w:rPr>
          <w:rFonts w:ascii="標楷體" w:eastAsia="標楷體" w:hAnsi="標楷體"/>
          <w:color w:val="000000"/>
          <w:szCs w:val="24"/>
        </w:rPr>
        <w:t>，使</w:t>
      </w:r>
      <w:r w:rsidR="00B93CEF" w:rsidRPr="00DA2751">
        <w:rPr>
          <w:rFonts w:ascii="標楷體" w:eastAsia="標楷體" w:hAnsi="標楷體"/>
          <w:szCs w:val="24"/>
        </w:rPr>
        <w:t>用用途除金管會規</w:t>
      </w:r>
      <w:r w:rsidR="00B93CEF" w:rsidRPr="00DA2751">
        <w:rPr>
          <w:rFonts w:ascii="標楷體" w:eastAsia="標楷體" w:hAnsi="標楷體" w:hint="eastAsia"/>
          <w:szCs w:val="24"/>
        </w:rPr>
        <w:t>劃研議之</w:t>
      </w:r>
      <w:r w:rsidR="00B93CEF" w:rsidRPr="00DA2751">
        <w:rPr>
          <w:rFonts w:ascii="標楷體" w:eastAsia="標楷體" w:hAnsi="標楷體"/>
          <w:szCs w:val="24"/>
        </w:rPr>
        <w:t>投資與支付外，尚有跨境匯兌、身分認證、商品買賣等，涉</w:t>
      </w:r>
      <w:r w:rsidR="00B93CEF" w:rsidRPr="00DA2751">
        <w:rPr>
          <w:rFonts w:ascii="標楷體" w:eastAsia="標楷體" w:hAnsi="標楷體" w:hint="eastAsia"/>
          <w:szCs w:val="24"/>
        </w:rPr>
        <w:t>及</w:t>
      </w:r>
      <w:r w:rsidR="00B93CEF" w:rsidRPr="00DA2751">
        <w:rPr>
          <w:rFonts w:ascii="標楷體" w:eastAsia="標楷體" w:hAnsi="標楷體"/>
          <w:szCs w:val="24"/>
        </w:rPr>
        <w:t>中央銀行、內政部、經濟部等相關部會之轄管事項；又據</w:t>
      </w:r>
      <w:r w:rsidR="00B93CEF" w:rsidRPr="00DA2751">
        <w:rPr>
          <w:rFonts w:ascii="標楷體" w:eastAsia="標楷體" w:hAnsi="標楷體" w:hint="eastAsia"/>
          <w:szCs w:val="24"/>
        </w:rPr>
        <w:t>台灣虛擬通貨反洗錢協會於</w:t>
      </w:r>
      <w:r w:rsidR="00B93CEF" w:rsidRPr="00DA2751">
        <w:rPr>
          <w:rFonts w:ascii="標楷體" w:eastAsia="標楷體" w:hAnsi="標楷體"/>
          <w:szCs w:val="24"/>
        </w:rPr>
        <w:t>2022</w:t>
      </w:r>
      <w:r w:rsidR="00B93CEF" w:rsidRPr="00DA2751">
        <w:rPr>
          <w:rFonts w:ascii="標楷體" w:eastAsia="標楷體" w:hAnsi="標楷體" w:hint="eastAsia"/>
          <w:szCs w:val="24"/>
        </w:rPr>
        <w:t>年出版之虛擬資產反洗錢白皮書指出，虛擬資產交易所衍生之犯罪，已出現詐欺</w:t>
      </w:r>
      <w:r w:rsidR="00D441FD" w:rsidRPr="00DA2751">
        <w:rPr>
          <w:rFonts w:ascii="標楷體" w:eastAsia="標楷體" w:hAnsi="標楷體" w:hint="eastAsia"/>
          <w:szCs w:val="24"/>
        </w:rPr>
        <w:t>（</w:t>
      </w:r>
      <w:r w:rsidR="00B93CEF" w:rsidRPr="00DA2751">
        <w:rPr>
          <w:rFonts w:ascii="標楷體" w:eastAsia="標楷體" w:hAnsi="標楷體" w:hint="eastAsia"/>
          <w:szCs w:val="24"/>
        </w:rPr>
        <w:t>騙</w:t>
      </w:r>
      <w:r w:rsidR="00D441FD" w:rsidRPr="00DA2751">
        <w:rPr>
          <w:rFonts w:ascii="標楷體" w:eastAsia="標楷體" w:hAnsi="標楷體" w:hint="eastAsia"/>
          <w:szCs w:val="24"/>
        </w:rPr>
        <w:t>）</w:t>
      </w:r>
      <w:r w:rsidR="00B93CEF" w:rsidRPr="00DA2751">
        <w:rPr>
          <w:rFonts w:ascii="標楷體" w:eastAsia="標楷體" w:hAnsi="標楷體" w:hint="eastAsia"/>
          <w:szCs w:val="24"/>
        </w:rPr>
        <w:t>、非法跨境洗錢、博弈網站不法金流移轉、逃稅等，關係網絡涵蓋場外交易商、非法虛擬資產平臺、虛擬資產交易平臺人頭帳戶、比特幣自動販賣機等，亦涉及法務部、財政部、行政院</w:t>
      </w:r>
      <w:r w:rsidR="004F76FF" w:rsidRPr="009D11AD">
        <w:rPr>
          <w:rFonts w:ascii="標楷體" w:eastAsia="標楷體" w:hAnsi="標楷體" w:hint="eastAsia"/>
          <w:szCs w:val="24"/>
        </w:rPr>
        <w:t>（</w:t>
      </w:r>
      <w:r w:rsidR="00B93CEF" w:rsidRPr="00DA2751">
        <w:rPr>
          <w:rFonts w:ascii="標楷體" w:eastAsia="標楷體" w:hAnsi="標楷體" w:hint="eastAsia"/>
          <w:szCs w:val="24"/>
        </w:rPr>
        <w:t>消費者保護處</w:t>
      </w:r>
      <w:r w:rsidR="004F76FF" w:rsidRPr="009D11AD">
        <w:rPr>
          <w:rFonts w:ascii="標楷體" w:eastAsia="標楷體" w:hAnsi="標楷體" w:hint="eastAsia"/>
          <w:szCs w:val="24"/>
        </w:rPr>
        <w:t>）</w:t>
      </w:r>
      <w:r w:rsidR="00B93CEF" w:rsidRPr="00DA2751">
        <w:rPr>
          <w:rFonts w:ascii="標楷體" w:eastAsia="標楷體" w:hAnsi="標楷體" w:hint="eastAsia"/>
          <w:szCs w:val="24"/>
        </w:rPr>
        <w:t>、網際網路相關權責機關</w:t>
      </w:r>
      <w:r w:rsidR="00D441FD" w:rsidRPr="00DA2751">
        <w:rPr>
          <w:rFonts w:ascii="標楷體" w:eastAsia="標楷體" w:hAnsi="標楷體" w:hint="eastAsia"/>
          <w:szCs w:val="24"/>
        </w:rPr>
        <w:t>（</w:t>
      </w:r>
      <w:r w:rsidR="00B93CEF" w:rsidRPr="00DA2751">
        <w:rPr>
          <w:rFonts w:ascii="標楷體" w:eastAsia="標楷體" w:hAnsi="標楷體" w:hint="eastAsia"/>
          <w:szCs w:val="24"/>
        </w:rPr>
        <w:t>如：數位發展部、</w:t>
      </w:r>
      <w:r w:rsidR="00B93CEF" w:rsidRPr="00DA2751">
        <w:rPr>
          <w:rFonts w:ascii="標楷體" w:eastAsia="標楷體" w:hAnsi="標楷體"/>
          <w:szCs w:val="24"/>
        </w:rPr>
        <w:t>國家通訊傳播委員會</w:t>
      </w:r>
      <w:r w:rsidR="00D441FD" w:rsidRPr="00DA2751">
        <w:rPr>
          <w:rFonts w:ascii="標楷體" w:eastAsia="標楷體" w:hAnsi="標楷體" w:hint="eastAsia"/>
          <w:szCs w:val="24"/>
        </w:rPr>
        <w:t>）</w:t>
      </w:r>
      <w:r w:rsidR="00B93CEF" w:rsidRPr="00DA2751">
        <w:rPr>
          <w:rFonts w:ascii="標楷體" w:eastAsia="標楷體" w:hAnsi="標楷體" w:hint="eastAsia"/>
          <w:szCs w:val="24"/>
        </w:rPr>
        <w:t>等職權，其中非同質化代幣部分，我國則尚未有明確之權責主管機關。考量虛擬資產類型及衍</w:t>
      </w:r>
      <w:r w:rsidR="00B93CEF" w:rsidRPr="00E3536A">
        <w:rPr>
          <w:rFonts w:ascii="標楷體" w:eastAsia="標楷體" w:hAnsi="標楷體" w:hint="eastAsia"/>
          <w:szCs w:val="24"/>
        </w:rPr>
        <w:t>生之犯罪態樣眾多，涉及跨部會權責，且虛擬資產市場投機炒作風氣盛行，</w:t>
      </w:r>
      <w:r w:rsidR="00B93CEF" w:rsidRPr="00E3536A">
        <w:rPr>
          <w:rFonts w:ascii="標楷體" w:eastAsia="標楷體" w:hAnsi="標楷體"/>
          <w:szCs w:val="24"/>
        </w:rPr>
        <w:t>111</w:t>
      </w:r>
      <w:r w:rsidR="00B93CEF" w:rsidRPr="00E3536A">
        <w:rPr>
          <w:rFonts w:ascii="標楷體" w:eastAsia="標楷體" w:hAnsi="標楷體"/>
          <w:szCs w:val="24"/>
        </w:rPr>
        <w:lastRenderedPageBreak/>
        <w:t>年以來國際間已</w:t>
      </w:r>
      <w:r w:rsidR="00B93CEF" w:rsidRPr="00CE6A7D">
        <w:rPr>
          <w:rFonts w:ascii="標楷體" w:eastAsia="標楷體" w:hAnsi="標楷體"/>
          <w:szCs w:val="24"/>
        </w:rPr>
        <w:t>接連出現比特幣價格大幅波動、穩定幣崩盤、虛擬資產借貸平臺凍結客戶資金、以虛擬資產為</w:t>
      </w:r>
      <w:r w:rsidR="00B93CEF" w:rsidRPr="00DA2751">
        <w:rPr>
          <w:rFonts w:ascii="標楷體" w:eastAsia="標楷體" w:hAnsi="標楷體"/>
          <w:szCs w:val="24"/>
        </w:rPr>
        <w:t>主之對沖基金破產，及曾為全球第2大虛擬資產交易所倒閉等重大風險事件</w:t>
      </w:r>
      <w:r w:rsidR="00B93CEF" w:rsidRPr="009D11AD">
        <w:rPr>
          <w:rFonts w:ascii="標楷體" w:eastAsia="標楷體" w:hAnsi="標楷體" w:hint="eastAsia"/>
          <w:szCs w:val="24"/>
        </w:rPr>
        <w:t>，顯示各國監理機關對其風險之警示不容忽視</w:t>
      </w:r>
      <w:r w:rsidR="00B93CEF" w:rsidRPr="00DA2751">
        <w:rPr>
          <w:rFonts w:ascii="標楷體" w:eastAsia="標楷體" w:hAnsi="標楷體" w:hint="eastAsia"/>
          <w:szCs w:val="24"/>
        </w:rPr>
        <w:t>，經函請行政院督促儘速邀集相關部會全面性研議管理架構，以強化對虛擬資產之監管作為與犯罪防制，並保護民眾財產安全及維護金融秩序。據復：</w:t>
      </w:r>
      <w:r w:rsidR="00CB2FCB" w:rsidRPr="00CE57F9">
        <w:rPr>
          <w:rFonts w:ascii="標楷體" w:eastAsia="標楷體" w:hAnsi="標楷體" w:hint="eastAsia"/>
          <w:szCs w:val="24"/>
        </w:rPr>
        <w:t>金管會將訂定指導原則等監理措施，循序漸進強化國內虛擬資產平臺對消費者權益之保護，又數位發展部刻正研擬第三方支付服務業者之登錄辦法，另國家通訊傳播委員會已建立網際網路技術及內容安全協調機制，並督導電信業者執行堵詐業務，未來各該權責主管機關將持續密切合作，強化對虛擬資產之監管作為與犯罪防制，以保障國人財產安全</w:t>
      </w:r>
      <w:r w:rsidR="00B93CEF" w:rsidRPr="00CE57F9">
        <w:rPr>
          <w:rFonts w:ascii="標楷體" w:eastAsia="標楷體" w:hAnsi="標楷體" w:hint="eastAsia"/>
          <w:szCs w:val="24"/>
        </w:rPr>
        <w:t>。</w:t>
      </w:r>
    </w:p>
    <w:p w14:paraId="3813DD87" w14:textId="172BEF5D" w:rsidR="009A54FE" w:rsidRPr="009D11AD" w:rsidRDefault="009A54FE" w:rsidP="00860D54">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（十四）　中央銀行因應外籍勞工匯款需求，同意開放經許可之私立就業服務機構代外籍移工向銀行辦理薪資結匯，惟同意開放依據之函釋已廢止，仍沿用迄今，衍生體制之漏洞；又近半數外籍移工循非法地下匯兌管道匯款，尤以越南籍移工最為嚴重，亟待督促檢討相關法規落日時機，並研擬強化相關監理機制，俾杜絕地下匯兌發生及確保外籍移工匯款安全</w:t>
      </w:r>
      <w:r w:rsidRPr="00DA2751">
        <w:rPr>
          <w:rFonts w:hAnsi="標楷體" w:hint="eastAsia"/>
          <w:b/>
          <w:color w:val="000000" w:themeColor="text1"/>
          <w:sz w:val="28"/>
          <w:szCs w:val="28"/>
        </w:rPr>
        <w:t>。</w:t>
      </w:r>
    </w:p>
    <w:p w14:paraId="6D265869" w14:textId="1B1B965B" w:rsidR="009A54FE" w:rsidRPr="009D11AD" w:rsidRDefault="009A54FE" w:rsidP="00CE6A7D">
      <w:pPr>
        <w:pStyle w:val="affb"/>
        <w:kinsoku/>
        <w:overflowPunct w:val="0"/>
        <w:adjustRightInd/>
        <w:spacing w:line="404" w:lineRule="exact"/>
        <w:ind w:left="0" w:firstLineChars="200" w:firstLine="480"/>
        <w:jc w:val="both"/>
        <w:rPr>
          <w:rFonts w:hAnsi="標楷體"/>
          <w:bCs/>
          <w:color w:val="000000" w:themeColor="text1"/>
          <w:sz w:val="24"/>
          <w:szCs w:val="24"/>
        </w:rPr>
      </w:pPr>
      <w:r w:rsidRPr="009D11AD">
        <w:rPr>
          <w:rFonts w:hAnsi="標楷體" w:hint="eastAsia"/>
          <w:sz w:val="24"/>
          <w:szCs w:val="24"/>
        </w:rPr>
        <w:t>政府為補足勞動力需求，允許業者引進外籍移工，截至111年底在臺外籍移工人數計有72.80萬人，伴隨外籍移工人數日增，匯兌需求及規模日益龐大。依銀行法第29條第1項規定：「除法律另有規定者外，非銀行不得經營收受存款、受託經理信託資金、公眾財產或辦理國內外匯兌業務。」</w:t>
      </w:r>
      <w:r w:rsidR="0095564A">
        <w:rPr>
          <w:rFonts w:hAnsi="標楷體" w:hint="eastAsia"/>
          <w:sz w:val="24"/>
          <w:szCs w:val="24"/>
        </w:rPr>
        <w:t>現行</w:t>
      </w:r>
      <w:r w:rsidRPr="009D11AD">
        <w:rPr>
          <w:rFonts w:hAnsi="標楷體" w:hint="eastAsia"/>
          <w:sz w:val="24"/>
          <w:szCs w:val="24"/>
        </w:rPr>
        <w:t>外籍移工合法跨國匯款管道包含親赴銀行臨櫃辦理、使用合法匯兌應用程式，及由私立就業服務機構</w:t>
      </w:r>
      <w:r w:rsidR="000751EB" w:rsidRPr="00DA2751">
        <w:rPr>
          <w:rFonts w:hAnsi="標楷體" w:cs="新細明體" w:hint="eastAsia"/>
          <w:sz w:val="24"/>
          <w:szCs w:val="24"/>
          <w:lang w:bidi="hi-IN"/>
        </w:rPr>
        <w:t>（即俗稱之人力仲介業者）</w:t>
      </w:r>
      <w:r w:rsidRPr="009D11AD">
        <w:rPr>
          <w:rFonts w:hAnsi="標楷體" w:hint="eastAsia"/>
          <w:sz w:val="24"/>
          <w:szCs w:val="24"/>
        </w:rPr>
        <w:t>代辦薪資結匯等3種途徑。</w:t>
      </w:r>
      <w:r w:rsidRPr="00DA2751">
        <w:rPr>
          <w:rFonts w:hAnsi="標楷體" w:hint="eastAsia"/>
          <w:sz w:val="24"/>
          <w:szCs w:val="24"/>
        </w:rPr>
        <w:t>依管理外匯條例第</w:t>
      </w:r>
      <w:r w:rsidRPr="00DA2751">
        <w:rPr>
          <w:rFonts w:hAnsi="標楷體"/>
          <w:sz w:val="24"/>
          <w:szCs w:val="24"/>
        </w:rPr>
        <w:t>3條規定，掌理外匯業務機關為中央銀行；又中央銀行依管理外匯條例第6條之1第1項之授權規定，訂定外匯收支或交易申報辦法、銀行業輔導客戶申報外匯收支或交易應注意事項，</w:t>
      </w:r>
      <w:r w:rsidRPr="00DA2751">
        <w:rPr>
          <w:rFonts w:hAnsi="標楷體" w:cs="新細明體" w:hint="eastAsia"/>
          <w:sz w:val="24"/>
          <w:szCs w:val="24"/>
          <w:lang w:bidi="hi-IN"/>
        </w:rPr>
        <w:t>規範銀行業、外匯證券商、私立就業服務機構、外籍移工匯兌公司及申報義務人，進行外匯交易或申報應遵循事項。</w:t>
      </w:r>
      <w:r w:rsidRPr="009D11AD">
        <w:rPr>
          <w:rFonts w:hAnsi="標楷體" w:hint="eastAsia"/>
          <w:sz w:val="24"/>
          <w:szCs w:val="24"/>
        </w:rPr>
        <w:t>有關中央銀行本於外匯業務管理機關，其防杜外籍移工地下匯兌監理作為，經查核有：1</w:t>
      </w:r>
      <w:r w:rsidRPr="009D11AD">
        <w:rPr>
          <w:rFonts w:hAnsi="標楷體"/>
          <w:sz w:val="24"/>
          <w:szCs w:val="24"/>
        </w:rPr>
        <w:t>.</w:t>
      </w:r>
      <w:r w:rsidRPr="009D11AD">
        <w:rPr>
          <w:rFonts w:hAnsi="標楷體" w:hint="eastAsia"/>
          <w:sz w:val="24"/>
          <w:szCs w:val="24"/>
        </w:rPr>
        <w:t>中央銀行為因應外籍勞工匯款需求，</w:t>
      </w:r>
      <w:r w:rsidRPr="009D11AD">
        <w:rPr>
          <w:rFonts w:hAnsi="標楷體" w:cs="新細明體" w:hint="eastAsia"/>
          <w:sz w:val="24"/>
          <w:szCs w:val="24"/>
          <w:lang w:bidi="hi-IN"/>
        </w:rPr>
        <w:t>依</w:t>
      </w:r>
      <w:r w:rsidRPr="009D11AD">
        <w:rPr>
          <w:rFonts w:hAnsi="標楷體" w:hint="eastAsia"/>
          <w:sz w:val="24"/>
          <w:szCs w:val="24"/>
        </w:rPr>
        <w:t>前行政院勞工委員會於</w:t>
      </w:r>
      <w:r w:rsidRPr="009D11AD">
        <w:rPr>
          <w:rFonts w:hAnsi="標楷體"/>
          <w:sz w:val="24"/>
          <w:szCs w:val="24"/>
        </w:rPr>
        <w:t>87</w:t>
      </w:r>
      <w:r w:rsidRPr="009D11AD">
        <w:rPr>
          <w:rFonts w:hAnsi="標楷體" w:hint="eastAsia"/>
          <w:sz w:val="24"/>
          <w:szCs w:val="24"/>
        </w:rPr>
        <w:t>年間之函釋，同意開放經許</w:t>
      </w:r>
      <w:r w:rsidRPr="009D11AD">
        <w:rPr>
          <w:rFonts w:hAnsi="標楷體" w:cs="新細明體" w:hint="eastAsia"/>
          <w:sz w:val="24"/>
          <w:szCs w:val="24"/>
          <w:lang w:bidi="hi-IN"/>
        </w:rPr>
        <w:t>可之</w:t>
      </w:r>
      <w:r w:rsidRPr="009D11AD">
        <w:rPr>
          <w:rFonts w:hAnsi="標楷體" w:hint="eastAsia"/>
          <w:sz w:val="24"/>
          <w:szCs w:val="24"/>
        </w:rPr>
        <w:t>私立就業服務機構代外籍移工向銀行辦理薪資結匯，</w:t>
      </w:r>
      <w:r w:rsidRPr="009D11AD">
        <w:rPr>
          <w:rFonts w:hAnsi="標楷體" w:cs="新細明體" w:hint="eastAsia"/>
          <w:sz w:val="24"/>
          <w:szCs w:val="24"/>
          <w:lang w:bidi="hi-IN"/>
        </w:rPr>
        <w:t>據勞動部統計資料，截至111年底止，經該部許可存續合法之私立就業服務機構達1,680家，</w:t>
      </w:r>
      <w:r w:rsidRPr="009D11AD">
        <w:rPr>
          <w:rFonts w:hAnsi="標楷體" w:hint="eastAsia"/>
          <w:sz w:val="24"/>
          <w:szCs w:val="24"/>
        </w:rPr>
        <w:t>惟查該函釋業於91年</w:t>
      </w:r>
      <w:r w:rsidRPr="009D11AD">
        <w:rPr>
          <w:rFonts w:hAnsi="標楷體"/>
          <w:sz w:val="24"/>
          <w:szCs w:val="24"/>
        </w:rPr>
        <w:t>8</w:t>
      </w:r>
      <w:r w:rsidRPr="009D11AD">
        <w:rPr>
          <w:rFonts w:hAnsi="標楷體" w:hint="eastAsia"/>
          <w:sz w:val="24"/>
          <w:szCs w:val="24"/>
        </w:rPr>
        <w:t>月間廢止，中央銀行仍沿用迄今，衍生體制之漏洞，又部分私立就業服務機構代外籍移工向銀行辦理薪資結匯發生糾紛</w:t>
      </w:r>
      <w:r w:rsidRPr="00DA2751">
        <w:rPr>
          <w:rFonts w:hAnsi="標楷體" w:hint="eastAsia"/>
          <w:sz w:val="24"/>
          <w:szCs w:val="24"/>
        </w:rPr>
        <w:t>或背信侵占等違法行為頻傳，且</w:t>
      </w:r>
      <w:r w:rsidRPr="009D11AD">
        <w:rPr>
          <w:rFonts w:hAnsi="標楷體" w:cs="新細明體" w:hint="eastAsia"/>
          <w:sz w:val="24"/>
          <w:szCs w:val="24"/>
          <w:lang w:bidi="hi-IN"/>
        </w:rPr>
        <w:t>金融監督管理委員會已於110年6月30日訂定外籍移工國外小額匯兌業務管理辦法，並特許2家電子支付機構開辦合法匯兌</w:t>
      </w:r>
      <w:r w:rsidRPr="009D11AD">
        <w:rPr>
          <w:rFonts w:hAnsi="標楷體"/>
          <w:sz w:val="24"/>
          <w:szCs w:val="24"/>
        </w:rPr>
        <w:t>App</w:t>
      </w:r>
      <w:r w:rsidRPr="009D11AD">
        <w:rPr>
          <w:rFonts w:hAnsi="標楷體" w:hint="eastAsia"/>
          <w:sz w:val="24"/>
          <w:szCs w:val="24"/>
        </w:rPr>
        <w:t>，</w:t>
      </w:r>
      <w:r w:rsidRPr="00DA2751">
        <w:rPr>
          <w:rFonts w:hAnsi="標楷體" w:hint="eastAsia"/>
          <w:sz w:val="24"/>
          <w:szCs w:val="24"/>
        </w:rPr>
        <w:t>亟待中央銀行</w:t>
      </w:r>
      <w:r w:rsidRPr="009D11AD">
        <w:rPr>
          <w:rFonts w:hAnsi="標楷體" w:cs="新細明體" w:hint="eastAsia"/>
          <w:sz w:val="24"/>
          <w:szCs w:val="24"/>
          <w:lang w:bidi="hi-IN"/>
        </w:rPr>
        <w:t>檢討</w:t>
      </w:r>
      <w:r w:rsidRPr="009D11AD">
        <w:rPr>
          <w:rFonts w:hAnsi="標楷體" w:hint="eastAsia"/>
          <w:sz w:val="24"/>
          <w:szCs w:val="24"/>
        </w:rPr>
        <w:t>開放私立就業服務機構代外籍移工向銀行辦理薪資結匯之</w:t>
      </w:r>
      <w:r w:rsidRPr="009D11AD">
        <w:rPr>
          <w:rFonts w:hAnsi="標楷體" w:cs="新細明體" w:hint="eastAsia"/>
          <w:sz w:val="24"/>
          <w:szCs w:val="24"/>
          <w:lang w:bidi="hi-IN"/>
        </w:rPr>
        <w:t>體制漏洞</w:t>
      </w:r>
      <w:r w:rsidRPr="009D11AD">
        <w:rPr>
          <w:rFonts w:hAnsi="標楷體" w:hint="eastAsia"/>
          <w:sz w:val="24"/>
          <w:szCs w:val="24"/>
        </w:rPr>
        <w:t>，並與相關部會協調評估妥訂落日時機與完備相關配套措施，以防範地下匯兌違法行為；2</w:t>
      </w:r>
      <w:r w:rsidRPr="009D11AD">
        <w:rPr>
          <w:rFonts w:hAnsi="標楷體"/>
          <w:sz w:val="24"/>
          <w:szCs w:val="24"/>
        </w:rPr>
        <w:t>.</w:t>
      </w:r>
      <w:r w:rsidRPr="009D11AD">
        <w:rPr>
          <w:rFonts w:hAnsi="標楷體" w:cs="新細明體" w:hint="eastAsia"/>
          <w:sz w:val="24"/>
          <w:szCs w:val="24"/>
          <w:lang w:bidi="hi-IN"/>
        </w:rPr>
        <w:t>據勞動部統計，截至111年底止，我國外籍移工人數約有72</w:t>
      </w:r>
      <w:r w:rsidRPr="009D11AD">
        <w:rPr>
          <w:rFonts w:hAnsi="標楷體" w:cs="新細明體"/>
          <w:sz w:val="24"/>
          <w:szCs w:val="24"/>
          <w:lang w:bidi="hi-IN"/>
        </w:rPr>
        <w:t>.80</w:t>
      </w:r>
      <w:r w:rsidRPr="009D11AD">
        <w:rPr>
          <w:rFonts w:hAnsi="標楷體" w:cs="新細明體" w:hint="eastAsia"/>
          <w:sz w:val="24"/>
          <w:szCs w:val="24"/>
          <w:lang w:bidi="hi-IN"/>
        </w:rPr>
        <w:t>萬人，以越南籍</w:t>
      </w:r>
      <w:r w:rsidRPr="009D11AD">
        <w:rPr>
          <w:rFonts w:hAnsi="標楷體" w:cs="新細明體"/>
          <w:sz w:val="24"/>
          <w:szCs w:val="24"/>
          <w:lang w:bidi="hi-IN"/>
        </w:rPr>
        <w:t>25.61</w:t>
      </w:r>
      <w:r w:rsidRPr="009D11AD">
        <w:rPr>
          <w:rFonts w:hAnsi="標楷體" w:cs="新細明體" w:hint="eastAsia"/>
          <w:sz w:val="24"/>
          <w:szCs w:val="24"/>
          <w:lang w:bidi="hi-IN"/>
        </w:rPr>
        <w:t>萬人最多</w:t>
      </w:r>
      <w:r w:rsidR="00D441FD" w:rsidRPr="009D11AD">
        <w:rPr>
          <w:rFonts w:hAnsi="標楷體" w:cs="新細明體" w:hint="eastAsia"/>
          <w:sz w:val="24"/>
          <w:szCs w:val="24"/>
          <w:lang w:bidi="hi-IN"/>
        </w:rPr>
        <w:t>（</w:t>
      </w:r>
      <w:r w:rsidRPr="009D11AD">
        <w:rPr>
          <w:rFonts w:hAnsi="標楷體" w:cs="新細明體" w:hint="eastAsia"/>
          <w:sz w:val="24"/>
          <w:szCs w:val="24"/>
          <w:lang w:bidi="hi-IN"/>
        </w:rPr>
        <w:t>占35.19％</w:t>
      </w:r>
      <w:r w:rsidR="00D441FD" w:rsidRPr="009D11AD">
        <w:rPr>
          <w:rFonts w:hAnsi="標楷體" w:cs="新細明體" w:hint="eastAsia"/>
          <w:sz w:val="24"/>
          <w:szCs w:val="24"/>
          <w:lang w:bidi="hi-IN"/>
        </w:rPr>
        <w:t>）</w:t>
      </w:r>
      <w:r w:rsidRPr="009D11AD">
        <w:rPr>
          <w:rFonts w:hAnsi="標楷體" w:cs="新細明體" w:hint="eastAsia"/>
          <w:sz w:val="24"/>
          <w:szCs w:val="24"/>
          <w:lang w:bidi="hi-IN"/>
        </w:rPr>
        <w:t>、印尼籍25.</w:t>
      </w:r>
      <w:r w:rsidRPr="009D11AD">
        <w:rPr>
          <w:rFonts w:hAnsi="標楷體" w:cs="新細明體"/>
          <w:sz w:val="24"/>
          <w:szCs w:val="24"/>
          <w:lang w:bidi="hi-IN"/>
        </w:rPr>
        <w:t>01</w:t>
      </w:r>
      <w:r w:rsidRPr="009D11AD">
        <w:rPr>
          <w:rFonts w:hAnsi="標楷體" w:cs="新細明體" w:hint="eastAsia"/>
          <w:sz w:val="24"/>
          <w:szCs w:val="24"/>
          <w:lang w:bidi="hi-IN"/>
        </w:rPr>
        <w:t>萬人次之</w:t>
      </w:r>
      <w:r w:rsidR="00D441FD" w:rsidRPr="009D11AD">
        <w:rPr>
          <w:rFonts w:hAnsi="標楷體" w:cs="新細明體" w:hint="eastAsia"/>
          <w:sz w:val="24"/>
          <w:szCs w:val="24"/>
          <w:lang w:bidi="hi-IN"/>
        </w:rPr>
        <w:t>（</w:t>
      </w:r>
      <w:r w:rsidRPr="009D11AD">
        <w:rPr>
          <w:rFonts w:hAnsi="標楷體" w:cs="新細明體" w:hint="eastAsia"/>
          <w:sz w:val="24"/>
          <w:szCs w:val="24"/>
          <w:lang w:bidi="hi-IN"/>
        </w:rPr>
        <w:t>占34.35％</w:t>
      </w:r>
      <w:r w:rsidR="00D441FD" w:rsidRPr="009D11AD">
        <w:rPr>
          <w:rFonts w:hAnsi="標楷體" w:cs="新細明體" w:hint="eastAsia"/>
          <w:sz w:val="24"/>
          <w:szCs w:val="24"/>
          <w:lang w:bidi="hi-IN"/>
        </w:rPr>
        <w:t>）</w:t>
      </w:r>
      <w:r w:rsidRPr="009D11AD">
        <w:rPr>
          <w:rFonts w:hAnsi="標楷體" w:cs="新細明體" w:hint="eastAsia"/>
          <w:sz w:val="24"/>
          <w:szCs w:val="24"/>
          <w:lang w:bidi="hi-IN"/>
        </w:rPr>
        <w:t>、菲律賓籍15.4</w:t>
      </w:r>
      <w:r w:rsidRPr="009D11AD">
        <w:rPr>
          <w:rFonts w:hAnsi="標楷體" w:cs="新細明體"/>
          <w:sz w:val="24"/>
          <w:szCs w:val="24"/>
          <w:lang w:bidi="hi-IN"/>
        </w:rPr>
        <w:t>8</w:t>
      </w:r>
      <w:r w:rsidRPr="009D11AD">
        <w:rPr>
          <w:rFonts w:hAnsi="標楷體" w:cs="新細明體" w:hint="eastAsia"/>
          <w:sz w:val="24"/>
          <w:szCs w:val="24"/>
          <w:lang w:bidi="hi-IN"/>
        </w:rPr>
        <w:t>萬人</w:t>
      </w:r>
      <w:r w:rsidR="00D441FD" w:rsidRPr="009D11AD">
        <w:rPr>
          <w:rFonts w:hAnsi="標楷體" w:cs="新細明體" w:hint="eastAsia"/>
          <w:sz w:val="24"/>
          <w:szCs w:val="24"/>
          <w:lang w:bidi="hi-IN"/>
        </w:rPr>
        <w:t>（</w:t>
      </w:r>
      <w:r w:rsidR="0071165D">
        <w:rPr>
          <w:rFonts w:hAnsi="標楷體" w:cs="新細明體" w:hint="eastAsia"/>
          <w:sz w:val="24"/>
          <w:szCs w:val="24"/>
          <w:lang w:bidi="hi-IN"/>
        </w:rPr>
        <w:t>占</w:t>
      </w:r>
      <w:r w:rsidRPr="009D11AD">
        <w:rPr>
          <w:rFonts w:hAnsi="標楷體" w:cs="新細明體"/>
          <w:sz w:val="24"/>
          <w:szCs w:val="24"/>
          <w:lang w:bidi="hi-IN"/>
        </w:rPr>
        <w:t>21.26</w:t>
      </w:r>
      <w:r w:rsidRPr="009D11AD">
        <w:rPr>
          <w:rFonts w:hAnsi="標楷體" w:cs="新細明體" w:hint="eastAsia"/>
          <w:sz w:val="24"/>
          <w:szCs w:val="24"/>
          <w:lang w:bidi="hi-IN"/>
        </w:rPr>
        <w:t>％</w:t>
      </w:r>
      <w:r w:rsidR="00D441FD" w:rsidRPr="009D11AD">
        <w:rPr>
          <w:rFonts w:hAnsi="標楷體" w:cs="新細明體" w:hint="eastAsia"/>
          <w:sz w:val="24"/>
          <w:szCs w:val="24"/>
          <w:lang w:bidi="hi-IN"/>
        </w:rPr>
        <w:t>）</w:t>
      </w:r>
      <w:r w:rsidRPr="009D11AD">
        <w:rPr>
          <w:rFonts w:hAnsi="標楷體" w:cs="新細明體" w:hint="eastAsia"/>
          <w:sz w:val="24"/>
          <w:szCs w:val="24"/>
          <w:lang w:bidi="hi-IN"/>
        </w:rPr>
        <w:t>再次之，三者合計占比逾9成。經</w:t>
      </w:r>
      <w:r w:rsidRPr="009D11AD">
        <w:rPr>
          <w:rFonts w:hAnsi="標楷體" w:hint="eastAsia"/>
          <w:sz w:val="24"/>
          <w:szCs w:val="24"/>
        </w:rPr>
        <w:t>按中央銀行統計資料研析發現，111年度有近半數外籍移工循非法</w:t>
      </w:r>
      <w:r w:rsidRPr="009D11AD">
        <w:rPr>
          <w:rFonts w:hAnsi="標楷體" w:hint="eastAsia"/>
          <w:sz w:val="24"/>
          <w:szCs w:val="24"/>
        </w:rPr>
        <w:lastRenderedPageBreak/>
        <w:t>地下</w:t>
      </w:r>
      <w:r w:rsidRPr="00CE6A7D">
        <w:rPr>
          <w:rFonts w:hAnsi="標楷體" w:hint="eastAsia"/>
          <w:sz w:val="24"/>
          <w:szCs w:val="24"/>
        </w:rPr>
        <w:t>匯兌管道匯款，尤以越南籍移工最為嚴重，影響外匯市場秩序及衍生社會問題，</w:t>
      </w:r>
      <w:r w:rsidRPr="00CE6A7D">
        <w:rPr>
          <w:rFonts w:hAnsi="標楷體" w:cs="新細明體" w:hint="eastAsia"/>
          <w:sz w:val="24"/>
          <w:szCs w:val="24"/>
          <w:lang w:bidi="hi-IN"/>
        </w:rPr>
        <w:t>中央銀行職司</w:t>
      </w:r>
      <w:r w:rsidRPr="009D11AD">
        <w:rPr>
          <w:rFonts w:hAnsi="標楷體" w:cs="新細明體" w:hint="eastAsia"/>
          <w:sz w:val="24"/>
          <w:szCs w:val="24"/>
          <w:lang w:bidi="hi-IN"/>
        </w:rPr>
        <w:t>外匯業務管理機關，</w:t>
      </w:r>
      <w:r w:rsidRPr="009D11AD">
        <w:rPr>
          <w:rFonts w:hAnsi="標楷體" w:hint="eastAsia"/>
          <w:sz w:val="24"/>
          <w:szCs w:val="24"/>
        </w:rPr>
        <w:t>辦理外匯匯入及匯出之審核與管理，亟待中央銀行</w:t>
      </w:r>
      <w:r w:rsidRPr="009D11AD">
        <w:rPr>
          <w:rFonts w:hAnsi="標楷體" w:hint="eastAsia"/>
          <w:bCs/>
          <w:sz w:val="24"/>
          <w:szCs w:val="24"/>
        </w:rPr>
        <w:t>研擬相關強化監理機制</w:t>
      </w:r>
      <w:r w:rsidRPr="009D11AD">
        <w:rPr>
          <w:rFonts w:hAnsi="標楷體" w:hint="eastAsia"/>
          <w:sz w:val="24"/>
          <w:szCs w:val="24"/>
        </w:rPr>
        <w:t>，並從</w:t>
      </w:r>
      <w:r w:rsidRPr="009D11AD">
        <w:rPr>
          <w:rFonts w:hAnsi="標楷體" w:cs="新細明體" w:hint="eastAsia"/>
          <w:sz w:val="24"/>
          <w:szCs w:val="24"/>
          <w:lang w:bidi="hi-IN"/>
        </w:rPr>
        <w:t>法制面之裁罰及阻斷措施，協力法務部、金融監督管理委員會、勞動部及內政部等相關機關加強查緝及宣導，</w:t>
      </w:r>
      <w:r w:rsidRPr="009D11AD">
        <w:rPr>
          <w:rFonts w:hAnsi="標楷體" w:hint="eastAsia"/>
          <w:sz w:val="24"/>
          <w:szCs w:val="24"/>
        </w:rPr>
        <w:t>俾杜絕地下匯兌發生及確保外籍移工匯款安全等情事，經函請行政院督促檢討改善。</w:t>
      </w:r>
      <w:r w:rsidRPr="00DA2751">
        <w:rPr>
          <w:rFonts w:hAnsi="標楷體" w:hint="eastAsia"/>
          <w:sz w:val="24"/>
          <w:szCs w:val="24"/>
        </w:rPr>
        <w:t>據復</w:t>
      </w:r>
      <w:r w:rsidRPr="00CB2FCB">
        <w:rPr>
          <w:rFonts w:hAnsi="標楷體" w:hint="eastAsia"/>
          <w:sz w:val="24"/>
          <w:szCs w:val="24"/>
        </w:rPr>
        <w:t>：</w:t>
      </w:r>
      <w:r w:rsidR="00CB2FCB" w:rsidRPr="00CE57F9">
        <w:rPr>
          <w:rFonts w:hAnsi="標楷體" w:hint="eastAsia"/>
          <w:sz w:val="24"/>
          <w:szCs w:val="24"/>
        </w:rPr>
        <w:t>已於</w:t>
      </w:r>
      <w:r w:rsidR="00CB2FCB" w:rsidRPr="00CE57F9">
        <w:rPr>
          <w:rFonts w:hAnsi="標楷體"/>
          <w:sz w:val="24"/>
          <w:szCs w:val="24"/>
        </w:rPr>
        <w:t>112年5月31日函請中央銀行會商有關機關研處</w:t>
      </w:r>
      <w:r w:rsidRPr="00CE57F9">
        <w:rPr>
          <w:rFonts w:hAnsi="標楷體" w:hint="eastAsia"/>
          <w:color w:val="FF0000"/>
          <w:sz w:val="24"/>
          <w:szCs w:val="24"/>
        </w:rPr>
        <w:t>。</w:t>
      </w:r>
    </w:p>
    <w:p w14:paraId="39E0395F" w14:textId="11BA6D3F" w:rsidR="009A54FE" w:rsidRPr="009D11AD" w:rsidRDefault="009A54FE" w:rsidP="00DA2751">
      <w:pPr>
        <w:pStyle w:val="2"/>
        <w:overflowPunct w:val="0"/>
        <w:spacing w:beforeLines="20" w:before="72" w:afterLines="20" w:after="72" w:line="44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（十五）　為加強機關政策及業務宣導經費資訊揭露，</w:t>
      </w:r>
      <w:r w:rsidR="0095564A">
        <w:rPr>
          <w:rFonts w:hAnsi="標楷體" w:hint="eastAsia"/>
          <w:b/>
          <w:color w:val="000000" w:themeColor="text1"/>
          <w:sz w:val="28"/>
          <w:szCs w:val="28"/>
        </w:rPr>
        <w:t>已</w:t>
      </w:r>
      <w:r w:rsidRPr="009D11AD">
        <w:rPr>
          <w:rFonts w:hAnsi="標楷體" w:hint="eastAsia"/>
          <w:b/>
          <w:color w:val="000000" w:themeColor="text1"/>
          <w:sz w:val="28"/>
          <w:szCs w:val="28"/>
        </w:rPr>
        <w:t>增設媒體政策及業務宣導經費專屬預算科目暨相關預算書表，惟仍有機關辦理政策及業務宣導案件製作成本未計入宣導費、未依規定揭露機關名稱或標示廣告，資訊公開未臻完整等情事，亟待研謀改善</w:t>
      </w:r>
      <w:r w:rsidRPr="009D11AD">
        <w:rPr>
          <w:rFonts w:hAnsi="標楷體" w:hint="eastAsia"/>
          <w:b/>
          <w:color w:val="000000" w:themeColor="text1"/>
          <w:spacing w:val="-2"/>
          <w:sz w:val="28"/>
          <w:szCs w:val="28"/>
        </w:rPr>
        <w:t>。</w:t>
      </w:r>
    </w:p>
    <w:p w14:paraId="6A05BBFD" w14:textId="6E4EA758" w:rsidR="009A54FE" w:rsidRPr="009D11AD" w:rsidRDefault="00CE6A7D" w:rsidP="00CE6A7D">
      <w:pPr>
        <w:overflowPunct w:val="0"/>
        <w:spacing w:line="404" w:lineRule="exact"/>
        <w:ind w:firstLineChars="200" w:firstLine="480"/>
        <w:jc w:val="both"/>
        <w:rPr>
          <w:rFonts w:ascii="標楷體" w:eastAsia="標楷體" w:hAnsi="標楷體"/>
          <w:szCs w:val="24"/>
        </w:rPr>
      </w:pPr>
      <w:r w:rsidRPr="00DA2751">
        <w:rPr>
          <w:rFonts w:ascii="標楷體" w:eastAsia="標楷體" w:hAnsi="標楷體" w:cstheme="minorBidi"/>
          <w:noProof/>
          <w:szCs w:val="24"/>
        </w:rPr>
        <mc:AlternateContent>
          <mc:Choice Requires="wps">
            <w:drawing>
              <wp:anchor distT="0" distB="0" distL="114300" distR="114300" simplePos="0" relativeHeight="251637248" behindDoc="0" locked="0" layoutInCell="1" allowOverlap="1" wp14:anchorId="1E3A4ACB" wp14:editId="1E2E7829">
                <wp:simplePos x="0" y="0"/>
                <wp:positionH relativeFrom="margin">
                  <wp:posOffset>3671570</wp:posOffset>
                </wp:positionH>
                <wp:positionV relativeFrom="margin">
                  <wp:posOffset>2766396</wp:posOffset>
                </wp:positionV>
                <wp:extent cx="2583180" cy="1950085"/>
                <wp:effectExtent l="0" t="0" r="7620" b="0"/>
                <wp:wrapSquare wrapText="bothSides"/>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3180" cy="1950085"/>
                        </a:xfrm>
                        <a:prstGeom prst="rect">
                          <a:avLst/>
                        </a:prstGeom>
                        <a:solidFill>
                          <a:srgbClr val="FFFFFF"/>
                        </a:solidFill>
                        <a:ln w="9525">
                          <a:noFill/>
                          <a:miter lim="800000"/>
                          <a:headEnd/>
                          <a:tailEnd/>
                        </a:ln>
                      </wps:spPr>
                      <wps:txbx>
                        <w:txbxContent>
                          <w:tbl>
                            <w:tblPr>
                              <w:tblW w:w="3856" w:type="dxa"/>
                              <w:tblCellMar>
                                <w:left w:w="28" w:type="dxa"/>
                                <w:right w:w="28" w:type="dxa"/>
                              </w:tblCellMar>
                              <w:tblLook w:val="04A0" w:firstRow="1" w:lastRow="0" w:firstColumn="1" w:lastColumn="0" w:noHBand="0" w:noVBand="1"/>
                            </w:tblPr>
                            <w:tblGrid>
                              <w:gridCol w:w="879"/>
                              <w:gridCol w:w="992"/>
                              <w:gridCol w:w="1038"/>
                              <w:gridCol w:w="947"/>
                            </w:tblGrid>
                            <w:tr w:rsidR="00CE57F9" w:rsidRPr="00D01E3C" w14:paraId="749B68CF" w14:textId="77777777" w:rsidTr="00850571">
                              <w:tc>
                                <w:tcPr>
                                  <w:tcW w:w="3856" w:type="dxa"/>
                                  <w:gridSpan w:val="4"/>
                                  <w:tcBorders>
                                    <w:top w:val="nil"/>
                                  </w:tcBorders>
                                  <w:shd w:val="clear" w:color="auto" w:fill="auto"/>
                                  <w:noWrap/>
                                  <w:vAlign w:val="center"/>
                                </w:tcPr>
                                <w:p w14:paraId="46E90617" w14:textId="573B6243" w:rsidR="00CE57F9" w:rsidRPr="00D01E3C" w:rsidRDefault="00CE57F9" w:rsidP="009A54FE">
                                  <w:pPr>
                                    <w:widowControl/>
                                    <w:spacing w:line="240" w:lineRule="exact"/>
                                    <w:ind w:left="709" w:hangingChars="295" w:hanging="709"/>
                                    <w:jc w:val="both"/>
                                    <w:rPr>
                                      <w:rFonts w:ascii="標楷體" w:eastAsia="標楷體" w:hAnsi="標楷體" w:cs="新細明體"/>
                                      <w:kern w:val="0"/>
                                      <w:szCs w:val="24"/>
                                    </w:rPr>
                                  </w:pPr>
                                  <w:r w:rsidRPr="00D01E3C">
                                    <w:rPr>
                                      <w:rFonts w:ascii="標楷體" w:eastAsia="標楷體" w:hAnsi="標楷體" w:cs="新細明體" w:hint="eastAsia"/>
                                      <w:b/>
                                      <w:bCs/>
                                      <w:kern w:val="0"/>
                                      <w:szCs w:val="24"/>
                                    </w:rPr>
                                    <w:t>表</w:t>
                                  </w:r>
                                  <w:r>
                                    <w:rPr>
                                      <w:rFonts w:ascii="標楷體" w:eastAsia="標楷體" w:hAnsi="標楷體" w:cs="新細明體"/>
                                      <w:b/>
                                      <w:bCs/>
                                      <w:kern w:val="0"/>
                                      <w:szCs w:val="24"/>
                                    </w:rPr>
                                    <w:t>11</w:t>
                                  </w:r>
                                  <w:r>
                                    <w:rPr>
                                      <w:rFonts w:ascii="標楷體" w:eastAsia="標楷體" w:hAnsi="標楷體" w:hint="eastAsia"/>
                                      <w:b/>
                                      <w:szCs w:val="24"/>
                                    </w:rPr>
                                    <w:t xml:space="preserve">　</w:t>
                                  </w:r>
                                  <w:r w:rsidRPr="00D01E3C">
                                    <w:rPr>
                                      <w:rFonts w:ascii="標楷體" w:eastAsia="標楷體" w:hAnsi="標楷體" w:cs="新細明體" w:hint="eastAsia"/>
                                      <w:b/>
                                      <w:bCs/>
                                      <w:kern w:val="0"/>
                                      <w:szCs w:val="24"/>
                                    </w:rPr>
                                    <w:t>111年度中央政府各機關辦理政策及業務宣導經費情形</w:t>
                                  </w:r>
                                </w:p>
                              </w:tc>
                            </w:tr>
                            <w:tr w:rsidR="00CE57F9" w:rsidRPr="00D01E3C" w14:paraId="629C71A5" w14:textId="77777777" w:rsidTr="00850571">
                              <w:tc>
                                <w:tcPr>
                                  <w:tcW w:w="3856" w:type="dxa"/>
                                  <w:gridSpan w:val="4"/>
                                  <w:tcBorders>
                                    <w:top w:val="nil"/>
                                    <w:bottom w:val="single" w:sz="4" w:space="0" w:color="auto"/>
                                  </w:tcBorders>
                                  <w:shd w:val="clear" w:color="auto" w:fill="auto"/>
                                  <w:noWrap/>
                                  <w:vAlign w:val="center"/>
                                </w:tcPr>
                                <w:p w14:paraId="0910BFD8" w14:textId="77777777" w:rsidR="00CE57F9" w:rsidRPr="00D01E3C" w:rsidRDefault="00CE57F9" w:rsidP="00850571">
                                  <w:pPr>
                                    <w:widowControl/>
                                    <w:spacing w:line="240" w:lineRule="exact"/>
                                    <w:jc w:val="right"/>
                                    <w:rPr>
                                      <w:rFonts w:ascii="標楷體" w:eastAsia="標楷體" w:hAnsi="標楷體" w:cs="新細明體"/>
                                      <w:bCs/>
                                      <w:kern w:val="0"/>
                                      <w:sz w:val="20"/>
                                    </w:rPr>
                                  </w:pPr>
                                  <w:r w:rsidRPr="00D01E3C">
                                    <w:rPr>
                                      <w:rFonts w:ascii="標楷體" w:eastAsia="標楷體" w:hAnsi="標楷體" w:cs="新細明體" w:hint="eastAsia"/>
                                      <w:bCs/>
                                      <w:kern w:val="0"/>
                                      <w:sz w:val="20"/>
                                    </w:rPr>
                                    <w:t>單位：新臺幣千元、％</w:t>
                                  </w:r>
                                </w:p>
                              </w:tc>
                            </w:tr>
                            <w:tr w:rsidR="00CE57F9" w:rsidRPr="00D01E3C" w14:paraId="0D2ABAA5" w14:textId="77777777" w:rsidTr="00DA2751">
                              <w:trPr>
                                <w:trHeight w:val="394"/>
                              </w:trPr>
                              <w:tc>
                                <w:tcPr>
                                  <w:tcW w:w="879" w:type="dxa"/>
                                  <w:tcBorders>
                                    <w:top w:val="nil"/>
                                    <w:left w:val="single" w:sz="4" w:space="0" w:color="auto"/>
                                    <w:bottom w:val="single" w:sz="4" w:space="0" w:color="auto"/>
                                    <w:right w:val="single" w:sz="4" w:space="0" w:color="auto"/>
                                  </w:tcBorders>
                                  <w:shd w:val="clear" w:color="auto" w:fill="auto"/>
                                  <w:noWrap/>
                                  <w:vAlign w:val="center"/>
                                  <w:hideMark/>
                                </w:tcPr>
                                <w:p w14:paraId="26C0BF47" w14:textId="77777777" w:rsidR="00CE57F9" w:rsidRPr="00D01E3C" w:rsidRDefault="00CE57F9" w:rsidP="00850571">
                                  <w:pPr>
                                    <w:widowControl/>
                                    <w:spacing w:line="200" w:lineRule="exact"/>
                                    <w:jc w:val="center"/>
                                    <w:rPr>
                                      <w:rFonts w:ascii="標楷體" w:eastAsia="標楷體" w:hAnsi="標楷體" w:cs="新細明體"/>
                                      <w:kern w:val="0"/>
                                      <w:sz w:val="20"/>
                                    </w:rPr>
                                  </w:pPr>
                                  <w:r w:rsidRPr="00D01E3C">
                                    <w:rPr>
                                      <w:rFonts w:ascii="標楷體" w:eastAsia="標楷體" w:hAnsi="標楷體" w:cs="新細明體" w:hint="eastAsia"/>
                                      <w:kern w:val="0"/>
                                      <w:sz w:val="20"/>
                                    </w:rPr>
                                    <w:t>預算別</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B76D5B1" w14:textId="6EC736C0" w:rsidR="00CE57F9" w:rsidRPr="00D01E3C" w:rsidRDefault="00CE57F9">
                                  <w:pPr>
                                    <w:widowControl/>
                                    <w:spacing w:line="200" w:lineRule="exact"/>
                                    <w:jc w:val="center"/>
                                    <w:rPr>
                                      <w:rFonts w:ascii="標楷體" w:eastAsia="標楷體" w:hAnsi="標楷體" w:cs="新細明體"/>
                                      <w:kern w:val="0"/>
                                      <w:sz w:val="20"/>
                                    </w:rPr>
                                  </w:pPr>
                                  <w:r w:rsidRPr="00D01E3C">
                                    <w:rPr>
                                      <w:rFonts w:ascii="標楷體" w:eastAsia="標楷體" w:hAnsi="標楷體" w:cs="新細明體" w:hint="eastAsia"/>
                                      <w:kern w:val="0"/>
                                      <w:sz w:val="20"/>
                                    </w:rPr>
                                    <w:t>預算數</w:t>
                                  </w:r>
                                </w:p>
                              </w:tc>
                              <w:tc>
                                <w:tcPr>
                                  <w:tcW w:w="1038" w:type="dxa"/>
                                  <w:tcBorders>
                                    <w:top w:val="single" w:sz="4" w:space="0" w:color="auto"/>
                                    <w:left w:val="nil"/>
                                    <w:bottom w:val="single" w:sz="4" w:space="0" w:color="auto"/>
                                    <w:right w:val="single" w:sz="4" w:space="0" w:color="auto"/>
                                  </w:tcBorders>
                                  <w:shd w:val="clear" w:color="auto" w:fill="auto"/>
                                  <w:noWrap/>
                                  <w:vAlign w:val="center"/>
                                  <w:hideMark/>
                                </w:tcPr>
                                <w:p w14:paraId="28F0CB68" w14:textId="2075DF2E" w:rsidR="00CE57F9" w:rsidRPr="004509B7" w:rsidRDefault="00CE57F9">
                                  <w:pPr>
                                    <w:widowControl/>
                                    <w:spacing w:line="200" w:lineRule="exact"/>
                                    <w:jc w:val="center"/>
                                    <w:rPr>
                                      <w:rFonts w:ascii="標楷體" w:eastAsia="標楷體" w:hAnsi="標楷體" w:cs="新細明體"/>
                                      <w:kern w:val="0"/>
                                      <w:sz w:val="20"/>
                                    </w:rPr>
                                  </w:pPr>
                                  <w:r w:rsidRPr="00D01E3C">
                                    <w:rPr>
                                      <w:rFonts w:ascii="標楷體" w:eastAsia="標楷體" w:hAnsi="標楷體" w:cs="新細明體" w:hint="eastAsia"/>
                                      <w:kern w:val="0"/>
                                      <w:sz w:val="20"/>
                                    </w:rPr>
                                    <w:t>決算數</w:t>
                                  </w:r>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5E480D15" w14:textId="6C6369BB" w:rsidR="00CE57F9" w:rsidRPr="00D01E3C" w:rsidRDefault="00CE57F9" w:rsidP="00DA2751">
                                  <w:pPr>
                                    <w:overflowPunct w:val="0"/>
                                    <w:spacing w:line="200" w:lineRule="exact"/>
                                    <w:jc w:val="center"/>
                                    <w:rPr>
                                      <w:rFonts w:ascii="標楷體" w:eastAsia="標楷體" w:hAnsi="標楷體" w:cs="新細明體"/>
                                      <w:kern w:val="0"/>
                                      <w:sz w:val="20"/>
                                    </w:rPr>
                                  </w:pPr>
                                  <w:r w:rsidRPr="007019A5">
                                    <w:rPr>
                                      <w:rFonts w:ascii="標楷體" w:eastAsia="標楷體" w:hAnsi="標楷體" w:hint="eastAsia"/>
                                      <w:sz w:val="20"/>
                                    </w:rPr>
                                    <w:t>比率</w:t>
                                  </w:r>
                                </w:p>
                              </w:tc>
                            </w:tr>
                            <w:tr w:rsidR="00CE57F9" w:rsidRPr="00D01E3C" w14:paraId="7A867062" w14:textId="77777777" w:rsidTr="00DA2751">
                              <w:trPr>
                                <w:trHeight w:val="352"/>
                              </w:trPr>
                              <w:tc>
                                <w:tcPr>
                                  <w:tcW w:w="879" w:type="dxa"/>
                                  <w:tcBorders>
                                    <w:top w:val="nil"/>
                                    <w:left w:val="single" w:sz="4" w:space="0" w:color="auto"/>
                                    <w:bottom w:val="single" w:sz="4" w:space="0" w:color="auto"/>
                                    <w:right w:val="single" w:sz="4" w:space="0" w:color="auto"/>
                                  </w:tcBorders>
                                  <w:shd w:val="clear" w:color="auto" w:fill="auto"/>
                                  <w:noWrap/>
                                  <w:vAlign w:val="center"/>
                                  <w:hideMark/>
                                </w:tcPr>
                                <w:p w14:paraId="3B470184" w14:textId="77777777" w:rsidR="00CE57F9" w:rsidRPr="00D01E3C" w:rsidRDefault="00CE57F9" w:rsidP="00850571">
                                  <w:pPr>
                                    <w:widowControl/>
                                    <w:spacing w:line="200" w:lineRule="exact"/>
                                    <w:jc w:val="center"/>
                                    <w:rPr>
                                      <w:rFonts w:ascii="標楷體" w:eastAsia="標楷體" w:hAnsi="標楷體" w:cs="新細明體"/>
                                      <w:b/>
                                      <w:bCs/>
                                      <w:kern w:val="0"/>
                                      <w:sz w:val="20"/>
                                    </w:rPr>
                                  </w:pPr>
                                  <w:r w:rsidRPr="00D01E3C">
                                    <w:rPr>
                                      <w:rFonts w:ascii="標楷體" w:eastAsia="標楷體" w:hAnsi="標楷體" w:cs="新細明體" w:hint="eastAsia"/>
                                      <w:b/>
                                      <w:bCs/>
                                      <w:kern w:val="0"/>
                                      <w:sz w:val="20"/>
                                    </w:rPr>
                                    <w:t>合  計</w:t>
                                  </w:r>
                                </w:p>
                              </w:tc>
                              <w:tc>
                                <w:tcPr>
                                  <w:tcW w:w="992" w:type="dxa"/>
                                  <w:tcBorders>
                                    <w:top w:val="nil"/>
                                    <w:left w:val="nil"/>
                                    <w:bottom w:val="single" w:sz="4" w:space="0" w:color="auto"/>
                                    <w:right w:val="single" w:sz="4" w:space="0" w:color="auto"/>
                                  </w:tcBorders>
                                  <w:shd w:val="clear" w:color="auto" w:fill="auto"/>
                                  <w:noWrap/>
                                  <w:vAlign w:val="center"/>
                                  <w:hideMark/>
                                </w:tcPr>
                                <w:p w14:paraId="2E11F9EC" w14:textId="77777777" w:rsidR="00CE57F9" w:rsidRPr="00D01E3C" w:rsidRDefault="00CE57F9" w:rsidP="00850571">
                                  <w:pPr>
                                    <w:widowControl/>
                                    <w:spacing w:line="200" w:lineRule="exact"/>
                                    <w:jc w:val="right"/>
                                    <w:rPr>
                                      <w:rFonts w:ascii="標楷體" w:eastAsia="標楷體" w:hAnsi="標楷體" w:cs="新細明體"/>
                                      <w:b/>
                                      <w:bCs/>
                                      <w:kern w:val="0"/>
                                      <w:sz w:val="20"/>
                                    </w:rPr>
                                  </w:pPr>
                                  <w:r w:rsidRPr="00D01E3C">
                                    <w:rPr>
                                      <w:rFonts w:ascii="標楷體" w:eastAsia="標楷體" w:hAnsi="標楷體" w:cs="新細明體" w:hint="eastAsia"/>
                                      <w:b/>
                                      <w:bCs/>
                                      <w:kern w:val="0"/>
                                      <w:sz w:val="20"/>
                                    </w:rPr>
                                    <w:t>1,653,777</w:t>
                                  </w:r>
                                </w:p>
                              </w:tc>
                              <w:tc>
                                <w:tcPr>
                                  <w:tcW w:w="1038" w:type="dxa"/>
                                  <w:tcBorders>
                                    <w:top w:val="nil"/>
                                    <w:left w:val="nil"/>
                                    <w:bottom w:val="single" w:sz="4" w:space="0" w:color="auto"/>
                                    <w:right w:val="single" w:sz="4" w:space="0" w:color="auto"/>
                                  </w:tcBorders>
                                  <w:shd w:val="clear" w:color="auto" w:fill="auto"/>
                                  <w:noWrap/>
                                  <w:vAlign w:val="center"/>
                                  <w:hideMark/>
                                </w:tcPr>
                                <w:p w14:paraId="02ADABD4" w14:textId="77777777" w:rsidR="00CE57F9" w:rsidRPr="00D01E3C" w:rsidRDefault="00CE57F9" w:rsidP="00850571">
                                  <w:pPr>
                                    <w:widowControl/>
                                    <w:spacing w:line="200" w:lineRule="exact"/>
                                    <w:jc w:val="right"/>
                                    <w:rPr>
                                      <w:rFonts w:ascii="標楷體" w:eastAsia="標楷體" w:hAnsi="標楷體" w:cs="新細明體"/>
                                      <w:b/>
                                      <w:bCs/>
                                      <w:kern w:val="0"/>
                                      <w:sz w:val="20"/>
                                    </w:rPr>
                                  </w:pPr>
                                  <w:r w:rsidRPr="00D01E3C">
                                    <w:rPr>
                                      <w:rFonts w:ascii="標楷體" w:eastAsia="標楷體" w:hAnsi="標楷體" w:cs="新細明體" w:hint="eastAsia"/>
                                      <w:b/>
                                      <w:bCs/>
                                      <w:kern w:val="0"/>
                                      <w:sz w:val="20"/>
                                    </w:rPr>
                                    <w:t>1,385,983</w:t>
                                  </w:r>
                                </w:p>
                              </w:tc>
                              <w:tc>
                                <w:tcPr>
                                  <w:tcW w:w="947" w:type="dxa"/>
                                  <w:tcBorders>
                                    <w:top w:val="nil"/>
                                    <w:left w:val="nil"/>
                                    <w:bottom w:val="single" w:sz="4" w:space="0" w:color="auto"/>
                                    <w:right w:val="single" w:sz="4" w:space="0" w:color="auto"/>
                                  </w:tcBorders>
                                  <w:shd w:val="clear" w:color="auto" w:fill="auto"/>
                                  <w:noWrap/>
                                  <w:vAlign w:val="center"/>
                                  <w:hideMark/>
                                </w:tcPr>
                                <w:p w14:paraId="5BA5965E" w14:textId="77777777" w:rsidR="00CE57F9" w:rsidRPr="00D01E3C" w:rsidRDefault="00CE57F9" w:rsidP="00850571">
                                  <w:pPr>
                                    <w:widowControl/>
                                    <w:spacing w:line="200" w:lineRule="exact"/>
                                    <w:jc w:val="right"/>
                                    <w:rPr>
                                      <w:rFonts w:ascii="標楷體" w:eastAsia="標楷體" w:hAnsi="標楷體" w:cs="新細明體"/>
                                      <w:b/>
                                      <w:bCs/>
                                      <w:kern w:val="0"/>
                                      <w:sz w:val="20"/>
                                    </w:rPr>
                                  </w:pPr>
                                  <w:r w:rsidRPr="00D01E3C">
                                    <w:rPr>
                                      <w:rFonts w:ascii="標楷體" w:eastAsia="標楷體" w:hAnsi="標楷體" w:cs="新細明體" w:hint="eastAsia"/>
                                      <w:b/>
                                      <w:bCs/>
                                      <w:kern w:val="0"/>
                                      <w:sz w:val="20"/>
                                    </w:rPr>
                                    <w:t>83.81</w:t>
                                  </w:r>
                                </w:p>
                              </w:tc>
                            </w:tr>
                            <w:tr w:rsidR="00CE57F9" w:rsidRPr="00D01E3C" w14:paraId="068287CC" w14:textId="77777777" w:rsidTr="00850571">
                              <w:trPr>
                                <w:trHeight w:val="323"/>
                              </w:trPr>
                              <w:tc>
                                <w:tcPr>
                                  <w:tcW w:w="879" w:type="dxa"/>
                                  <w:tcBorders>
                                    <w:top w:val="nil"/>
                                    <w:left w:val="single" w:sz="4" w:space="0" w:color="auto"/>
                                    <w:bottom w:val="single" w:sz="4" w:space="0" w:color="auto"/>
                                    <w:right w:val="single" w:sz="4" w:space="0" w:color="auto"/>
                                  </w:tcBorders>
                                  <w:shd w:val="clear" w:color="auto" w:fill="auto"/>
                                  <w:noWrap/>
                                  <w:vAlign w:val="center"/>
                                  <w:hideMark/>
                                </w:tcPr>
                                <w:p w14:paraId="12926773" w14:textId="77777777" w:rsidR="00CE57F9" w:rsidRPr="00D01E3C" w:rsidRDefault="00CE57F9" w:rsidP="00850571">
                                  <w:pPr>
                                    <w:widowControl/>
                                    <w:spacing w:line="200" w:lineRule="exact"/>
                                    <w:jc w:val="distribute"/>
                                    <w:rPr>
                                      <w:rFonts w:ascii="標楷體" w:eastAsia="標楷體" w:hAnsi="標楷體" w:cs="新細明體"/>
                                      <w:kern w:val="0"/>
                                      <w:sz w:val="20"/>
                                    </w:rPr>
                                  </w:pPr>
                                  <w:r w:rsidRPr="00D01E3C">
                                    <w:rPr>
                                      <w:rFonts w:ascii="標楷體" w:eastAsia="標楷體" w:hAnsi="標楷體" w:cs="新細明體" w:hint="eastAsia"/>
                                      <w:kern w:val="0"/>
                                      <w:sz w:val="20"/>
                                    </w:rPr>
                                    <w:t>公務機關</w:t>
                                  </w:r>
                                </w:p>
                              </w:tc>
                              <w:tc>
                                <w:tcPr>
                                  <w:tcW w:w="992" w:type="dxa"/>
                                  <w:tcBorders>
                                    <w:top w:val="nil"/>
                                    <w:left w:val="nil"/>
                                    <w:bottom w:val="single" w:sz="4" w:space="0" w:color="auto"/>
                                    <w:right w:val="single" w:sz="4" w:space="0" w:color="auto"/>
                                  </w:tcBorders>
                                  <w:shd w:val="clear" w:color="auto" w:fill="auto"/>
                                  <w:noWrap/>
                                  <w:vAlign w:val="center"/>
                                  <w:hideMark/>
                                </w:tcPr>
                                <w:p w14:paraId="15976665" w14:textId="77777777" w:rsidR="00CE57F9" w:rsidRPr="00D01E3C" w:rsidRDefault="00CE57F9" w:rsidP="00850571">
                                  <w:pPr>
                                    <w:widowControl/>
                                    <w:spacing w:line="200" w:lineRule="exact"/>
                                    <w:jc w:val="right"/>
                                    <w:rPr>
                                      <w:rFonts w:ascii="標楷體" w:eastAsia="標楷體" w:hAnsi="標楷體" w:cs="新細明體"/>
                                      <w:kern w:val="0"/>
                                      <w:sz w:val="20"/>
                                    </w:rPr>
                                  </w:pPr>
                                  <w:r w:rsidRPr="00D01E3C">
                                    <w:rPr>
                                      <w:rFonts w:ascii="標楷體" w:eastAsia="標楷體" w:hAnsi="標楷體" w:cs="新細明體" w:hint="eastAsia"/>
                                      <w:kern w:val="0"/>
                                      <w:sz w:val="20"/>
                                    </w:rPr>
                                    <w:t>778,791</w:t>
                                  </w:r>
                                </w:p>
                              </w:tc>
                              <w:tc>
                                <w:tcPr>
                                  <w:tcW w:w="1038" w:type="dxa"/>
                                  <w:tcBorders>
                                    <w:top w:val="nil"/>
                                    <w:left w:val="nil"/>
                                    <w:bottom w:val="single" w:sz="4" w:space="0" w:color="auto"/>
                                    <w:right w:val="single" w:sz="4" w:space="0" w:color="auto"/>
                                  </w:tcBorders>
                                  <w:shd w:val="clear" w:color="auto" w:fill="auto"/>
                                  <w:noWrap/>
                                  <w:vAlign w:val="center"/>
                                  <w:hideMark/>
                                </w:tcPr>
                                <w:p w14:paraId="6C3FEC55" w14:textId="77777777" w:rsidR="00CE57F9" w:rsidRPr="00D01E3C" w:rsidRDefault="00CE57F9" w:rsidP="00850571">
                                  <w:pPr>
                                    <w:widowControl/>
                                    <w:spacing w:line="200" w:lineRule="exact"/>
                                    <w:jc w:val="right"/>
                                    <w:rPr>
                                      <w:rFonts w:ascii="標楷體" w:eastAsia="標楷體" w:hAnsi="標楷體" w:cs="新細明體"/>
                                      <w:kern w:val="0"/>
                                      <w:sz w:val="20"/>
                                    </w:rPr>
                                  </w:pPr>
                                  <w:r w:rsidRPr="00D01E3C">
                                    <w:rPr>
                                      <w:rFonts w:ascii="標楷體" w:eastAsia="標楷體" w:hAnsi="標楷體" w:cs="新細明體" w:hint="eastAsia"/>
                                      <w:kern w:val="0"/>
                                      <w:sz w:val="20"/>
                                    </w:rPr>
                                    <w:t>640,294</w:t>
                                  </w:r>
                                </w:p>
                              </w:tc>
                              <w:tc>
                                <w:tcPr>
                                  <w:tcW w:w="947" w:type="dxa"/>
                                  <w:tcBorders>
                                    <w:top w:val="nil"/>
                                    <w:left w:val="nil"/>
                                    <w:bottom w:val="single" w:sz="4" w:space="0" w:color="auto"/>
                                    <w:right w:val="single" w:sz="4" w:space="0" w:color="auto"/>
                                  </w:tcBorders>
                                  <w:shd w:val="clear" w:color="auto" w:fill="auto"/>
                                  <w:noWrap/>
                                  <w:vAlign w:val="center"/>
                                  <w:hideMark/>
                                </w:tcPr>
                                <w:p w14:paraId="6B5A6932" w14:textId="77777777" w:rsidR="00CE57F9" w:rsidRPr="00D01E3C" w:rsidRDefault="00CE57F9" w:rsidP="00850571">
                                  <w:pPr>
                                    <w:widowControl/>
                                    <w:spacing w:line="200" w:lineRule="exact"/>
                                    <w:jc w:val="right"/>
                                    <w:rPr>
                                      <w:rFonts w:ascii="標楷體" w:eastAsia="標楷體" w:hAnsi="標楷體" w:cs="新細明體"/>
                                      <w:kern w:val="0"/>
                                      <w:sz w:val="20"/>
                                    </w:rPr>
                                  </w:pPr>
                                  <w:r w:rsidRPr="00D01E3C">
                                    <w:rPr>
                                      <w:rFonts w:ascii="標楷體" w:eastAsia="標楷體" w:hAnsi="標楷體" w:cs="新細明體" w:hint="eastAsia"/>
                                      <w:kern w:val="0"/>
                                      <w:sz w:val="20"/>
                                    </w:rPr>
                                    <w:t>82.22</w:t>
                                  </w:r>
                                </w:p>
                              </w:tc>
                            </w:tr>
                            <w:tr w:rsidR="00CE57F9" w:rsidRPr="00D01E3C" w14:paraId="2FCAE4D4" w14:textId="77777777" w:rsidTr="00850571">
                              <w:trPr>
                                <w:trHeight w:val="270"/>
                              </w:trPr>
                              <w:tc>
                                <w:tcPr>
                                  <w:tcW w:w="879" w:type="dxa"/>
                                  <w:tcBorders>
                                    <w:top w:val="nil"/>
                                    <w:left w:val="single" w:sz="4" w:space="0" w:color="auto"/>
                                    <w:bottom w:val="single" w:sz="4" w:space="0" w:color="auto"/>
                                    <w:right w:val="single" w:sz="4" w:space="0" w:color="auto"/>
                                  </w:tcBorders>
                                  <w:shd w:val="clear" w:color="auto" w:fill="auto"/>
                                  <w:noWrap/>
                                  <w:vAlign w:val="center"/>
                                  <w:hideMark/>
                                </w:tcPr>
                                <w:p w14:paraId="58A04E7C" w14:textId="77777777" w:rsidR="00CE57F9" w:rsidRPr="00D01E3C" w:rsidRDefault="00CE57F9" w:rsidP="00850571">
                                  <w:pPr>
                                    <w:widowControl/>
                                    <w:spacing w:line="200" w:lineRule="exact"/>
                                    <w:jc w:val="distribute"/>
                                    <w:rPr>
                                      <w:rFonts w:ascii="標楷體" w:eastAsia="標楷體" w:hAnsi="標楷體" w:cs="新細明體"/>
                                      <w:kern w:val="0"/>
                                      <w:sz w:val="20"/>
                                    </w:rPr>
                                  </w:pPr>
                                  <w:r w:rsidRPr="00D01E3C">
                                    <w:rPr>
                                      <w:rFonts w:ascii="標楷體" w:eastAsia="標楷體" w:hAnsi="標楷體" w:cs="新細明體" w:hint="eastAsia"/>
                                      <w:kern w:val="0"/>
                                      <w:sz w:val="20"/>
                                    </w:rPr>
                                    <w:t>營業基金</w:t>
                                  </w:r>
                                </w:p>
                              </w:tc>
                              <w:tc>
                                <w:tcPr>
                                  <w:tcW w:w="992" w:type="dxa"/>
                                  <w:tcBorders>
                                    <w:top w:val="nil"/>
                                    <w:left w:val="nil"/>
                                    <w:bottom w:val="single" w:sz="4" w:space="0" w:color="auto"/>
                                    <w:right w:val="single" w:sz="4" w:space="0" w:color="auto"/>
                                  </w:tcBorders>
                                  <w:shd w:val="clear" w:color="auto" w:fill="auto"/>
                                  <w:noWrap/>
                                  <w:vAlign w:val="center"/>
                                  <w:hideMark/>
                                </w:tcPr>
                                <w:p w14:paraId="18EFDFCA" w14:textId="77777777" w:rsidR="00CE57F9" w:rsidRPr="00D01E3C" w:rsidRDefault="00CE57F9" w:rsidP="00850571">
                                  <w:pPr>
                                    <w:widowControl/>
                                    <w:spacing w:line="200" w:lineRule="exact"/>
                                    <w:jc w:val="right"/>
                                    <w:rPr>
                                      <w:rFonts w:ascii="標楷體" w:eastAsia="標楷體" w:hAnsi="標楷體" w:cs="新細明體"/>
                                      <w:kern w:val="0"/>
                                      <w:sz w:val="20"/>
                                    </w:rPr>
                                  </w:pPr>
                                  <w:r w:rsidRPr="00D01E3C">
                                    <w:rPr>
                                      <w:rFonts w:ascii="標楷體" w:eastAsia="標楷體" w:hAnsi="標楷體" w:cs="新細明體" w:hint="eastAsia"/>
                                      <w:kern w:val="0"/>
                                      <w:sz w:val="20"/>
                                    </w:rPr>
                                    <w:t>136,528</w:t>
                                  </w:r>
                                </w:p>
                              </w:tc>
                              <w:tc>
                                <w:tcPr>
                                  <w:tcW w:w="1038" w:type="dxa"/>
                                  <w:tcBorders>
                                    <w:top w:val="nil"/>
                                    <w:left w:val="nil"/>
                                    <w:bottom w:val="single" w:sz="4" w:space="0" w:color="auto"/>
                                    <w:right w:val="single" w:sz="4" w:space="0" w:color="auto"/>
                                  </w:tcBorders>
                                  <w:shd w:val="clear" w:color="auto" w:fill="auto"/>
                                  <w:noWrap/>
                                  <w:vAlign w:val="center"/>
                                  <w:hideMark/>
                                </w:tcPr>
                                <w:p w14:paraId="4568FBB5" w14:textId="77777777" w:rsidR="00CE57F9" w:rsidRPr="00D01E3C" w:rsidRDefault="00CE57F9" w:rsidP="00850571">
                                  <w:pPr>
                                    <w:widowControl/>
                                    <w:spacing w:line="200" w:lineRule="exact"/>
                                    <w:jc w:val="right"/>
                                    <w:rPr>
                                      <w:rFonts w:ascii="標楷體" w:eastAsia="標楷體" w:hAnsi="標楷體" w:cs="新細明體"/>
                                      <w:kern w:val="0"/>
                                      <w:sz w:val="20"/>
                                    </w:rPr>
                                  </w:pPr>
                                  <w:r w:rsidRPr="00D01E3C">
                                    <w:rPr>
                                      <w:rFonts w:ascii="標楷體" w:eastAsia="標楷體" w:hAnsi="標楷體" w:cs="新細明體" w:hint="eastAsia"/>
                                      <w:kern w:val="0"/>
                                      <w:sz w:val="20"/>
                                    </w:rPr>
                                    <w:t>115,746</w:t>
                                  </w:r>
                                </w:p>
                              </w:tc>
                              <w:tc>
                                <w:tcPr>
                                  <w:tcW w:w="947" w:type="dxa"/>
                                  <w:tcBorders>
                                    <w:top w:val="nil"/>
                                    <w:left w:val="nil"/>
                                    <w:bottom w:val="single" w:sz="4" w:space="0" w:color="auto"/>
                                    <w:right w:val="single" w:sz="4" w:space="0" w:color="auto"/>
                                  </w:tcBorders>
                                  <w:shd w:val="clear" w:color="auto" w:fill="auto"/>
                                  <w:noWrap/>
                                  <w:vAlign w:val="center"/>
                                  <w:hideMark/>
                                </w:tcPr>
                                <w:p w14:paraId="678D38DA" w14:textId="77777777" w:rsidR="00CE57F9" w:rsidRPr="00D01E3C" w:rsidRDefault="00CE57F9" w:rsidP="00850571">
                                  <w:pPr>
                                    <w:widowControl/>
                                    <w:spacing w:line="200" w:lineRule="exact"/>
                                    <w:jc w:val="right"/>
                                    <w:rPr>
                                      <w:rFonts w:ascii="標楷體" w:eastAsia="標楷體" w:hAnsi="標楷體" w:cs="新細明體"/>
                                      <w:kern w:val="0"/>
                                      <w:sz w:val="20"/>
                                    </w:rPr>
                                  </w:pPr>
                                  <w:r w:rsidRPr="00D01E3C">
                                    <w:rPr>
                                      <w:rFonts w:ascii="標楷體" w:eastAsia="標楷體" w:hAnsi="標楷體" w:cs="新細明體" w:hint="eastAsia"/>
                                      <w:kern w:val="0"/>
                                      <w:sz w:val="20"/>
                                    </w:rPr>
                                    <w:t>84.78</w:t>
                                  </w:r>
                                </w:p>
                              </w:tc>
                            </w:tr>
                            <w:tr w:rsidR="00CE57F9" w:rsidRPr="00D01E3C" w14:paraId="2C54FE57" w14:textId="77777777" w:rsidTr="00850571">
                              <w:trPr>
                                <w:trHeight w:val="168"/>
                              </w:trPr>
                              <w:tc>
                                <w:tcPr>
                                  <w:tcW w:w="879" w:type="dxa"/>
                                  <w:tcBorders>
                                    <w:top w:val="nil"/>
                                    <w:left w:val="single" w:sz="4" w:space="0" w:color="auto"/>
                                    <w:bottom w:val="single" w:sz="4" w:space="0" w:color="auto"/>
                                    <w:right w:val="single" w:sz="4" w:space="0" w:color="auto"/>
                                  </w:tcBorders>
                                  <w:shd w:val="clear" w:color="auto" w:fill="auto"/>
                                  <w:noWrap/>
                                  <w:vAlign w:val="center"/>
                                  <w:hideMark/>
                                </w:tcPr>
                                <w:p w14:paraId="15B9667F" w14:textId="77777777" w:rsidR="00CE57F9" w:rsidRDefault="00CE57F9" w:rsidP="00850571">
                                  <w:pPr>
                                    <w:widowControl/>
                                    <w:spacing w:line="200" w:lineRule="exact"/>
                                    <w:jc w:val="distribute"/>
                                    <w:rPr>
                                      <w:rFonts w:ascii="標楷體" w:eastAsia="標楷體" w:hAnsi="標楷體" w:cs="新細明體"/>
                                      <w:kern w:val="0"/>
                                      <w:sz w:val="20"/>
                                    </w:rPr>
                                  </w:pPr>
                                  <w:r w:rsidRPr="00D01E3C">
                                    <w:rPr>
                                      <w:rFonts w:ascii="標楷體" w:eastAsia="標楷體" w:hAnsi="標楷體" w:cs="新細明體" w:hint="eastAsia"/>
                                      <w:kern w:val="0"/>
                                      <w:sz w:val="20"/>
                                    </w:rPr>
                                    <w:t>非營業</w:t>
                                  </w:r>
                                </w:p>
                                <w:p w14:paraId="049DC293" w14:textId="77777777" w:rsidR="00CE57F9" w:rsidRPr="00D01E3C" w:rsidRDefault="00CE57F9" w:rsidP="00850571">
                                  <w:pPr>
                                    <w:widowControl/>
                                    <w:spacing w:line="200" w:lineRule="exact"/>
                                    <w:jc w:val="distribute"/>
                                    <w:rPr>
                                      <w:rFonts w:ascii="標楷體" w:eastAsia="標楷體" w:hAnsi="標楷體" w:cs="新細明體"/>
                                      <w:kern w:val="0"/>
                                      <w:sz w:val="20"/>
                                    </w:rPr>
                                  </w:pPr>
                                  <w:r w:rsidRPr="00D01E3C">
                                    <w:rPr>
                                      <w:rFonts w:ascii="標楷體" w:eastAsia="標楷體" w:hAnsi="標楷體" w:cs="新細明體" w:hint="eastAsia"/>
                                      <w:kern w:val="0"/>
                                      <w:sz w:val="20"/>
                                    </w:rPr>
                                    <w:t>基金</w:t>
                                  </w:r>
                                </w:p>
                              </w:tc>
                              <w:tc>
                                <w:tcPr>
                                  <w:tcW w:w="992" w:type="dxa"/>
                                  <w:tcBorders>
                                    <w:top w:val="nil"/>
                                    <w:left w:val="nil"/>
                                    <w:bottom w:val="single" w:sz="4" w:space="0" w:color="auto"/>
                                    <w:right w:val="single" w:sz="4" w:space="0" w:color="auto"/>
                                  </w:tcBorders>
                                  <w:shd w:val="clear" w:color="auto" w:fill="auto"/>
                                  <w:noWrap/>
                                  <w:vAlign w:val="center"/>
                                  <w:hideMark/>
                                </w:tcPr>
                                <w:p w14:paraId="333E29DD" w14:textId="77777777" w:rsidR="00CE57F9" w:rsidRPr="00D01E3C" w:rsidRDefault="00CE57F9" w:rsidP="00850571">
                                  <w:pPr>
                                    <w:widowControl/>
                                    <w:spacing w:line="200" w:lineRule="exact"/>
                                    <w:jc w:val="right"/>
                                    <w:rPr>
                                      <w:rFonts w:ascii="標楷體" w:eastAsia="標楷體" w:hAnsi="標楷體" w:cs="新細明體"/>
                                      <w:kern w:val="0"/>
                                      <w:sz w:val="20"/>
                                    </w:rPr>
                                  </w:pPr>
                                  <w:r w:rsidRPr="00D01E3C">
                                    <w:rPr>
                                      <w:rFonts w:ascii="標楷體" w:eastAsia="標楷體" w:hAnsi="標楷體" w:cs="新細明體" w:hint="eastAsia"/>
                                      <w:kern w:val="0"/>
                                      <w:sz w:val="20"/>
                                    </w:rPr>
                                    <w:t>738,458</w:t>
                                  </w:r>
                                </w:p>
                              </w:tc>
                              <w:tc>
                                <w:tcPr>
                                  <w:tcW w:w="1038" w:type="dxa"/>
                                  <w:tcBorders>
                                    <w:top w:val="nil"/>
                                    <w:left w:val="nil"/>
                                    <w:bottom w:val="single" w:sz="4" w:space="0" w:color="auto"/>
                                    <w:right w:val="single" w:sz="4" w:space="0" w:color="auto"/>
                                  </w:tcBorders>
                                  <w:shd w:val="clear" w:color="auto" w:fill="auto"/>
                                  <w:noWrap/>
                                  <w:vAlign w:val="center"/>
                                  <w:hideMark/>
                                </w:tcPr>
                                <w:p w14:paraId="72D8E06B" w14:textId="77777777" w:rsidR="00CE57F9" w:rsidRPr="00D01E3C" w:rsidRDefault="00CE57F9" w:rsidP="00850571">
                                  <w:pPr>
                                    <w:widowControl/>
                                    <w:spacing w:line="200" w:lineRule="exact"/>
                                    <w:jc w:val="right"/>
                                    <w:rPr>
                                      <w:rFonts w:ascii="標楷體" w:eastAsia="標楷體" w:hAnsi="標楷體" w:cs="新細明體"/>
                                      <w:kern w:val="0"/>
                                      <w:sz w:val="20"/>
                                    </w:rPr>
                                  </w:pPr>
                                  <w:r w:rsidRPr="00D01E3C">
                                    <w:rPr>
                                      <w:rFonts w:ascii="標楷體" w:eastAsia="標楷體" w:hAnsi="標楷體" w:cs="新細明體" w:hint="eastAsia"/>
                                      <w:kern w:val="0"/>
                                      <w:sz w:val="20"/>
                                    </w:rPr>
                                    <w:t>629,941</w:t>
                                  </w:r>
                                </w:p>
                              </w:tc>
                              <w:tc>
                                <w:tcPr>
                                  <w:tcW w:w="947" w:type="dxa"/>
                                  <w:tcBorders>
                                    <w:top w:val="nil"/>
                                    <w:left w:val="nil"/>
                                    <w:bottom w:val="single" w:sz="4" w:space="0" w:color="auto"/>
                                    <w:right w:val="single" w:sz="4" w:space="0" w:color="auto"/>
                                  </w:tcBorders>
                                  <w:shd w:val="clear" w:color="auto" w:fill="auto"/>
                                  <w:noWrap/>
                                  <w:vAlign w:val="center"/>
                                  <w:hideMark/>
                                </w:tcPr>
                                <w:p w14:paraId="0526609C" w14:textId="77777777" w:rsidR="00CE57F9" w:rsidRPr="00D01E3C" w:rsidRDefault="00CE57F9" w:rsidP="00850571">
                                  <w:pPr>
                                    <w:widowControl/>
                                    <w:spacing w:line="200" w:lineRule="exact"/>
                                    <w:jc w:val="right"/>
                                    <w:rPr>
                                      <w:rFonts w:ascii="標楷體" w:eastAsia="標楷體" w:hAnsi="標楷體" w:cs="新細明體"/>
                                      <w:kern w:val="0"/>
                                      <w:sz w:val="20"/>
                                    </w:rPr>
                                  </w:pPr>
                                  <w:r w:rsidRPr="00D01E3C">
                                    <w:rPr>
                                      <w:rFonts w:ascii="標楷體" w:eastAsia="標楷體" w:hAnsi="標楷體" w:cs="新細明體" w:hint="eastAsia"/>
                                      <w:kern w:val="0"/>
                                      <w:sz w:val="20"/>
                                    </w:rPr>
                                    <w:t>85.31</w:t>
                                  </w:r>
                                </w:p>
                              </w:tc>
                            </w:tr>
                            <w:tr w:rsidR="00CE57F9" w:rsidRPr="00D01E3C" w14:paraId="56704BEB" w14:textId="77777777" w:rsidTr="00850571">
                              <w:trPr>
                                <w:trHeight w:val="324"/>
                              </w:trPr>
                              <w:tc>
                                <w:tcPr>
                                  <w:tcW w:w="3856" w:type="dxa"/>
                                  <w:gridSpan w:val="4"/>
                                  <w:tcBorders>
                                    <w:top w:val="single" w:sz="4" w:space="0" w:color="auto"/>
                                    <w:bottom w:val="nil"/>
                                  </w:tcBorders>
                                  <w:shd w:val="clear" w:color="auto" w:fill="auto"/>
                                  <w:noWrap/>
                                  <w:vAlign w:val="center"/>
                                  <w:hideMark/>
                                </w:tcPr>
                                <w:p w14:paraId="53AE15E3" w14:textId="77777777" w:rsidR="00CE57F9" w:rsidRDefault="00CE57F9" w:rsidP="00850571">
                                  <w:pPr>
                                    <w:widowControl/>
                                    <w:spacing w:line="200" w:lineRule="exact"/>
                                    <w:rPr>
                                      <w:rFonts w:ascii="標楷體" w:eastAsia="標楷體" w:hAnsi="標楷體" w:cs="新細明體"/>
                                      <w:kern w:val="0"/>
                                      <w:sz w:val="18"/>
                                      <w:szCs w:val="18"/>
                                    </w:rPr>
                                  </w:pPr>
                                  <w:r w:rsidRPr="00D01E3C">
                                    <w:rPr>
                                      <w:rFonts w:ascii="標楷體" w:eastAsia="標楷體" w:hAnsi="標楷體" w:cs="新細明體" w:hint="eastAsia"/>
                                      <w:kern w:val="0"/>
                                      <w:sz w:val="18"/>
                                      <w:szCs w:val="18"/>
                                    </w:rPr>
                                    <w:t>註：</w:t>
                                  </w:r>
                                  <w:r>
                                    <w:rPr>
                                      <w:rFonts w:ascii="標楷體" w:eastAsia="標楷體" w:hAnsi="標楷體" w:cs="新細明體" w:hint="eastAsia"/>
                                      <w:kern w:val="0"/>
                                      <w:sz w:val="18"/>
                                      <w:szCs w:val="18"/>
                                    </w:rPr>
                                    <w:t>1</w:t>
                                  </w:r>
                                  <w:r>
                                    <w:rPr>
                                      <w:rFonts w:ascii="標楷體" w:eastAsia="標楷體" w:hAnsi="標楷體" w:cs="新細明體"/>
                                      <w:kern w:val="0"/>
                                      <w:sz w:val="18"/>
                                      <w:szCs w:val="18"/>
                                    </w:rPr>
                                    <w:t>.</w:t>
                                  </w:r>
                                  <w:r w:rsidRPr="00D01E3C">
                                    <w:rPr>
                                      <w:rFonts w:ascii="標楷體" w:eastAsia="標楷體" w:hAnsi="標楷體" w:cs="新細明體" w:hint="eastAsia"/>
                                      <w:kern w:val="0"/>
                                      <w:sz w:val="18"/>
                                      <w:szCs w:val="18"/>
                                    </w:rPr>
                                    <w:t>決算數包含實現數、應付數及保留數。</w:t>
                                  </w:r>
                                </w:p>
                                <w:p w14:paraId="588A8DD7" w14:textId="77777777" w:rsidR="00CE57F9" w:rsidRPr="000C58EF" w:rsidRDefault="00CE57F9" w:rsidP="00850571">
                                  <w:pPr>
                                    <w:widowControl/>
                                    <w:spacing w:line="200" w:lineRule="exact"/>
                                    <w:rPr>
                                      <w:rFonts w:eastAsia="Times New Roman"/>
                                      <w:kern w:val="0"/>
                                      <w:sz w:val="18"/>
                                      <w:szCs w:val="18"/>
                                    </w:rPr>
                                  </w:pPr>
                                  <w:r>
                                    <w:rPr>
                                      <w:rFonts w:eastAsia="Times New Roman"/>
                                      <w:kern w:val="0"/>
                                      <w:sz w:val="18"/>
                                      <w:szCs w:val="18"/>
                                    </w:rPr>
                                    <w:t xml:space="preserve">     </w:t>
                                  </w:r>
                                  <w:r w:rsidRPr="000C58EF">
                                    <w:rPr>
                                      <w:rFonts w:ascii="標楷體" w:eastAsia="標楷體" w:hAnsi="標楷體" w:cs="新細明體"/>
                                      <w:kern w:val="0"/>
                                      <w:sz w:val="18"/>
                                      <w:szCs w:val="18"/>
                                    </w:rPr>
                                    <w:t>2.</w:t>
                                  </w:r>
                                  <w:r w:rsidRPr="000C58EF">
                                    <w:rPr>
                                      <w:rFonts w:ascii="標楷體" w:eastAsia="標楷體" w:hAnsi="標楷體" w:cs="新細明體" w:hint="eastAsia"/>
                                      <w:kern w:val="0"/>
                                      <w:sz w:val="18"/>
                                      <w:szCs w:val="18"/>
                                    </w:rPr>
                                    <w:t>整理自中央政府各機關提供資料。</w:t>
                                  </w:r>
                                </w:p>
                              </w:tc>
                            </w:tr>
                          </w:tbl>
                          <w:p w14:paraId="2D1D55E8" w14:textId="77777777" w:rsidR="00CE57F9" w:rsidRPr="00D77A05" w:rsidRDefault="00CE57F9" w:rsidP="009A54FE">
                            <w:pPr>
                              <w:spacing w:line="218"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3A4ACB" id="文字方塊 6" o:spid="_x0000_s1045" type="#_x0000_t202" style="position:absolute;left:0;text-align:left;margin-left:289.1pt;margin-top:217.85pt;width:203.4pt;height:153.55pt;z-index:2516372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" stroked="f">
                <v:textbox>
                  <w:txbxContent>
                    <w:tbl>
                      <w:tblPr>
                        <w:tblW w:w="3856" w:type="dxa"/>
                        <w:tblCellMar>
                          <w:left w:w="28" w:type="dxa"/>
                          <w:right w:w="28" w:type="dxa"/>
                        </w:tblCellMar>
                        <w:tblLook w:val="04A0" w:firstRow="1" w:lastRow="0" w:firstColumn="1" w:lastColumn="0" w:noHBand="0" w:noVBand="1"/>
                      </w:tblPr>
                      <w:tblGrid>
                        <w:gridCol w:w="879"/>
                        <w:gridCol w:w="992"/>
                        <w:gridCol w:w="1038"/>
                        <w:gridCol w:w="947"/>
                      </w:tblGrid>
                      <w:tr w:rsidR="00CE57F9" w:rsidRPr="00D01E3C" w14:paraId="749B68CF" w14:textId="77777777" w:rsidTr="00850571">
                        <w:tc>
                          <w:tcPr>
                            <w:tcW w:w="3856" w:type="dxa"/>
                            <w:gridSpan w:val="4"/>
                            <w:tcBorders>
                              <w:top w:val="nil"/>
                            </w:tcBorders>
                            <w:shd w:val="clear" w:color="auto" w:fill="auto"/>
                            <w:noWrap/>
                            <w:vAlign w:val="center"/>
                          </w:tcPr>
                          <w:p w14:paraId="46E90617" w14:textId="573B6243" w:rsidR="00CE57F9" w:rsidRPr="00D01E3C" w:rsidRDefault="00CE57F9" w:rsidP="009A54FE">
                            <w:pPr>
                              <w:widowControl/>
                              <w:spacing w:line="240" w:lineRule="exact"/>
                              <w:ind w:left="709" w:hangingChars="295" w:hanging="709"/>
                              <w:jc w:val="both"/>
                              <w:rPr>
                                <w:rFonts w:ascii="標楷體" w:eastAsia="標楷體" w:hAnsi="標楷體" w:cs="新細明體"/>
                                <w:kern w:val="0"/>
                                <w:szCs w:val="24"/>
                              </w:rPr>
                            </w:pPr>
                            <w:r w:rsidRPr="00D01E3C">
                              <w:rPr>
                                <w:rFonts w:ascii="標楷體" w:eastAsia="標楷體" w:hAnsi="標楷體" w:cs="新細明體" w:hint="eastAsia"/>
                                <w:b/>
                                <w:bCs/>
                                <w:kern w:val="0"/>
                                <w:szCs w:val="24"/>
                              </w:rPr>
                              <w:t>表</w:t>
                            </w:r>
                            <w:r>
                              <w:rPr>
                                <w:rFonts w:ascii="標楷體" w:eastAsia="標楷體" w:hAnsi="標楷體" w:cs="新細明體"/>
                                <w:b/>
                                <w:bCs/>
                                <w:kern w:val="0"/>
                                <w:szCs w:val="24"/>
                              </w:rPr>
                              <w:t>11</w:t>
                            </w:r>
                            <w:r>
                              <w:rPr>
                                <w:rFonts w:ascii="標楷體" w:eastAsia="標楷體" w:hAnsi="標楷體" w:hint="eastAsia"/>
                                <w:b/>
                                <w:szCs w:val="24"/>
                              </w:rPr>
                              <w:t xml:space="preserve">　</w:t>
                            </w:r>
                            <w:r w:rsidRPr="00D01E3C">
                              <w:rPr>
                                <w:rFonts w:ascii="標楷體" w:eastAsia="標楷體" w:hAnsi="標楷體" w:cs="新細明體" w:hint="eastAsia"/>
                                <w:b/>
                                <w:bCs/>
                                <w:kern w:val="0"/>
                                <w:szCs w:val="24"/>
                              </w:rPr>
                              <w:t>111年度中央政府各機關辦理政策及業務宣導經費情形</w:t>
                            </w:r>
                          </w:p>
                        </w:tc>
                      </w:tr>
                      <w:tr w:rsidR="00CE57F9" w:rsidRPr="00D01E3C" w14:paraId="629C71A5" w14:textId="77777777" w:rsidTr="00850571">
                        <w:tc>
                          <w:tcPr>
                            <w:tcW w:w="3856" w:type="dxa"/>
                            <w:gridSpan w:val="4"/>
                            <w:tcBorders>
                              <w:top w:val="nil"/>
                              <w:bottom w:val="single" w:sz="4" w:space="0" w:color="auto"/>
                            </w:tcBorders>
                            <w:shd w:val="clear" w:color="auto" w:fill="auto"/>
                            <w:noWrap/>
                            <w:vAlign w:val="center"/>
                          </w:tcPr>
                          <w:p w14:paraId="0910BFD8" w14:textId="77777777" w:rsidR="00CE57F9" w:rsidRPr="00D01E3C" w:rsidRDefault="00CE57F9" w:rsidP="00850571">
                            <w:pPr>
                              <w:widowControl/>
                              <w:spacing w:line="240" w:lineRule="exact"/>
                              <w:jc w:val="right"/>
                              <w:rPr>
                                <w:rFonts w:ascii="標楷體" w:eastAsia="標楷體" w:hAnsi="標楷體" w:cs="新細明體"/>
                                <w:bCs/>
                                <w:kern w:val="0"/>
                                <w:sz w:val="20"/>
                              </w:rPr>
                            </w:pPr>
                            <w:r w:rsidRPr="00D01E3C">
                              <w:rPr>
                                <w:rFonts w:ascii="標楷體" w:eastAsia="標楷體" w:hAnsi="標楷體" w:cs="新細明體" w:hint="eastAsia"/>
                                <w:bCs/>
                                <w:kern w:val="0"/>
                                <w:sz w:val="20"/>
                              </w:rPr>
                              <w:t>單位：新臺幣千元、％</w:t>
                            </w:r>
                          </w:p>
                        </w:tc>
                      </w:tr>
                      <w:tr w:rsidR="00CE57F9" w:rsidRPr="00D01E3C" w14:paraId="0D2ABAA5" w14:textId="77777777" w:rsidTr="00DA2751">
                        <w:trPr>
                          <w:trHeight w:val="394"/>
                        </w:trPr>
                        <w:tc>
                          <w:tcPr>
                            <w:tcW w:w="879" w:type="dxa"/>
                            <w:tcBorders>
                              <w:top w:val="nil"/>
                              <w:left w:val="single" w:sz="4" w:space="0" w:color="auto"/>
                              <w:bottom w:val="single" w:sz="4" w:space="0" w:color="auto"/>
                              <w:right w:val="single" w:sz="4" w:space="0" w:color="auto"/>
                            </w:tcBorders>
                            <w:shd w:val="clear" w:color="auto" w:fill="auto"/>
                            <w:noWrap/>
                            <w:vAlign w:val="center"/>
                            <w:hideMark/>
                          </w:tcPr>
                          <w:p w14:paraId="26C0BF47" w14:textId="77777777" w:rsidR="00CE57F9" w:rsidRPr="00D01E3C" w:rsidRDefault="00CE57F9" w:rsidP="00850571">
                            <w:pPr>
                              <w:widowControl/>
                              <w:spacing w:line="200" w:lineRule="exact"/>
                              <w:jc w:val="center"/>
                              <w:rPr>
                                <w:rFonts w:ascii="標楷體" w:eastAsia="標楷體" w:hAnsi="標楷體" w:cs="新細明體"/>
                                <w:kern w:val="0"/>
                                <w:sz w:val="20"/>
                              </w:rPr>
                            </w:pPr>
                            <w:r w:rsidRPr="00D01E3C">
                              <w:rPr>
                                <w:rFonts w:ascii="標楷體" w:eastAsia="標楷體" w:hAnsi="標楷體" w:cs="新細明體" w:hint="eastAsia"/>
                                <w:kern w:val="0"/>
                                <w:sz w:val="20"/>
                              </w:rPr>
                              <w:t>預算別</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B76D5B1" w14:textId="6EC736C0" w:rsidR="00CE57F9" w:rsidRPr="00D01E3C" w:rsidRDefault="00CE57F9">
                            <w:pPr>
                              <w:widowControl/>
                              <w:spacing w:line="200" w:lineRule="exact"/>
                              <w:jc w:val="center"/>
                              <w:rPr>
                                <w:rFonts w:ascii="標楷體" w:eastAsia="標楷體" w:hAnsi="標楷體" w:cs="新細明體"/>
                                <w:kern w:val="0"/>
                                <w:sz w:val="20"/>
                              </w:rPr>
                            </w:pPr>
                            <w:r w:rsidRPr="00D01E3C">
                              <w:rPr>
                                <w:rFonts w:ascii="標楷體" w:eastAsia="標楷體" w:hAnsi="標楷體" w:cs="新細明體" w:hint="eastAsia"/>
                                <w:kern w:val="0"/>
                                <w:sz w:val="20"/>
                              </w:rPr>
                              <w:t>預算數</w:t>
                            </w:r>
                          </w:p>
                        </w:tc>
                        <w:tc>
                          <w:tcPr>
                            <w:tcW w:w="1038" w:type="dxa"/>
                            <w:tcBorders>
                              <w:top w:val="single" w:sz="4" w:space="0" w:color="auto"/>
                              <w:left w:val="nil"/>
                              <w:bottom w:val="single" w:sz="4" w:space="0" w:color="auto"/>
                              <w:right w:val="single" w:sz="4" w:space="0" w:color="auto"/>
                            </w:tcBorders>
                            <w:shd w:val="clear" w:color="auto" w:fill="auto"/>
                            <w:noWrap/>
                            <w:vAlign w:val="center"/>
                            <w:hideMark/>
                          </w:tcPr>
                          <w:p w14:paraId="28F0CB68" w14:textId="2075DF2E" w:rsidR="00CE57F9" w:rsidRPr="004509B7" w:rsidRDefault="00CE57F9">
                            <w:pPr>
                              <w:widowControl/>
                              <w:spacing w:line="200" w:lineRule="exact"/>
                              <w:jc w:val="center"/>
                              <w:rPr>
                                <w:rFonts w:ascii="標楷體" w:eastAsia="標楷體" w:hAnsi="標楷體" w:cs="新細明體"/>
                                <w:kern w:val="0"/>
                                <w:sz w:val="20"/>
                              </w:rPr>
                            </w:pPr>
                            <w:r w:rsidRPr="00D01E3C">
                              <w:rPr>
                                <w:rFonts w:ascii="標楷體" w:eastAsia="標楷體" w:hAnsi="標楷體" w:cs="新細明體" w:hint="eastAsia"/>
                                <w:kern w:val="0"/>
                                <w:sz w:val="20"/>
                              </w:rPr>
                              <w:t>決算數</w:t>
                            </w:r>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5E480D15" w14:textId="6C6369BB" w:rsidR="00CE57F9" w:rsidRPr="00D01E3C" w:rsidRDefault="00CE57F9" w:rsidP="00DA2751">
                            <w:pPr>
                              <w:overflowPunct w:val="0"/>
                              <w:spacing w:line="200" w:lineRule="exact"/>
                              <w:jc w:val="center"/>
                              <w:rPr>
                                <w:rFonts w:ascii="標楷體" w:eastAsia="標楷體" w:hAnsi="標楷體" w:cs="新細明體"/>
                                <w:kern w:val="0"/>
                                <w:sz w:val="20"/>
                              </w:rPr>
                            </w:pPr>
                            <w:r w:rsidRPr="007019A5">
                              <w:rPr>
                                <w:rFonts w:ascii="標楷體" w:eastAsia="標楷體" w:hAnsi="標楷體" w:hint="eastAsia"/>
                                <w:sz w:val="20"/>
                              </w:rPr>
                              <w:t>比率</w:t>
                            </w:r>
                          </w:p>
                        </w:tc>
                      </w:tr>
                      <w:tr w:rsidR="00CE57F9" w:rsidRPr="00D01E3C" w14:paraId="7A867062" w14:textId="77777777" w:rsidTr="00DA2751">
                        <w:trPr>
                          <w:trHeight w:val="352"/>
                        </w:trPr>
                        <w:tc>
                          <w:tcPr>
                            <w:tcW w:w="879" w:type="dxa"/>
                            <w:tcBorders>
                              <w:top w:val="nil"/>
                              <w:left w:val="single" w:sz="4" w:space="0" w:color="auto"/>
                              <w:bottom w:val="single" w:sz="4" w:space="0" w:color="auto"/>
                              <w:right w:val="single" w:sz="4" w:space="0" w:color="auto"/>
                            </w:tcBorders>
                            <w:shd w:val="clear" w:color="auto" w:fill="auto"/>
                            <w:noWrap/>
                            <w:vAlign w:val="center"/>
                            <w:hideMark/>
                          </w:tcPr>
                          <w:p w14:paraId="3B470184" w14:textId="77777777" w:rsidR="00CE57F9" w:rsidRPr="00D01E3C" w:rsidRDefault="00CE57F9" w:rsidP="00850571">
                            <w:pPr>
                              <w:widowControl/>
                              <w:spacing w:line="200" w:lineRule="exact"/>
                              <w:jc w:val="center"/>
                              <w:rPr>
                                <w:rFonts w:ascii="標楷體" w:eastAsia="標楷體" w:hAnsi="標楷體" w:cs="新細明體"/>
                                <w:b/>
                                <w:bCs/>
                                <w:kern w:val="0"/>
                                <w:sz w:val="20"/>
                              </w:rPr>
                            </w:pPr>
                            <w:r w:rsidRPr="00D01E3C">
                              <w:rPr>
                                <w:rFonts w:ascii="標楷體" w:eastAsia="標楷體" w:hAnsi="標楷體" w:cs="新細明體" w:hint="eastAsia"/>
                                <w:b/>
                                <w:bCs/>
                                <w:kern w:val="0"/>
                                <w:sz w:val="20"/>
                              </w:rPr>
                              <w:t>合  計</w:t>
                            </w:r>
                          </w:p>
                        </w:tc>
                        <w:tc>
                          <w:tcPr>
                            <w:tcW w:w="992" w:type="dxa"/>
                            <w:tcBorders>
                              <w:top w:val="nil"/>
                              <w:left w:val="nil"/>
                              <w:bottom w:val="single" w:sz="4" w:space="0" w:color="auto"/>
                              <w:right w:val="single" w:sz="4" w:space="0" w:color="auto"/>
                            </w:tcBorders>
                            <w:shd w:val="clear" w:color="auto" w:fill="auto"/>
                            <w:noWrap/>
                            <w:vAlign w:val="center"/>
                            <w:hideMark/>
                          </w:tcPr>
                          <w:p w14:paraId="2E11F9EC" w14:textId="77777777" w:rsidR="00CE57F9" w:rsidRPr="00D01E3C" w:rsidRDefault="00CE57F9" w:rsidP="00850571">
                            <w:pPr>
                              <w:widowControl/>
                              <w:spacing w:line="200" w:lineRule="exact"/>
                              <w:jc w:val="right"/>
                              <w:rPr>
                                <w:rFonts w:ascii="標楷體" w:eastAsia="標楷體" w:hAnsi="標楷體" w:cs="新細明體"/>
                                <w:b/>
                                <w:bCs/>
                                <w:kern w:val="0"/>
                                <w:sz w:val="20"/>
                              </w:rPr>
                            </w:pPr>
                            <w:r w:rsidRPr="00D01E3C">
                              <w:rPr>
                                <w:rFonts w:ascii="標楷體" w:eastAsia="標楷體" w:hAnsi="標楷體" w:cs="新細明體" w:hint="eastAsia"/>
                                <w:b/>
                                <w:bCs/>
                                <w:kern w:val="0"/>
                                <w:sz w:val="20"/>
                              </w:rPr>
                              <w:t>1,653,777</w:t>
                            </w:r>
                          </w:p>
                        </w:tc>
                        <w:tc>
                          <w:tcPr>
                            <w:tcW w:w="1038" w:type="dxa"/>
                            <w:tcBorders>
                              <w:top w:val="nil"/>
                              <w:left w:val="nil"/>
                              <w:bottom w:val="single" w:sz="4" w:space="0" w:color="auto"/>
                              <w:right w:val="single" w:sz="4" w:space="0" w:color="auto"/>
                            </w:tcBorders>
                            <w:shd w:val="clear" w:color="auto" w:fill="auto"/>
                            <w:noWrap/>
                            <w:vAlign w:val="center"/>
                            <w:hideMark/>
                          </w:tcPr>
                          <w:p w14:paraId="02ADABD4" w14:textId="77777777" w:rsidR="00CE57F9" w:rsidRPr="00D01E3C" w:rsidRDefault="00CE57F9" w:rsidP="00850571">
                            <w:pPr>
                              <w:widowControl/>
                              <w:spacing w:line="200" w:lineRule="exact"/>
                              <w:jc w:val="right"/>
                              <w:rPr>
                                <w:rFonts w:ascii="標楷體" w:eastAsia="標楷體" w:hAnsi="標楷體" w:cs="新細明體"/>
                                <w:b/>
                                <w:bCs/>
                                <w:kern w:val="0"/>
                                <w:sz w:val="20"/>
                              </w:rPr>
                            </w:pPr>
                            <w:r w:rsidRPr="00D01E3C">
                              <w:rPr>
                                <w:rFonts w:ascii="標楷體" w:eastAsia="標楷體" w:hAnsi="標楷體" w:cs="新細明體" w:hint="eastAsia"/>
                                <w:b/>
                                <w:bCs/>
                                <w:kern w:val="0"/>
                                <w:sz w:val="20"/>
                              </w:rPr>
                              <w:t>1,385,983</w:t>
                            </w:r>
                          </w:p>
                        </w:tc>
                        <w:tc>
                          <w:tcPr>
                            <w:tcW w:w="947" w:type="dxa"/>
                            <w:tcBorders>
                              <w:top w:val="nil"/>
                              <w:left w:val="nil"/>
                              <w:bottom w:val="single" w:sz="4" w:space="0" w:color="auto"/>
                              <w:right w:val="single" w:sz="4" w:space="0" w:color="auto"/>
                            </w:tcBorders>
                            <w:shd w:val="clear" w:color="auto" w:fill="auto"/>
                            <w:noWrap/>
                            <w:vAlign w:val="center"/>
                            <w:hideMark/>
                          </w:tcPr>
                          <w:p w14:paraId="5BA5965E" w14:textId="77777777" w:rsidR="00CE57F9" w:rsidRPr="00D01E3C" w:rsidRDefault="00CE57F9" w:rsidP="00850571">
                            <w:pPr>
                              <w:widowControl/>
                              <w:spacing w:line="200" w:lineRule="exact"/>
                              <w:jc w:val="right"/>
                              <w:rPr>
                                <w:rFonts w:ascii="標楷體" w:eastAsia="標楷體" w:hAnsi="標楷體" w:cs="新細明體"/>
                                <w:b/>
                                <w:bCs/>
                                <w:kern w:val="0"/>
                                <w:sz w:val="20"/>
                              </w:rPr>
                            </w:pPr>
                            <w:r w:rsidRPr="00D01E3C">
                              <w:rPr>
                                <w:rFonts w:ascii="標楷體" w:eastAsia="標楷體" w:hAnsi="標楷體" w:cs="新細明體" w:hint="eastAsia"/>
                                <w:b/>
                                <w:bCs/>
                                <w:kern w:val="0"/>
                                <w:sz w:val="20"/>
                              </w:rPr>
                              <w:t>83.81</w:t>
                            </w:r>
                          </w:p>
                        </w:tc>
                      </w:tr>
                      <w:tr w:rsidR="00CE57F9" w:rsidRPr="00D01E3C" w14:paraId="068287CC" w14:textId="77777777" w:rsidTr="00850571">
                        <w:trPr>
                          <w:trHeight w:val="323"/>
                        </w:trPr>
                        <w:tc>
                          <w:tcPr>
                            <w:tcW w:w="879" w:type="dxa"/>
                            <w:tcBorders>
                              <w:top w:val="nil"/>
                              <w:left w:val="single" w:sz="4" w:space="0" w:color="auto"/>
                              <w:bottom w:val="single" w:sz="4" w:space="0" w:color="auto"/>
                              <w:right w:val="single" w:sz="4" w:space="0" w:color="auto"/>
                            </w:tcBorders>
                            <w:shd w:val="clear" w:color="auto" w:fill="auto"/>
                            <w:noWrap/>
                            <w:vAlign w:val="center"/>
                            <w:hideMark/>
                          </w:tcPr>
                          <w:p w14:paraId="12926773" w14:textId="77777777" w:rsidR="00CE57F9" w:rsidRPr="00D01E3C" w:rsidRDefault="00CE57F9" w:rsidP="00850571">
                            <w:pPr>
                              <w:widowControl/>
                              <w:spacing w:line="200" w:lineRule="exact"/>
                              <w:jc w:val="distribute"/>
                              <w:rPr>
                                <w:rFonts w:ascii="標楷體" w:eastAsia="標楷體" w:hAnsi="標楷體" w:cs="新細明體"/>
                                <w:kern w:val="0"/>
                                <w:sz w:val="20"/>
                              </w:rPr>
                            </w:pPr>
                            <w:r w:rsidRPr="00D01E3C">
                              <w:rPr>
                                <w:rFonts w:ascii="標楷體" w:eastAsia="標楷體" w:hAnsi="標楷體" w:cs="新細明體" w:hint="eastAsia"/>
                                <w:kern w:val="0"/>
                                <w:sz w:val="20"/>
                              </w:rPr>
                              <w:t>公務機關</w:t>
                            </w:r>
                          </w:p>
                        </w:tc>
                        <w:tc>
                          <w:tcPr>
                            <w:tcW w:w="992" w:type="dxa"/>
                            <w:tcBorders>
                              <w:top w:val="nil"/>
                              <w:left w:val="nil"/>
                              <w:bottom w:val="single" w:sz="4" w:space="0" w:color="auto"/>
                              <w:right w:val="single" w:sz="4" w:space="0" w:color="auto"/>
                            </w:tcBorders>
                            <w:shd w:val="clear" w:color="auto" w:fill="auto"/>
                            <w:noWrap/>
                            <w:vAlign w:val="center"/>
                            <w:hideMark/>
                          </w:tcPr>
                          <w:p w14:paraId="15976665" w14:textId="77777777" w:rsidR="00CE57F9" w:rsidRPr="00D01E3C" w:rsidRDefault="00CE57F9" w:rsidP="00850571">
                            <w:pPr>
                              <w:widowControl/>
                              <w:spacing w:line="200" w:lineRule="exact"/>
                              <w:jc w:val="right"/>
                              <w:rPr>
                                <w:rFonts w:ascii="標楷體" w:eastAsia="標楷體" w:hAnsi="標楷體" w:cs="新細明體"/>
                                <w:kern w:val="0"/>
                                <w:sz w:val="20"/>
                              </w:rPr>
                            </w:pPr>
                            <w:r w:rsidRPr="00D01E3C">
                              <w:rPr>
                                <w:rFonts w:ascii="標楷體" w:eastAsia="標楷體" w:hAnsi="標楷體" w:cs="新細明體" w:hint="eastAsia"/>
                                <w:kern w:val="0"/>
                                <w:sz w:val="20"/>
                              </w:rPr>
                              <w:t>778,791</w:t>
                            </w:r>
                          </w:p>
                        </w:tc>
                        <w:tc>
                          <w:tcPr>
                            <w:tcW w:w="1038" w:type="dxa"/>
                            <w:tcBorders>
                              <w:top w:val="nil"/>
                              <w:left w:val="nil"/>
                              <w:bottom w:val="single" w:sz="4" w:space="0" w:color="auto"/>
                              <w:right w:val="single" w:sz="4" w:space="0" w:color="auto"/>
                            </w:tcBorders>
                            <w:shd w:val="clear" w:color="auto" w:fill="auto"/>
                            <w:noWrap/>
                            <w:vAlign w:val="center"/>
                            <w:hideMark/>
                          </w:tcPr>
                          <w:p w14:paraId="6C3FEC55" w14:textId="77777777" w:rsidR="00CE57F9" w:rsidRPr="00D01E3C" w:rsidRDefault="00CE57F9" w:rsidP="00850571">
                            <w:pPr>
                              <w:widowControl/>
                              <w:spacing w:line="200" w:lineRule="exact"/>
                              <w:jc w:val="right"/>
                              <w:rPr>
                                <w:rFonts w:ascii="標楷體" w:eastAsia="標楷體" w:hAnsi="標楷體" w:cs="新細明體"/>
                                <w:kern w:val="0"/>
                                <w:sz w:val="20"/>
                              </w:rPr>
                            </w:pPr>
                            <w:r w:rsidRPr="00D01E3C">
                              <w:rPr>
                                <w:rFonts w:ascii="標楷體" w:eastAsia="標楷體" w:hAnsi="標楷體" w:cs="新細明體" w:hint="eastAsia"/>
                                <w:kern w:val="0"/>
                                <w:sz w:val="20"/>
                              </w:rPr>
                              <w:t>640,294</w:t>
                            </w:r>
                          </w:p>
                        </w:tc>
                        <w:tc>
                          <w:tcPr>
                            <w:tcW w:w="947" w:type="dxa"/>
                            <w:tcBorders>
                              <w:top w:val="nil"/>
                              <w:left w:val="nil"/>
                              <w:bottom w:val="single" w:sz="4" w:space="0" w:color="auto"/>
                              <w:right w:val="single" w:sz="4" w:space="0" w:color="auto"/>
                            </w:tcBorders>
                            <w:shd w:val="clear" w:color="auto" w:fill="auto"/>
                            <w:noWrap/>
                            <w:vAlign w:val="center"/>
                            <w:hideMark/>
                          </w:tcPr>
                          <w:p w14:paraId="6B5A6932" w14:textId="77777777" w:rsidR="00CE57F9" w:rsidRPr="00D01E3C" w:rsidRDefault="00CE57F9" w:rsidP="00850571">
                            <w:pPr>
                              <w:widowControl/>
                              <w:spacing w:line="200" w:lineRule="exact"/>
                              <w:jc w:val="right"/>
                              <w:rPr>
                                <w:rFonts w:ascii="標楷體" w:eastAsia="標楷體" w:hAnsi="標楷體" w:cs="新細明體"/>
                                <w:kern w:val="0"/>
                                <w:sz w:val="20"/>
                              </w:rPr>
                            </w:pPr>
                            <w:r w:rsidRPr="00D01E3C">
                              <w:rPr>
                                <w:rFonts w:ascii="標楷體" w:eastAsia="標楷體" w:hAnsi="標楷體" w:cs="新細明體" w:hint="eastAsia"/>
                                <w:kern w:val="0"/>
                                <w:sz w:val="20"/>
                              </w:rPr>
                              <w:t>82.22</w:t>
                            </w:r>
                          </w:p>
                        </w:tc>
                      </w:tr>
                      <w:tr w:rsidR="00CE57F9" w:rsidRPr="00D01E3C" w14:paraId="2FCAE4D4" w14:textId="77777777" w:rsidTr="00850571">
                        <w:trPr>
                          <w:trHeight w:val="270"/>
                        </w:trPr>
                        <w:tc>
                          <w:tcPr>
                            <w:tcW w:w="879" w:type="dxa"/>
                            <w:tcBorders>
                              <w:top w:val="nil"/>
                              <w:left w:val="single" w:sz="4" w:space="0" w:color="auto"/>
                              <w:bottom w:val="single" w:sz="4" w:space="0" w:color="auto"/>
                              <w:right w:val="single" w:sz="4" w:space="0" w:color="auto"/>
                            </w:tcBorders>
                            <w:shd w:val="clear" w:color="auto" w:fill="auto"/>
                            <w:noWrap/>
                            <w:vAlign w:val="center"/>
                            <w:hideMark/>
                          </w:tcPr>
                          <w:p w14:paraId="58A04E7C" w14:textId="77777777" w:rsidR="00CE57F9" w:rsidRPr="00D01E3C" w:rsidRDefault="00CE57F9" w:rsidP="00850571">
                            <w:pPr>
                              <w:widowControl/>
                              <w:spacing w:line="200" w:lineRule="exact"/>
                              <w:jc w:val="distribute"/>
                              <w:rPr>
                                <w:rFonts w:ascii="標楷體" w:eastAsia="標楷體" w:hAnsi="標楷體" w:cs="新細明體"/>
                                <w:kern w:val="0"/>
                                <w:sz w:val="20"/>
                              </w:rPr>
                            </w:pPr>
                            <w:r w:rsidRPr="00D01E3C">
                              <w:rPr>
                                <w:rFonts w:ascii="標楷體" w:eastAsia="標楷體" w:hAnsi="標楷體" w:cs="新細明體" w:hint="eastAsia"/>
                                <w:kern w:val="0"/>
                                <w:sz w:val="20"/>
                              </w:rPr>
                              <w:t>營業基金</w:t>
                            </w:r>
                          </w:p>
                        </w:tc>
                        <w:tc>
                          <w:tcPr>
                            <w:tcW w:w="992" w:type="dxa"/>
                            <w:tcBorders>
                              <w:top w:val="nil"/>
                              <w:left w:val="nil"/>
                              <w:bottom w:val="single" w:sz="4" w:space="0" w:color="auto"/>
                              <w:right w:val="single" w:sz="4" w:space="0" w:color="auto"/>
                            </w:tcBorders>
                            <w:shd w:val="clear" w:color="auto" w:fill="auto"/>
                            <w:noWrap/>
                            <w:vAlign w:val="center"/>
                            <w:hideMark/>
                          </w:tcPr>
                          <w:p w14:paraId="18EFDFCA" w14:textId="77777777" w:rsidR="00CE57F9" w:rsidRPr="00D01E3C" w:rsidRDefault="00CE57F9" w:rsidP="00850571">
                            <w:pPr>
                              <w:widowControl/>
                              <w:spacing w:line="200" w:lineRule="exact"/>
                              <w:jc w:val="right"/>
                              <w:rPr>
                                <w:rFonts w:ascii="標楷體" w:eastAsia="標楷體" w:hAnsi="標楷體" w:cs="新細明體"/>
                                <w:kern w:val="0"/>
                                <w:sz w:val="20"/>
                              </w:rPr>
                            </w:pPr>
                            <w:r w:rsidRPr="00D01E3C">
                              <w:rPr>
                                <w:rFonts w:ascii="標楷體" w:eastAsia="標楷體" w:hAnsi="標楷體" w:cs="新細明體" w:hint="eastAsia"/>
                                <w:kern w:val="0"/>
                                <w:sz w:val="20"/>
                              </w:rPr>
                              <w:t>136,528</w:t>
                            </w:r>
                          </w:p>
                        </w:tc>
                        <w:tc>
                          <w:tcPr>
                            <w:tcW w:w="1038" w:type="dxa"/>
                            <w:tcBorders>
                              <w:top w:val="nil"/>
                              <w:left w:val="nil"/>
                              <w:bottom w:val="single" w:sz="4" w:space="0" w:color="auto"/>
                              <w:right w:val="single" w:sz="4" w:space="0" w:color="auto"/>
                            </w:tcBorders>
                            <w:shd w:val="clear" w:color="auto" w:fill="auto"/>
                            <w:noWrap/>
                            <w:vAlign w:val="center"/>
                            <w:hideMark/>
                          </w:tcPr>
                          <w:p w14:paraId="4568FBB5" w14:textId="77777777" w:rsidR="00CE57F9" w:rsidRPr="00D01E3C" w:rsidRDefault="00CE57F9" w:rsidP="00850571">
                            <w:pPr>
                              <w:widowControl/>
                              <w:spacing w:line="200" w:lineRule="exact"/>
                              <w:jc w:val="right"/>
                              <w:rPr>
                                <w:rFonts w:ascii="標楷體" w:eastAsia="標楷體" w:hAnsi="標楷體" w:cs="新細明體"/>
                                <w:kern w:val="0"/>
                                <w:sz w:val="20"/>
                              </w:rPr>
                            </w:pPr>
                            <w:r w:rsidRPr="00D01E3C">
                              <w:rPr>
                                <w:rFonts w:ascii="標楷體" w:eastAsia="標楷體" w:hAnsi="標楷體" w:cs="新細明體" w:hint="eastAsia"/>
                                <w:kern w:val="0"/>
                                <w:sz w:val="20"/>
                              </w:rPr>
                              <w:t>115,746</w:t>
                            </w:r>
                          </w:p>
                        </w:tc>
                        <w:tc>
                          <w:tcPr>
                            <w:tcW w:w="947" w:type="dxa"/>
                            <w:tcBorders>
                              <w:top w:val="nil"/>
                              <w:left w:val="nil"/>
                              <w:bottom w:val="single" w:sz="4" w:space="0" w:color="auto"/>
                              <w:right w:val="single" w:sz="4" w:space="0" w:color="auto"/>
                            </w:tcBorders>
                            <w:shd w:val="clear" w:color="auto" w:fill="auto"/>
                            <w:noWrap/>
                            <w:vAlign w:val="center"/>
                            <w:hideMark/>
                          </w:tcPr>
                          <w:p w14:paraId="678D38DA" w14:textId="77777777" w:rsidR="00CE57F9" w:rsidRPr="00D01E3C" w:rsidRDefault="00CE57F9" w:rsidP="00850571">
                            <w:pPr>
                              <w:widowControl/>
                              <w:spacing w:line="200" w:lineRule="exact"/>
                              <w:jc w:val="right"/>
                              <w:rPr>
                                <w:rFonts w:ascii="標楷體" w:eastAsia="標楷體" w:hAnsi="標楷體" w:cs="新細明體"/>
                                <w:kern w:val="0"/>
                                <w:sz w:val="20"/>
                              </w:rPr>
                            </w:pPr>
                            <w:r w:rsidRPr="00D01E3C">
                              <w:rPr>
                                <w:rFonts w:ascii="標楷體" w:eastAsia="標楷體" w:hAnsi="標楷體" w:cs="新細明體" w:hint="eastAsia"/>
                                <w:kern w:val="0"/>
                                <w:sz w:val="20"/>
                              </w:rPr>
                              <w:t>84.78</w:t>
                            </w:r>
                          </w:p>
                        </w:tc>
                      </w:tr>
                      <w:tr w:rsidR="00CE57F9" w:rsidRPr="00D01E3C" w14:paraId="2C54FE57" w14:textId="77777777" w:rsidTr="00850571">
                        <w:trPr>
                          <w:trHeight w:val="168"/>
                        </w:trPr>
                        <w:tc>
                          <w:tcPr>
                            <w:tcW w:w="879" w:type="dxa"/>
                            <w:tcBorders>
                              <w:top w:val="nil"/>
                              <w:left w:val="single" w:sz="4" w:space="0" w:color="auto"/>
                              <w:bottom w:val="single" w:sz="4" w:space="0" w:color="auto"/>
                              <w:right w:val="single" w:sz="4" w:space="0" w:color="auto"/>
                            </w:tcBorders>
                            <w:shd w:val="clear" w:color="auto" w:fill="auto"/>
                            <w:noWrap/>
                            <w:vAlign w:val="center"/>
                            <w:hideMark/>
                          </w:tcPr>
                          <w:p w14:paraId="15B9667F" w14:textId="77777777" w:rsidR="00CE57F9" w:rsidRDefault="00CE57F9" w:rsidP="00850571">
                            <w:pPr>
                              <w:widowControl/>
                              <w:spacing w:line="200" w:lineRule="exact"/>
                              <w:jc w:val="distribute"/>
                              <w:rPr>
                                <w:rFonts w:ascii="標楷體" w:eastAsia="標楷體" w:hAnsi="標楷體" w:cs="新細明體"/>
                                <w:kern w:val="0"/>
                                <w:sz w:val="20"/>
                              </w:rPr>
                            </w:pPr>
                            <w:r w:rsidRPr="00D01E3C">
                              <w:rPr>
                                <w:rFonts w:ascii="標楷體" w:eastAsia="標楷體" w:hAnsi="標楷體" w:cs="新細明體" w:hint="eastAsia"/>
                                <w:kern w:val="0"/>
                                <w:sz w:val="20"/>
                              </w:rPr>
                              <w:t>非營業</w:t>
                            </w:r>
                          </w:p>
                          <w:p w14:paraId="049DC293" w14:textId="77777777" w:rsidR="00CE57F9" w:rsidRPr="00D01E3C" w:rsidRDefault="00CE57F9" w:rsidP="00850571">
                            <w:pPr>
                              <w:widowControl/>
                              <w:spacing w:line="200" w:lineRule="exact"/>
                              <w:jc w:val="distribute"/>
                              <w:rPr>
                                <w:rFonts w:ascii="標楷體" w:eastAsia="標楷體" w:hAnsi="標楷體" w:cs="新細明體"/>
                                <w:kern w:val="0"/>
                                <w:sz w:val="20"/>
                              </w:rPr>
                            </w:pPr>
                            <w:r w:rsidRPr="00D01E3C">
                              <w:rPr>
                                <w:rFonts w:ascii="標楷體" w:eastAsia="標楷體" w:hAnsi="標楷體" w:cs="新細明體" w:hint="eastAsia"/>
                                <w:kern w:val="0"/>
                                <w:sz w:val="20"/>
                              </w:rPr>
                              <w:t>基金</w:t>
                            </w:r>
                          </w:p>
                        </w:tc>
                        <w:tc>
                          <w:tcPr>
                            <w:tcW w:w="992" w:type="dxa"/>
                            <w:tcBorders>
                              <w:top w:val="nil"/>
                              <w:left w:val="nil"/>
                              <w:bottom w:val="single" w:sz="4" w:space="0" w:color="auto"/>
                              <w:right w:val="single" w:sz="4" w:space="0" w:color="auto"/>
                            </w:tcBorders>
                            <w:shd w:val="clear" w:color="auto" w:fill="auto"/>
                            <w:noWrap/>
                            <w:vAlign w:val="center"/>
                            <w:hideMark/>
                          </w:tcPr>
                          <w:p w14:paraId="333E29DD" w14:textId="77777777" w:rsidR="00CE57F9" w:rsidRPr="00D01E3C" w:rsidRDefault="00CE57F9" w:rsidP="00850571">
                            <w:pPr>
                              <w:widowControl/>
                              <w:spacing w:line="200" w:lineRule="exact"/>
                              <w:jc w:val="right"/>
                              <w:rPr>
                                <w:rFonts w:ascii="標楷體" w:eastAsia="標楷體" w:hAnsi="標楷體" w:cs="新細明體"/>
                                <w:kern w:val="0"/>
                                <w:sz w:val="20"/>
                              </w:rPr>
                            </w:pPr>
                            <w:r w:rsidRPr="00D01E3C">
                              <w:rPr>
                                <w:rFonts w:ascii="標楷體" w:eastAsia="標楷體" w:hAnsi="標楷體" w:cs="新細明體" w:hint="eastAsia"/>
                                <w:kern w:val="0"/>
                                <w:sz w:val="20"/>
                              </w:rPr>
                              <w:t>738,458</w:t>
                            </w:r>
                          </w:p>
                        </w:tc>
                        <w:tc>
                          <w:tcPr>
                            <w:tcW w:w="1038" w:type="dxa"/>
                            <w:tcBorders>
                              <w:top w:val="nil"/>
                              <w:left w:val="nil"/>
                              <w:bottom w:val="single" w:sz="4" w:space="0" w:color="auto"/>
                              <w:right w:val="single" w:sz="4" w:space="0" w:color="auto"/>
                            </w:tcBorders>
                            <w:shd w:val="clear" w:color="auto" w:fill="auto"/>
                            <w:noWrap/>
                            <w:vAlign w:val="center"/>
                            <w:hideMark/>
                          </w:tcPr>
                          <w:p w14:paraId="72D8E06B" w14:textId="77777777" w:rsidR="00CE57F9" w:rsidRPr="00D01E3C" w:rsidRDefault="00CE57F9" w:rsidP="00850571">
                            <w:pPr>
                              <w:widowControl/>
                              <w:spacing w:line="200" w:lineRule="exact"/>
                              <w:jc w:val="right"/>
                              <w:rPr>
                                <w:rFonts w:ascii="標楷體" w:eastAsia="標楷體" w:hAnsi="標楷體" w:cs="新細明體"/>
                                <w:kern w:val="0"/>
                                <w:sz w:val="20"/>
                              </w:rPr>
                            </w:pPr>
                            <w:r w:rsidRPr="00D01E3C">
                              <w:rPr>
                                <w:rFonts w:ascii="標楷體" w:eastAsia="標楷體" w:hAnsi="標楷體" w:cs="新細明體" w:hint="eastAsia"/>
                                <w:kern w:val="0"/>
                                <w:sz w:val="20"/>
                              </w:rPr>
                              <w:t>629,941</w:t>
                            </w:r>
                          </w:p>
                        </w:tc>
                        <w:tc>
                          <w:tcPr>
                            <w:tcW w:w="947" w:type="dxa"/>
                            <w:tcBorders>
                              <w:top w:val="nil"/>
                              <w:left w:val="nil"/>
                              <w:bottom w:val="single" w:sz="4" w:space="0" w:color="auto"/>
                              <w:right w:val="single" w:sz="4" w:space="0" w:color="auto"/>
                            </w:tcBorders>
                            <w:shd w:val="clear" w:color="auto" w:fill="auto"/>
                            <w:noWrap/>
                            <w:vAlign w:val="center"/>
                            <w:hideMark/>
                          </w:tcPr>
                          <w:p w14:paraId="0526609C" w14:textId="77777777" w:rsidR="00CE57F9" w:rsidRPr="00D01E3C" w:rsidRDefault="00CE57F9" w:rsidP="00850571">
                            <w:pPr>
                              <w:widowControl/>
                              <w:spacing w:line="200" w:lineRule="exact"/>
                              <w:jc w:val="right"/>
                              <w:rPr>
                                <w:rFonts w:ascii="標楷體" w:eastAsia="標楷體" w:hAnsi="標楷體" w:cs="新細明體"/>
                                <w:kern w:val="0"/>
                                <w:sz w:val="20"/>
                              </w:rPr>
                            </w:pPr>
                            <w:r w:rsidRPr="00D01E3C">
                              <w:rPr>
                                <w:rFonts w:ascii="標楷體" w:eastAsia="標楷體" w:hAnsi="標楷體" w:cs="新細明體" w:hint="eastAsia"/>
                                <w:kern w:val="0"/>
                                <w:sz w:val="20"/>
                              </w:rPr>
                              <w:t>85.31</w:t>
                            </w:r>
                          </w:p>
                        </w:tc>
                      </w:tr>
                      <w:tr w:rsidR="00CE57F9" w:rsidRPr="00D01E3C" w14:paraId="56704BEB" w14:textId="77777777" w:rsidTr="00850571">
                        <w:trPr>
                          <w:trHeight w:val="324"/>
                        </w:trPr>
                        <w:tc>
                          <w:tcPr>
                            <w:tcW w:w="3856" w:type="dxa"/>
                            <w:gridSpan w:val="4"/>
                            <w:tcBorders>
                              <w:top w:val="single" w:sz="4" w:space="0" w:color="auto"/>
                              <w:bottom w:val="nil"/>
                            </w:tcBorders>
                            <w:shd w:val="clear" w:color="auto" w:fill="auto"/>
                            <w:noWrap/>
                            <w:vAlign w:val="center"/>
                            <w:hideMark/>
                          </w:tcPr>
                          <w:p w14:paraId="53AE15E3" w14:textId="77777777" w:rsidR="00CE57F9" w:rsidRDefault="00CE57F9" w:rsidP="00850571">
                            <w:pPr>
                              <w:widowControl/>
                              <w:spacing w:line="200" w:lineRule="exact"/>
                              <w:rPr>
                                <w:rFonts w:ascii="標楷體" w:eastAsia="標楷體" w:hAnsi="標楷體" w:cs="新細明體"/>
                                <w:kern w:val="0"/>
                                <w:sz w:val="18"/>
                                <w:szCs w:val="18"/>
                              </w:rPr>
                            </w:pPr>
                            <w:r w:rsidRPr="00D01E3C">
                              <w:rPr>
                                <w:rFonts w:ascii="標楷體" w:eastAsia="標楷體" w:hAnsi="標楷體" w:cs="新細明體" w:hint="eastAsia"/>
                                <w:kern w:val="0"/>
                                <w:sz w:val="18"/>
                                <w:szCs w:val="18"/>
                              </w:rPr>
                              <w:t>註：</w:t>
                            </w:r>
                            <w:r>
                              <w:rPr>
                                <w:rFonts w:ascii="標楷體" w:eastAsia="標楷體" w:hAnsi="標楷體" w:cs="新細明體" w:hint="eastAsia"/>
                                <w:kern w:val="0"/>
                                <w:sz w:val="18"/>
                                <w:szCs w:val="18"/>
                              </w:rPr>
                              <w:t>1</w:t>
                            </w:r>
                            <w:r>
                              <w:rPr>
                                <w:rFonts w:ascii="標楷體" w:eastAsia="標楷體" w:hAnsi="標楷體" w:cs="新細明體"/>
                                <w:kern w:val="0"/>
                                <w:sz w:val="18"/>
                                <w:szCs w:val="18"/>
                              </w:rPr>
                              <w:t>.</w:t>
                            </w:r>
                            <w:r w:rsidRPr="00D01E3C">
                              <w:rPr>
                                <w:rFonts w:ascii="標楷體" w:eastAsia="標楷體" w:hAnsi="標楷體" w:cs="新細明體" w:hint="eastAsia"/>
                                <w:kern w:val="0"/>
                                <w:sz w:val="18"/>
                                <w:szCs w:val="18"/>
                              </w:rPr>
                              <w:t>決算數包含實現數、應付數及保留數。</w:t>
                            </w:r>
                          </w:p>
                          <w:p w14:paraId="588A8DD7" w14:textId="77777777" w:rsidR="00CE57F9" w:rsidRPr="000C58EF" w:rsidRDefault="00CE57F9" w:rsidP="00850571">
                            <w:pPr>
                              <w:widowControl/>
                              <w:spacing w:line="200" w:lineRule="exact"/>
                              <w:rPr>
                                <w:rFonts w:eastAsia="Times New Roman"/>
                                <w:kern w:val="0"/>
                                <w:sz w:val="18"/>
                                <w:szCs w:val="18"/>
                              </w:rPr>
                            </w:pPr>
                            <w:r>
                              <w:rPr>
                                <w:rFonts w:eastAsia="Times New Roman"/>
                                <w:kern w:val="0"/>
                                <w:sz w:val="18"/>
                                <w:szCs w:val="18"/>
                              </w:rPr>
                              <w:t xml:space="preserve">     </w:t>
                            </w:r>
                            <w:r w:rsidRPr="000C58EF">
                              <w:rPr>
                                <w:rFonts w:ascii="標楷體" w:eastAsia="標楷體" w:hAnsi="標楷體" w:cs="新細明體"/>
                                <w:kern w:val="0"/>
                                <w:sz w:val="18"/>
                                <w:szCs w:val="18"/>
                              </w:rPr>
                              <w:t>2.</w:t>
                            </w:r>
                            <w:r w:rsidRPr="000C58EF">
                              <w:rPr>
                                <w:rFonts w:ascii="標楷體" w:eastAsia="標楷體" w:hAnsi="標楷體" w:cs="新細明體" w:hint="eastAsia"/>
                                <w:kern w:val="0"/>
                                <w:sz w:val="18"/>
                                <w:szCs w:val="18"/>
                              </w:rPr>
                              <w:t>整理自中央政府各機關提供資料。</w:t>
                            </w:r>
                          </w:p>
                        </w:tc>
                      </w:tr>
                    </w:tbl>
                    <w:p w14:paraId="2D1D55E8" w14:textId="77777777" w:rsidR="00CE57F9" w:rsidRPr="00D77A05" w:rsidRDefault="00CE57F9" w:rsidP="009A54FE">
                      <w:pPr>
                        <w:spacing w:line="218" w:lineRule="exact"/>
                      </w:pPr>
                    </w:p>
                  </w:txbxContent>
                </v:textbox>
                <w10:wrap type="square" anchorx="margin" anchory="margin"/>
              </v:shape>
            </w:pict>
          </mc:Fallback>
        </mc:AlternateContent>
      </w:r>
      <w:r w:rsidR="009A54FE" w:rsidRPr="009D11AD">
        <w:rPr>
          <w:rFonts w:ascii="標楷體" w:eastAsia="標楷體" w:hAnsi="標楷體" w:hint="eastAsia"/>
          <w:szCs w:val="24"/>
        </w:rPr>
        <w:t>11</w:t>
      </w:r>
      <w:r w:rsidR="009A54FE" w:rsidRPr="009D11AD">
        <w:rPr>
          <w:rFonts w:ascii="標楷體" w:eastAsia="標楷體" w:hAnsi="標楷體"/>
          <w:szCs w:val="24"/>
        </w:rPr>
        <w:t>1</w:t>
      </w:r>
      <w:r w:rsidR="009A54FE" w:rsidRPr="009D11AD">
        <w:rPr>
          <w:rFonts w:ascii="標楷體" w:eastAsia="標楷體" w:hAnsi="標楷體" w:hint="eastAsia"/>
          <w:szCs w:val="24"/>
        </w:rPr>
        <w:t>年度中央政府23個主管機關（含所屬公務機關、營業基金及非營業特種基金）於平面、網路、廣播及電視等四大媒體（下稱四大媒體</w:t>
      </w:r>
      <w:r w:rsidR="00D441FD" w:rsidRPr="009D11AD">
        <w:rPr>
          <w:rFonts w:ascii="標楷體" w:eastAsia="標楷體" w:hAnsi="標楷體" w:hint="eastAsia"/>
          <w:szCs w:val="24"/>
        </w:rPr>
        <w:t>）</w:t>
      </w:r>
      <w:r w:rsidR="009A54FE" w:rsidRPr="009D11AD">
        <w:rPr>
          <w:rFonts w:ascii="標楷體" w:eastAsia="標楷體" w:hAnsi="標楷體" w:hint="eastAsia"/>
          <w:szCs w:val="24"/>
        </w:rPr>
        <w:t>辦理媒體政策及業務宣導，合計編列預算</w:t>
      </w:r>
      <w:r w:rsidR="009A54FE" w:rsidRPr="009D11AD">
        <w:rPr>
          <w:rFonts w:ascii="標楷體" w:eastAsia="標楷體" w:hAnsi="標楷體"/>
          <w:szCs w:val="24"/>
        </w:rPr>
        <w:t>16</w:t>
      </w:r>
      <w:r w:rsidR="009A54FE" w:rsidRPr="009D11AD">
        <w:rPr>
          <w:rFonts w:ascii="標楷體" w:eastAsia="標楷體" w:hAnsi="標楷體" w:hint="eastAsia"/>
          <w:szCs w:val="24"/>
        </w:rPr>
        <w:t>億</w:t>
      </w:r>
      <w:r w:rsidR="009A54FE" w:rsidRPr="009D11AD">
        <w:rPr>
          <w:rFonts w:ascii="標楷體" w:eastAsia="標楷體" w:hAnsi="標楷體"/>
          <w:szCs w:val="24"/>
        </w:rPr>
        <w:t>5,377</w:t>
      </w:r>
      <w:r w:rsidR="009A54FE" w:rsidRPr="009D11AD">
        <w:rPr>
          <w:rFonts w:ascii="標楷體" w:eastAsia="標楷體" w:hAnsi="標楷體" w:hint="eastAsia"/>
          <w:szCs w:val="24"/>
        </w:rPr>
        <w:t>萬餘元，執行結果，決算數</w:t>
      </w:r>
      <w:r w:rsidR="009A54FE" w:rsidRPr="009D11AD">
        <w:rPr>
          <w:rFonts w:ascii="標楷體" w:eastAsia="標楷體" w:hAnsi="標楷體"/>
          <w:szCs w:val="24"/>
        </w:rPr>
        <w:t>13</w:t>
      </w:r>
      <w:r w:rsidR="009A54FE" w:rsidRPr="009D11AD">
        <w:rPr>
          <w:rFonts w:ascii="標楷體" w:eastAsia="標楷體" w:hAnsi="標楷體" w:hint="eastAsia"/>
          <w:szCs w:val="24"/>
        </w:rPr>
        <w:t>億</w:t>
      </w:r>
      <w:r w:rsidR="009A54FE" w:rsidRPr="009D11AD">
        <w:rPr>
          <w:rFonts w:ascii="標楷體" w:eastAsia="標楷體" w:hAnsi="標楷體"/>
          <w:szCs w:val="24"/>
        </w:rPr>
        <w:t>8,598</w:t>
      </w:r>
      <w:r w:rsidR="009A54FE" w:rsidRPr="009D11AD">
        <w:rPr>
          <w:rFonts w:ascii="標楷體" w:eastAsia="標楷體" w:hAnsi="標楷體" w:hint="eastAsia"/>
          <w:szCs w:val="24"/>
        </w:rPr>
        <w:t>萬餘元（</w:t>
      </w:r>
      <w:r w:rsidR="009A54FE" w:rsidRPr="00CE57F9">
        <w:rPr>
          <w:rFonts w:ascii="標楷體" w:eastAsia="標楷體" w:hAnsi="標楷體" w:hint="eastAsia"/>
          <w:szCs w:val="24"/>
        </w:rPr>
        <w:t>表11</w:t>
      </w:r>
      <w:r w:rsidR="009A54FE" w:rsidRPr="009D11AD">
        <w:rPr>
          <w:rFonts w:ascii="標楷體" w:eastAsia="標楷體" w:hAnsi="標楷體" w:hint="eastAsia"/>
          <w:szCs w:val="24"/>
        </w:rPr>
        <w:t>）。經查1</w:t>
      </w:r>
      <w:r w:rsidR="009A54FE" w:rsidRPr="009D11AD">
        <w:rPr>
          <w:rFonts w:ascii="標楷體" w:eastAsia="標楷體" w:hAnsi="標楷體"/>
          <w:szCs w:val="24"/>
        </w:rPr>
        <w:t>11</w:t>
      </w:r>
      <w:r w:rsidR="009A54FE" w:rsidRPr="009D11AD">
        <w:rPr>
          <w:rFonts w:ascii="標楷體" w:eastAsia="標楷體" w:hAnsi="標楷體" w:hint="eastAsia"/>
          <w:szCs w:val="24"/>
        </w:rPr>
        <w:t>年度中央政府各機</w:t>
      </w:r>
      <w:r w:rsidR="009A54FE" w:rsidRPr="00DA2751">
        <w:rPr>
          <w:rFonts w:ascii="標楷體" w:eastAsia="標楷體" w:hAnsi="標楷體" w:hint="eastAsia"/>
          <w:spacing w:val="-4"/>
          <w:szCs w:val="24"/>
        </w:rPr>
        <w:t>關（下稱各機關）依預算</w:t>
      </w:r>
      <w:r w:rsidR="009A54FE" w:rsidRPr="009D11AD">
        <w:rPr>
          <w:rFonts w:ascii="標楷體" w:eastAsia="標楷體" w:hAnsi="標楷體" w:hint="eastAsia"/>
          <w:szCs w:val="24"/>
        </w:rPr>
        <w:t>法第62條之1、立法院決議事項等相關規定辦理政策及業務宣導</w:t>
      </w:r>
      <w:r w:rsidR="0095564A">
        <w:rPr>
          <w:rFonts w:ascii="標楷體" w:eastAsia="標楷體" w:hAnsi="標楷體" w:hint="eastAsia"/>
          <w:szCs w:val="24"/>
        </w:rPr>
        <w:t>情形</w:t>
      </w:r>
      <w:r w:rsidR="009A54FE" w:rsidRPr="009D11AD">
        <w:rPr>
          <w:rFonts w:ascii="標楷體" w:eastAsia="標楷體" w:hAnsi="標楷體" w:hint="eastAsia"/>
          <w:szCs w:val="24"/>
        </w:rPr>
        <w:t>，核有下列事項，經函請行政院督促相關機關研謀改善。</w:t>
      </w:r>
      <w:r w:rsidR="009A54FE" w:rsidRPr="00DA2751">
        <w:rPr>
          <w:rFonts w:ascii="標楷體" w:eastAsia="標楷體" w:hAnsi="標楷體" w:hint="eastAsia"/>
          <w:spacing w:val="-4"/>
          <w:szCs w:val="24"/>
        </w:rPr>
        <w:t>據復：</w:t>
      </w:r>
      <w:r w:rsidR="009A54FE" w:rsidRPr="009D11AD">
        <w:rPr>
          <w:rFonts w:ascii="標楷體" w:eastAsia="標楷體" w:hAnsi="標楷體" w:hint="eastAsia"/>
          <w:szCs w:val="24"/>
        </w:rPr>
        <w:t>業交付行政院主計總處處理，</w:t>
      </w:r>
      <w:r w:rsidR="00D274C2" w:rsidRPr="009D11AD">
        <w:rPr>
          <w:rFonts w:ascii="標楷體" w:eastAsia="標楷體" w:hAnsi="標楷體" w:hint="eastAsia"/>
          <w:szCs w:val="24"/>
        </w:rPr>
        <w:t>該</w:t>
      </w:r>
      <w:r w:rsidR="00FC11AD">
        <w:rPr>
          <w:rFonts w:ascii="標楷體" w:eastAsia="標楷體" w:hAnsi="標楷體" w:hint="eastAsia"/>
          <w:szCs w:val="24"/>
        </w:rPr>
        <w:t>總</w:t>
      </w:r>
      <w:r w:rsidR="009A54FE" w:rsidRPr="009D11AD">
        <w:rPr>
          <w:rFonts w:ascii="標楷體" w:eastAsia="標楷體" w:hAnsi="標楷體" w:hint="eastAsia"/>
          <w:szCs w:val="24"/>
        </w:rPr>
        <w:t>處已於11</w:t>
      </w:r>
      <w:r w:rsidR="0011459D">
        <w:rPr>
          <w:rFonts w:ascii="標楷體" w:eastAsia="標楷體" w:hAnsi="標楷體" w:hint="eastAsia"/>
          <w:szCs w:val="24"/>
        </w:rPr>
        <w:t>2</w:t>
      </w:r>
      <w:r w:rsidR="009A54FE" w:rsidRPr="009D11AD">
        <w:rPr>
          <w:rFonts w:ascii="標楷體" w:eastAsia="標楷體" w:hAnsi="標楷體" w:hint="eastAsia"/>
          <w:szCs w:val="24"/>
        </w:rPr>
        <w:t>年6月</w:t>
      </w:r>
      <w:r w:rsidR="009A54FE" w:rsidRPr="009D11AD">
        <w:rPr>
          <w:rFonts w:ascii="標楷體" w:eastAsia="標楷體" w:hAnsi="標楷體"/>
          <w:szCs w:val="24"/>
        </w:rPr>
        <w:t>13</w:t>
      </w:r>
      <w:r w:rsidR="009A54FE" w:rsidRPr="009D11AD">
        <w:rPr>
          <w:rFonts w:ascii="標楷體" w:eastAsia="標楷體" w:hAnsi="標楷體" w:hint="eastAsia"/>
          <w:szCs w:val="24"/>
        </w:rPr>
        <w:t>日函請相關機關研處及檢討辦理。</w:t>
      </w:r>
    </w:p>
    <w:p w14:paraId="62AB9A4A" w14:textId="49E35EFB" w:rsidR="009A4476" w:rsidRPr="009D11AD" w:rsidRDefault="00CB2FCB" w:rsidP="00DA2751">
      <w:pPr>
        <w:overflowPunct w:val="0"/>
        <w:snapToGrid w:val="0"/>
        <w:spacing w:line="414" w:lineRule="exact"/>
        <w:ind w:firstLineChars="450" w:firstLine="1080"/>
        <w:jc w:val="both"/>
        <w:rPr>
          <w:rFonts w:ascii="標楷體" w:eastAsia="標楷體" w:hAnsi="標楷體"/>
          <w:b/>
          <w:bCs/>
          <w:szCs w:val="24"/>
        </w:rPr>
      </w:pPr>
      <w:r w:rsidRPr="00DA2751">
        <w:rPr>
          <w:rFonts w:ascii="標楷體" w:eastAsia="標楷體" w:hAnsi="標楷體" w:cstheme="minorBidi"/>
          <w:noProof/>
          <w:szCs w:val="24"/>
        </w:rPr>
        <mc:AlternateContent>
          <mc:Choice Requires="wps">
            <w:drawing>
              <wp:anchor distT="0" distB="0" distL="114300" distR="114300" simplePos="0" relativeHeight="251670016" behindDoc="0" locked="0" layoutInCell="1" allowOverlap="1" wp14:anchorId="5AC627F8" wp14:editId="77C48965">
                <wp:simplePos x="0" y="0"/>
                <wp:positionH relativeFrom="margin">
                  <wp:posOffset>3094075</wp:posOffset>
                </wp:positionH>
                <wp:positionV relativeFrom="margin">
                  <wp:posOffset>6957503</wp:posOffset>
                </wp:positionV>
                <wp:extent cx="3200400" cy="1911350"/>
                <wp:effectExtent l="0" t="0" r="0" b="0"/>
                <wp:wrapSquare wrapText="bothSides"/>
                <wp:docPr id="47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1911350"/>
                        </a:xfrm>
                        <a:prstGeom prst="rect">
                          <a:avLst/>
                        </a:prstGeom>
                        <a:solidFill>
                          <a:srgbClr val="FFFFFF"/>
                        </a:solidFill>
                        <a:ln w="9525">
                          <a:noFill/>
                          <a:miter lim="800000"/>
                          <a:headEnd/>
                          <a:tailEnd/>
                        </a:ln>
                      </wps:spPr>
                      <wps:txbx>
                        <w:txbxContent>
                          <w:tbl>
                            <w:tblPr>
                              <w:tblStyle w:val="afff"/>
                              <w:tblW w:w="4820" w:type="dxa"/>
                              <w:tblLook w:val="04A0" w:firstRow="1" w:lastRow="0" w:firstColumn="1" w:lastColumn="0" w:noHBand="0" w:noVBand="1"/>
                            </w:tblPr>
                            <w:tblGrid>
                              <w:gridCol w:w="2409"/>
                              <w:gridCol w:w="2411"/>
                            </w:tblGrid>
                            <w:tr w:rsidR="00CE57F9" w:rsidRPr="00AF4DDC" w14:paraId="6937DD20" w14:textId="77777777" w:rsidTr="00850571">
                              <w:tc>
                                <w:tcPr>
                                  <w:tcW w:w="4820" w:type="dxa"/>
                                  <w:gridSpan w:val="2"/>
                                  <w:tcBorders>
                                    <w:top w:val="nil"/>
                                    <w:left w:val="nil"/>
                                    <w:right w:val="nil"/>
                                  </w:tcBorders>
                                </w:tcPr>
                                <w:p w14:paraId="38A691E5" w14:textId="77777777" w:rsidR="00CE57F9" w:rsidRPr="00E456FE" w:rsidRDefault="00CE57F9" w:rsidP="009C3537">
                                  <w:pPr>
                                    <w:kinsoku w:val="0"/>
                                    <w:overflowPunct w:val="0"/>
                                    <w:autoSpaceDE w:val="0"/>
                                    <w:autoSpaceDN w:val="0"/>
                                    <w:adjustRightInd w:val="0"/>
                                    <w:snapToGrid w:val="0"/>
                                    <w:spacing w:line="280" w:lineRule="exact"/>
                                    <w:ind w:leftChars="-50" w:left="625" w:rightChars="-43" w:right="-103" w:hangingChars="310" w:hanging="745"/>
                                    <w:jc w:val="both"/>
                                    <w:rPr>
                                      <w:rFonts w:eastAsia="標楷體"/>
                                      <w:b/>
                                      <w:szCs w:val="24"/>
                                    </w:rPr>
                                  </w:pPr>
                                  <w:r w:rsidRPr="00E456FE">
                                    <w:rPr>
                                      <w:rFonts w:ascii="標楷體" w:eastAsia="標楷體" w:hAnsi="標楷體" w:hint="eastAsia"/>
                                      <w:b/>
                                      <w:szCs w:val="24"/>
                                    </w:rPr>
                                    <w:t>表</w:t>
                                  </w:r>
                                  <w:r>
                                    <w:rPr>
                                      <w:rFonts w:ascii="標楷體" w:eastAsia="標楷體" w:hAnsi="標楷體"/>
                                      <w:b/>
                                      <w:szCs w:val="24"/>
                                    </w:rPr>
                                    <w:t>12</w:t>
                                  </w:r>
                                  <w:r>
                                    <w:rPr>
                                      <w:rFonts w:ascii="標楷體" w:eastAsia="標楷體" w:hAnsi="標楷體" w:hint="eastAsia"/>
                                      <w:b/>
                                      <w:szCs w:val="24"/>
                                    </w:rPr>
                                    <w:t xml:space="preserve">　</w:t>
                                  </w:r>
                                  <w:r w:rsidRPr="00E456FE">
                                    <w:rPr>
                                      <w:rFonts w:ascii="標楷體" w:eastAsia="標楷體" w:hAnsi="標楷體"/>
                                      <w:b/>
                                      <w:szCs w:val="24"/>
                                    </w:rPr>
                                    <w:t>111</w:t>
                                  </w:r>
                                  <w:r w:rsidRPr="00E456FE">
                                    <w:rPr>
                                      <w:rFonts w:ascii="標楷體" w:eastAsia="標楷體" w:hAnsi="標楷體" w:hint="eastAsia"/>
                                      <w:b/>
                                      <w:szCs w:val="24"/>
                                    </w:rPr>
                                    <w:t>年度非營業特種基金</w:t>
                                  </w:r>
                                  <w:r w:rsidRPr="00E456FE">
                                    <w:rPr>
                                      <w:rFonts w:ascii="標楷體" w:eastAsia="標楷體" w:hAnsi="標楷體"/>
                                      <w:b/>
                                      <w:snapToGrid w:val="0"/>
                                      <w:szCs w:val="24"/>
                                    </w:rPr>
                                    <w:t>媒體政策及業務宣導費</w:t>
                                  </w:r>
                                  <w:r>
                                    <w:rPr>
                                      <w:rFonts w:ascii="標楷體" w:eastAsia="標楷體" w:hAnsi="標楷體" w:hint="eastAsia"/>
                                      <w:b/>
                                      <w:snapToGrid w:val="0"/>
                                      <w:szCs w:val="24"/>
                                    </w:rPr>
                                    <w:t>與</w:t>
                                  </w:r>
                                  <w:r w:rsidRPr="004A54A1">
                                    <w:rPr>
                                      <w:rFonts w:ascii="標楷體" w:eastAsia="標楷體" w:hAnsi="標楷體" w:hint="eastAsia"/>
                                      <w:b/>
                                      <w:snapToGrid w:val="0"/>
                                      <w:szCs w:val="24"/>
                                    </w:rPr>
                                    <w:t>行銷推廣費</w:t>
                                  </w:r>
                                  <w:r>
                                    <w:rPr>
                                      <w:rFonts w:ascii="標楷體" w:eastAsia="標楷體" w:hAnsi="標楷體" w:hint="eastAsia"/>
                                      <w:b/>
                                      <w:snapToGrid w:val="0"/>
                                      <w:szCs w:val="24"/>
                                    </w:rPr>
                                    <w:t>用</w:t>
                                  </w:r>
                                  <w:r w:rsidRPr="00E456FE">
                                    <w:rPr>
                                      <w:rFonts w:ascii="標楷體" w:eastAsia="標楷體" w:hAnsi="標楷體" w:hint="eastAsia"/>
                                      <w:b/>
                                      <w:szCs w:val="24"/>
                                    </w:rPr>
                                    <w:t>途</w:t>
                                  </w:r>
                                  <w:r w:rsidRPr="009C3537">
                                    <w:rPr>
                                      <w:rFonts w:ascii="標楷體" w:eastAsia="標楷體" w:hAnsi="標楷體" w:hint="eastAsia"/>
                                      <w:b/>
                                      <w:spacing w:val="-2"/>
                                      <w:szCs w:val="24"/>
                                    </w:rPr>
                                    <w:t>別科</w:t>
                                  </w:r>
                                  <w:r w:rsidRPr="00E456FE">
                                    <w:rPr>
                                      <w:rFonts w:ascii="標楷體" w:eastAsia="標楷體" w:hAnsi="標楷體" w:hint="eastAsia"/>
                                      <w:b/>
                                      <w:szCs w:val="24"/>
                                    </w:rPr>
                                    <w:t>目定義</w:t>
                                  </w:r>
                                </w:p>
                              </w:tc>
                            </w:tr>
                            <w:tr w:rsidR="00CE57F9" w:rsidRPr="00D01E3C" w14:paraId="53E8018B" w14:textId="77777777" w:rsidTr="009C3537">
                              <w:trPr>
                                <w:trHeight w:val="286"/>
                              </w:trPr>
                              <w:tc>
                                <w:tcPr>
                                  <w:tcW w:w="2409" w:type="dxa"/>
                                  <w:vAlign w:val="center"/>
                                </w:tcPr>
                                <w:p w14:paraId="1F2AF3C9" w14:textId="77777777" w:rsidR="00CE57F9" w:rsidRPr="000057AC" w:rsidRDefault="00CE57F9" w:rsidP="00850571">
                                  <w:pPr>
                                    <w:kinsoku w:val="0"/>
                                    <w:overflowPunct w:val="0"/>
                                    <w:autoSpaceDE w:val="0"/>
                                    <w:autoSpaceDN w:val="0"/>
                                    <w:adjustRightInd w:val="0"/>
                                    <w:snapToGrid w:val="0"/>
                                    <w:spacing w:line="200" w:lineRule="exact"/>
                                    <w:jc w:val="center"/>
                                    <w:rPr>
                                      <w:rFonts w:ascii="標楷體" w:eastAsia="標楷體" w:hAnsi="標楷體"/>
                                      <w:color w:val="000000"/>
                                      <w:sz w:val="20"/>
                                    </w:rPr>
                                  </w:pPr>
                                  <w:r w:rsidRPr="00CD5F4B">
                                    <w:rPr>
                                      <w:rFonts w:ascii="標楷體" w:eastAsia="標楷體" w:hAnsi="標楷體"/>
                                      <w:color w:val="000000"/>
                                      <w:sz w:val="20"/>
                                    </w:rPr>
                                    <w:t>媒體政策及業務宣導費</w:t>
                                  </w:r>
                                </w:p>
                              </w:tc>
                              <w:tc>
                                <w:tcPr>
                                  <w:tcW w:w="2411" w:type="dxa"/>
                                  <w:vAlign w:val="center"/>
                                </w:tcPr>
                                <w:p w14:paraId="4DD733B8" w14:textId="77777777" w:rsidR="00CE57F9" w:rsidRPr="000057AC" w:rsidRDefault="00CE57F9" w:rsidP="00850571">
                                  <w:pPr>
                                    <w:widowControl/>
                                    <w:spacing w:line="200" w:lineRule="exact"/>
                                    <w:jc w:val="center"/>
                                    <w:rPr>
                                      <w:rFonts w:ascii="標楷體" w:eastAsia="標楷體" w:hAnsi="標楷體"/>
                                      <w:sz w:val="20"/>
                                    </w:rPr>
                                  </w:pPr>
                                  <w:r w:rsidRPr="00CD5F4B">
                                    <w:rPr>
                                      <w:rFonts w:ascii="標楷體" w:eastAsia="標楷體" w:hAnsi="標楷體"/>
                                      <w:sz w:val="20"/>
                                    </w:rPr>
                                    <w:t>行銷推廣費</w:t>
                                  </w:r>
                                </w:p>
                              </w:tc>
                            </w:tr>
                            <w:tr w:rsidR="00CE57F9" w:rsidRPr="00D01E3C" w14:paraId="1F78AB88" w14:textId="77777777" w:rsidTr="00850571">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06901A53" w14:textId="77777777" w:rsidR="00CE57F9" w:rsidRPr="00CD5F4B" w:rsidRDefault="00CE57F9" w:rsidP="00850571">
                                  <w:pPr>
                                    <w:autoSpaceDE w:val="0"/>
                                    <w:spacing w:line="200" w:lineRule="exact"/>
                                    <w:jc w:val="both"/>
                                    <w:rPr>
                                      <w:rFonts w:ascii="標楷體" w:eastAsia="標楷體" w:hAnsi="標楷體"/>
                                      <w:color w:val="000000"/>
                                      <w:sz w:val="20"/>
                                    </w:rPr>
                                  </w:pPr>
                                  <w:r w:rsidRPr="00CD5F4B">
                                    <w:rPr>
                                      <w:rFonts w:ascii="標楷體" w:eastAsia="標楷體" w:hAnsi="標楷體" w:hint="eastAsia"/>
                                      <w:color w:val="000000"/>
                                      <w:sz w:val="20"/>
                                    </w:rPr>
                                    <w:t>凡依預算法第62條之1規定於平面媒體、廣播媒體、網路媒體（含社群媒體）及電視媒體辦理之宣導費用屬之。</w:t>
                                  </w:r>
                                </w:p>
                              </w:tc>
                              <w:tc>
                                <w:tcPr>
                                  <w:tcW w:w="2411" w:type="dxa"/>
                                </w:tcPr>
                                <w:p w14:paraId="614E9A0C" w14:textId="77777777" w:rsidR="00CE57F9" w:rsidRPr="00CD5F4B" w:rsidRDefault="00CE57F9" w:rsidP="00850571">
                                  <w:pPr>
                                    <w:autoSpaceDE w:val="0"/>
                                    <w:spacing w:line="200" w:lineRule="exact"/>
                                    <w:jc w:val="both"/>
                                    <w:rPr>
                                      <w:rFonts w:ascii="標楷體" w:eastAsia="標楷體" w:hAnsi="標楷體"/>
                                      <w:color w:val="000000"/>
                                      <w:sz w:val="20"/>
                                    </w:rPr>
                                  </w:pPr>
                                  <w:r w:rsidRPr="00CD5F4B">
                                    <w:rPr>
                                      <w:rFonts w:ascii="標楷體" w:eastAsia="標楷體" w:hAnsi="標楷體" w:hint="eastAsia"/>
                                      <w:color w:val="000000"/>
                                      <w:sz w:val="20"/>
                                    </w:rPr>
                                    <w:t>凡不屬於媒體政策及業務宣導，為產品示範、推廣、促銷及各項廣告、樣品贈送等行銷、宣導費用屬之。</w:t>
                                  </w:r>
                                </w:p>
                              </w:tc>
                            </w:tr>
                            <w:tr w:rsidR="00CE57F9" w:rsidRPr="00D01E3C" w14:paraId="43E56BB5" w14:textId="77777777" w:rsidTr="00850571">
                              <w:tc>
                                <w:tcPr>
                                  <w:tcW w:w="4820" w:type="dxa"/>
                                  <w:gridSpan w:val="2"/>
                                  <w:tcBorders>
                                    <w:top w:val="single" w:sz="4" w:space="0" w:color="000000"/>
                                    <w:left w:val="nil"/>
                                    <w:bottom w:val="nil"/>
                                    <w:right w:val="nil"/>
                                  </w:tcBorders>
                                  <w:shd w:val="clear" w:color="auto" w:fill="auto"/>
                                </w:tcPr>
                                <w:p w14:paraId="73594CD5" w14:textId="77777777" w:rsidR="00CE57F9" w:rsidRPr="00E456FE" w:rsidRDefault="00CE57F9" w:rsidP="009C3537">
                                  <w:pPr>
                                    <w:autoSpaceDE w:val="0"/>
                                    <w:spacing w:line="180" w:lineRule="exact"/>
                                    <w:ind w:leftChars="-55" w:left="732" w:hangingChars="480" w:hanging="864"/>
                                    <w:jc w:val="both"/>
                                    <w:rPr>
                                      <w:rFonts w:ascii="標楷體" w:eastAsia="標楷體" w:hAnsi="標楷體"/>
                                      <w:color w:val="000000"/>
                                      <w:sz w:val="18"/>
                                      <w:szCs w:val="18"/>
                                    </w:rPr>
                                  </w:pPr>
                                  <w:r w:rsidRPr="00E456FE">
                                    <w:rPr>
                                      <w:rFonts w:ascii="標楷體" w:eastAsia="標楷體" w:hAnsi="標楷體" w:hint="eastAsia"/>
                                      <w:color w:val="000000"/>
                                      <w:sz w:val="18"/>
                                      <w:szCs w:val="18"/>
                                    </w:rPr>
                                    <w:t>資料來源：整理自</w:t>
                                  </w:r>
                                  <w:r w:rsidRPr="00D274C2">
                                    <w:rPr>
                                      <w:rFonts w:ascii="標楷體" w:eastAsia="標楷體" w:hAnsi="標楷體" w:hint="eastAsia"/>
                                      <w:color w:val="000000"/>
                                      <w:sz w:val="18"/>
                                      <w:szCs w:val="18"/>
                                    </w:rPr>
                                    <w:t>行政院</w:t>
                                  </w:r>
                                  <w:r w:rsidRPr="00E456FE">
                                    <w:rPr>
                                      <w:rFonts w:ascii="標楷體" w:eastAsia="標楷體" w:hAnsi="標楷體" w:hint="eastAsia"/>
                                      <w:sz w:val="18"/>
                                      <w:szCs w:val="18"/>
                                    </w:rPr>
                                    <w:t>主計總處</w:t>
                                  </w:r>
                                  <w:r w:rsidRPr="00E456FE">
                                    <w:rPr>
                                      <w:rFonts w:ascii="標楷體" w:eastAsia="標楷體" w:hAnsi="標楷體" w:hint="eastAsia"/>
                                      <w:color w:val="000000"/>
                                      <w:sz w:val="18"/>
                                      <w:szCs w:val="18"/>
                                    </w:rPr>
                                    <w:t>110年6月17日函送各機關自111年度預算案適用之「債務基金</w:t>
                                  </w:r>
                                  <w:r>
                                    <w:rPr>
                                      <w:rFonts w:ascii="標楷體" w:eastAsia="標楷體" w:hAnsi="標楷體" w:hint="eastAsia"/>
                                      <w:color w:val="000000"/>
                                      <w:sz w:val="18"/>
                                      <w:szCs w:val="18"/>
                                    </w:rPr>
                                    <w:t>、特別收入基金及資本計畫基金基金來源、用途及餘絀表預算科目表」及</w:t>
                                  </w:r>
                                  <w:r w:rsidRPr="00E456FE">
                                    <w:rPr>
                                      <w:rFonts w:ascii="標楷體" w:eastAsia="標楷體" w:hAnsi="標楷體" w:hint="eastAsia"/>
                                      <w:color w:val="000000"/>
                                      <w:sz w:val="18"/>
                                      <w:szCs w:val="18"/>
                                    </w:rPr>
                                    <w:t>「作業基金採企業會計準則適用用途別科目」。</w:t>
                                  </w:r>
                                </w:p>
                              </w:tc>
                            </w:tr>
                          </w:tbl>
                          <w:p w14:paraId="5361E0FC" w14:textId="77777777" w:rsidR="00CE57F9" w:rsidRPr="00D77A05" w:rsidRDefault="00CE57F9" w:rsidP="00CB2FCB">
                            <w:pPr>
                              <w:spacing w:line="218"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C627F8" id="_x0000_s1046" type="#_x0000_t202" style="position:absolute;left:0;text-align:left;margin-left:243.65pt;margin-top:547.85pt;width:252pt;height:150.5pt;z-index:2516700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" stroked="f">
                <v:textbox>
                  <w:txbxContent>
                    <w:tbl>
                      <w:tblPr>
                        <w:tblStyle w:val="afff"/>
                        <w:tblW w:w="4820" w:type="dxa"/>
                        <w:tblLook w:val="04A0" w:firstRow="1" w:lastRow="0" w:firstColumn="1" w:lastColumn="0" w:noHBand="0" w:noVBand="1"/>
                      </w:tblPr>
                      <w:tblGrid>
                        <w:gridCol w:w="2409"/>
                        <w:gridCol w:w="2411"/>
                      </w:tblGrid>
                      <w:tr w:rsidR="00CE57F9" w:rsidRPr="00AF4DDC" w14:paraId="6937DD20" w14:textId="77777777" w:rsidTr="00850571">
                        <w:tc>
                          <w:tcPr>
                            <w:tcW w:w="4820" w:type="dxa"/>
                            <w:gridSpan w:val="2"/>
                            <w:tcBorders>
                              <w:top w:val="nil"/>
                              <w:left w:val="nil"/>
                              <w:right w:val="nil"/>
                            </w:tcBorders>
                          </w:tcPr>
                          <w:p w14:paraId="38A691E5" w14:textId="77777777" w:rsidR="00CE57F9" w:rsidRPr="00E456FE" w:rsidRDefault="00CE57F9" w:rsidP="009C3537">
                            <w:pPr>
                              <w:kinsoku w:val="0"/>
                              <w:overflowPunct w:val="0"/>
                              <w:autoSpaceDE w:val="0"/>
                              <w:autoSpaceDN w:val="0"/>
                              <w:adjustRightInd w:val="0"/>
                              <w:snapToGrid w:val="0"/>
                              <w:spacing w:line="280" w:lineRule="exact"/>
                              <w:ind w:leftChars="-50" w:left="625" w:rightChars="-43" w:right="-103" w:hangingChars="310" w:hanging="745"/>
                              <w:jc w:val="both"/>
                              <w:rPr>
                                <w:rFonts w:eastAsia="標楷體"/>
                                <w:b/>
                                <w:szCs w:val="24"/>
                              </w:rPr>
                            </w:pPr>
                            <w:r w:rsidRPr="00E456FE">
                              <w:rPr>
                                <w:rFonts w:ascii="標楷體" w:eastAsia="標楷體" w:hAnsi="標楷體" w:hint="eastAsia"/>
                                <w:b/>
                                <w:szCs w:val="24"/>
                              </w:rPr>
                              <w:t>表</w:t>
                            </w:r>
                            <w:r>
                              <w:rPr>
                                <w:rFonts w:ascii="標楷體" w:eastAsia="標楷體" w:hAnsi="標楷體"/>
                                <w:b/>
                                <w:szCs w:val="24"/>
                              </w:rPr>
                              <w:t>12</w:t>
                            </w:r>
                            <w:r>
                              <w:rPr>
                                <w:rFonts w:ascii="標楷體" w:eastAsia="標楷體" w:hAnsi="標楷體" w:hint="eastAsia"/>
                                <w:b/>
                                <w:szCs w:val="24"/>
                              </w:rPr>
                              <w:t xml:space="preserve">　</w:t>
                            </w:r>
                            <w:r w:rsidRPr="00E456FE">
                              <w:rPr>
                                <w:rFonts w:ascii="標楷體" w:eastAsia="標楷體" w:hAnsi="標楷體"/>
                                <w:b/>
                                <w:szCs w:val="24"/>
                              </w:rPr>
                              <w:t>111</w:t>
                            </w:r>
                            <w:r w:rsidRPr="00E456FE">
                              <w:rPr>
                                <w:rFonts w:ascii="標楷體" w:eastAsia="標楷體" w:hAnsi="標楷體" w:hint="eastAsia"/>
                                <w:b/>
                                <w:szCs w:val="24"/>
                              </w:rPr>
                              <w:t>年度非營業特種基金</w:t>
                            </w:r>
                            <w:r w:rsidRPr="00E456FE">
                              <w:rPr>
                                <w:rFonts w:ascii="標楷體" w:eastAsia="標楷體" w:hAnsi="標楷體"/>
                                <w:b/>
                                <w:snapToGrid w:val="0"/>
                                <w:szCs w:val="24"/>
                              </w:rPr>
                              <w:t>媒體政策及業務宣導費</w:t>
                            </w:r>
                            <w:r>
                              <w:rPr>
                                <w:rFonts w:ascii="標楷體" w:eastAsia="標楷體" w:hAnsi="標楷體" w:hint="eastAsia"/>
                                <w:b/>
                                <w:snapToGrid w:val="0"/>
                                <w:szCs w:val="24"/>
                              </w:rPr>
                              <w:t>與</w:t>
                            </w:r>
                            <w:r w:rsidRPr="004A54A1">
                              <w:rPr>
                                <w:rFonts w:ascii="標楷體" w:eastAsia="標楷體" w:hAnsi="標楷體" w:hint="eastAsia"/>
                                <w:b/>
                                <w:snapToGrid w:val="0"/>
                                <w:szCs w:val="24"/>
                              </w:rPr>
                              <w:t>行銷推廣費</w:t>
                            </w:r>
                            <w:r>
                              <w:rPr>
                                <w:rFonts w:ascii="標楷體" w:eastAsia="標楷體" w:hAnsi="標楷體" w:hint="eastAsia"/>
                                <w:b/>
                                <w:snapToGrid w:val="0"/>
                                <w:szCs w:val="24"/>
                              </w:rPr>
                              <w:t>用</w:t>
                            </w:r>
                            <w:r w:rsidRPr="00E456FE">
                              <w:rPr>
                                <w:rFonts w:ascii="標楷體" w:eastAsia="標楷體" w:hAnsi="標楷體" w:hint="eastAsia"/>
                                <w:b/>
                                <w:szCs w:val="24"/>
                              </w:rPr>
                              <w:t>途</w:t>
                            </w:r>
                            <w:r w:rsidRPr="009C3537">
                              <w:rPr>
                                <w:rFonts w:ascii="標楷體" w:eastAsia="標楷體" w:hAnsi="標楷體" w:hint="eastAsia"/>
                                <w:b/>
                                <w:spacing w:val="-2"/>
                                <w:szCs w:val="24"/>
                              </w:rPr>
                              <w:t>別科</w:t>
                            </w:r>
                            <w:r w:rsidRPr="00E456FE">
                              <w:rPr>
                                <w:rFonts w:ascii="標楷體" w:eastAsia="標楷體" w:hAnsi="標楷體" w:hint="eastAsia"/>
                                <w:b/>
                                <w:szCs w:val="24"/>
                              </w:rPr>
                              <w:t>目定義</w:t>
                            </w:r>
                          </w:p>
                        </w:tc>
                      </w:tr>
                      <w:tr w:rsidR="00CE57F9" w:rsidRPr="00D01E3C" w14:paraId="53E8018B" w14:textId="77777777" w:rsidTr="009C3537">
                        <w:trPr>
                          <w:trHeight w:val="286"/>
                        </w:trPr>
                        <w:tc>
                          <w:tcPr>
                            <w:tcW w:w="2409" w:type="dxa"/>
                            <w:vAlign w:val="center"/>
                          </w:tcPr>
                          <w:p w14:paraId="1F2AF3C9" w14:textId="77777777" w:rsidR="00CE57F9" w:rsidRPr="000057AC" w:rsidRDefault="00CE57F9" w:rsidP="00850571">
                            <w:pPr>
                              <w:kinsoku w:val="0"/>
                              <w:overflowPunct w:val="0"/>
                              <w:autoSpaceDE w:val="0"/>
                              <w:autoSpaceDN w:val="0"/>
                              <w:adjustRightInd w:val="0"/>
                              <w:snapToGrid w:val="0"/>
                              <w:spacing w:line="200" w:lineRule="exact"/>
                              <w:jc w:val="center"/>
                              <w:rPr>
                                <w:rFonts w:ascii="標楷體" w:eastAsia="標楷體" w:hAnsi="標楷體"/>
                                <w:color w:val="000000"/>
                                <w:sz w:val="20"/>
                              </w:rPr>
                            </w:pPr>
                            <w:r w:rsidRPr="00CD5F4B">
                              <w:rPr>
                                <w:rFonts w:ascii="標楷體" w:eastAsia="標楷體" w:hAnsi="標楷體"/>
                                <w:color w:val="000000"/>
                                <w:sz w:val="20"/>
                              </w:rPr>
                              <w:t>媒體政策及業務宣導費</w:t>
                            </w:r>
                          </w:p>
                        </w:tc>
                        <w:tc>
                          <w:tcPr>
                            <w:tcW w:w="2411" w:type="dxa"/>
                            <w:vAlign w:val="center"/>
                          </w:tcPr>
                          <w:p w14:paraId="4DD733B8" w14:textId="77777777" w:rsidR="00CE57F9" w:rsidRPr="000057AC" w:rsidRDefault="00CE57F9" w:rsidP="00850571">
                            <w:pPr>
                              <w:widowControl/>
                              <w:spacing w:line="200" w:lineRule="exact"/>
                              <w:jc w:val="center"/>
                              <w:rPr>
                                <w:rFonts w:ascii="標楷體" w:eastAsia="標楷體" w:hAnsi="標楷體"/>
                                <w:sz w:val="20"/>
                              </w:rPr>
                            </w:pPr>
                            <w:r w:rsidRPr="00CD5F4B">
                              <w:rPr>
                                <w:rFonts w:ascii="標楷體" w:eastAsia="標楷體" w:hAnsi="標楷體"/>
                                <w:sz w:val="20"/>
                              </w:rPr>
                              <w:t>行銷推廣費</w:t>
                            </w:r>
                          </w:p>
                        </w:tc>
                      </w:tr>
                      <w:tr w:rsidR="00CE57F9" w:rsidRPr="00D01E3C" w14:paraId="1F78AB88" w14:textId="77777777" w:rsidTr="00850571">
                        <w:tc>
                          <w:tcPr>
                            <w:tcW w:w="2409" w:type="dxa"/>
                            <w:tcBorders>
                              <w:top w:val="single" w:sz="4" w:space="0" w:color="000000"/>
                              <w:left w:val="single" w:sz="4" w:space="0" w:color="000000"/>
                              <w:bottom w:val="single" w:sz="4" w:space="0" w:color="000000"/>
                              <w:right w:val="single" w:sz="4" w:space="0" w:color="000000"/>
                            </w:tcBorders>
                            <w:shd w:val="clear" w:color="auto" w:fill="auto"/>
                          </w:tcPr>
                          <w:p w14:paraId="06901A53" w14:textId="77777777" w:rsidR="00CE57F9" w:rsidRPr="00CD5F4B" w:rsidRDefault="00CE57F9" w:rsidP="00850571">
                            <w:pPr>
                              <w:autoSpaceDE w:val="0"/>
                              <w:spacing w:line="200" w:lineRule="exact"/>
                              <w:jc w:val="both"/>
                              <w:rPr>
                                <w:rFonts w:ascii="標楷體" w:eastAsia="標楷體" w:hAnsi="標楷體"/>
                                <w:color w:val="000000"/>
                                <w:sz w:val="20"/>
                              </w:rPr>
                            </w:pPr>
                            <w:r w:rsidRPr="00CD5F4B">
                              <w:rPr>
                                <w:rFonts w:ascii="標楷體" w:eastAsia="標楷體" w:hAnsi="標楷體" w:hint="eastAsia"/>
                                <w:color w:val="000000"/>
                                <w:sz w:val="20"/>
                              </w:rPr>
                              <w:t>凡依預算法第62條之1規定於平面媒體、廣播媒體、網路媒體（含社群媒體）及電視媒體辦理之宣導費用屬之。</w:t>
                            </w:r>
                          </w:p>
                        </w:tc>
                        <w:tc>
                          <w:tcPr>
                            <w:tcW w:w="2411" w:type="dxa"/>
                          </w:tcPr>
                          <w:p w14:paraId="614E9A0C" w14:textId="77777777" w:rsidR="00CE57F9" w:rsidRPr="00CD5F4B" w:rsidRDefault="00CE57F9" w:rsidP="00850571">
                            <w:pPr>
                              <w:autoSpaceDE w:val="0"/>
                              <w:spacing w:line="200" w:lineRule="exact"/>
                              <w:jc w:val="both"/>
                              <w:rPr>
                                <w:rFonts w:ascii="標楷體" w:eastAsia="標楷體" w:hAnsi="標楷體"/>
                                <w:color w:val="000000"/>
                                <w:sz w:val="20"/>
                              </w:rPr>
                            </w:pPr>
                            <w:r w:rsidRPr="00CD5F4B">
                              <w:rPr>
                                <w:rFonts w:ascii="標楷體" w:eastAsia="標楷體" w:hAnsi="標楷體" w:hint="eastAsia"/>
                                <w:color w:val="000000"/>
                                <w:sz w:val="20"/>
                              </w:rPr>
                              <w:t>凡不屬於媒體政策及業務宣導，為產品示範、推廣、促銷及各項廣告、樣品贈送等行銷、宣導費用屬之。</w:t>
                            </w:r>
                          </w:p>
                        </w:tc>
                      </w:tr>
                      <w:tr w:rsidR="00CE57F9" w:rsidRPr="00D01E3C" w14:paraId="43E56BB5" w14:textId="77777777" w:rsidTr="00850571">
                        <w:tc>
                          <w:tcPr>
                            <w:tcW w:w="4820" w:type="dxa"/>
                            <w:gridSpan w:val="2"/>
                            <w:tcBorders>
                              <w:top w:val="single" w:sz="4" w:space="0" w:color="000000"/>
                              <w:left w:val="nil"/>
                              <w:bottom w:val="nil"/>
                              <w:right w:val="nil"/>
                            </w:tcBorders>
                            <w:shd w:val="clear" w:color="auto" w:fill="auto"/>
                          </w:tcPr>
                          <w:p w14:paraId="73594CD5" w14:textId="77777777" w:rsidR="00CE57F9" w:rsidRPr="00E456FE" w:rsidRDefault="00CE57F9" w:rsidP="009C3537">
                            <w:pPr>
                              <w:autoSpaceDE w:val="0"/>
                              <w:spacing w:line="180" w:lineRule="exact"/>
                              <w:ind w:leftChars="-55" w:left="732" w:hangingChars="480" w:hanging="864"/>
                              <w:jc w:val="both"/>
                              <w:rPr>
                                <w:rFonts w:ascii="標楷體" w:eastAsia="標楷體" w:hAnsi="標楷體"/>
                                <w:color w:val="000000"/>
                                <w:sz w:val="18"/>
                                <w:szCs w:val="18"/>
                              </w:rPr>
                            </w:pPr>
                            <w:r w:rsidRPr="00E456FE">
                              <w:rPr>
                                <w:rFonts w:ascii="標楷體" w:eastAsia="標楷體" w:hAnsi="標楷體" w:hint="eastAsia"/>
                                <w:color w:val="000000"/>
                                <w:sz w:val="18"/>
                                <w:szCs w:val="18"/>
                              </w:rPr>
                              <w:t>資料來源：整理自</w:t>
                            </w:r>
                            <w:r w:rsidRPr="00D274C2">
                              <w:rPr>
                                <w:rFonts w:ascii="標楷體" w:eastAsia="標楷體" w:hAnsi="標楷體" w:hint="eastAsia"/>
                                <w:color w:val="000000"/>
                                <w:sz w:val="18"/>
                                <w:szCs w:val="18"/>
                              </w:rPr>
                              <w:t>行政院</w:t>
                            </w:r>
                            <w:r w:rsidRPr="00E456FE">
                              <w:rPr>
                                <w:rFonts w:ascii="標楷體" w:eastAsia="標楷體" w:hAnsi="標楷體" w:hint="eastAsia"/>
                                <w:sz w:val="18"/>
                                <w:szCs w:val="18"/>
                              </w:rPr>
                              <w:t>主計總處</w:t>
                            </w:r>
                            <w:r w:rsidRPr="00E456FE">
                              <w:rPr>
                                <w:rFonts w:ascii="標楷體" w:eastAsia="標楷體" w:hAnsi="標楷體" w:hint="eastAsia"/>
                                <w:color w:val="000000"/>
                                <w:sz w:val="18"/>
                                <w:szCs w:val="18"/>
                              </w:rPr>
                              <w:t>110年6月17日函送各機關自111年度預算案適用之「債務基金</w:t>
                            </w:r>
                            <w:r>
                              <w:rPr>
                                <w:rFonts w:ascii="標楷體" w:eastAsia="標楷體" w:hAnsi="標楷體" w:hint="eastAsia"/>
                                <w:color w:val="000000"/>
                                <w:sz w:val="18"/>
                                <w:szCs w:val="18"/>
                              </w:rPr>
                              <w:t>、特別收入基金及資本計畫基金基金來源、用途及餘絀表預算科目表」及</w:t>
                            </w:r>
                            <w:r w:rsidRPr="00E456FE">
                              <w:rPr>
                                <w:rFonts w:ascii="標楷體" w:eastAsia="標楷體" w:hAnsi="標楷體" w:hint="eastAsia"/>
                                <w:color w:val="000000"/>
                                <w:sz w:val="18"/>
                                <w:szCs w:val="18"/>
                              </w:rPr>
                              <w:t>「作業基金採企業會計準則適用用途別科目」。</w:t>
                            </w:r>
                          </w:p>
                        </w:tc>
                      </w:tr>
                    </w:tbl>
                    <w:p w14:paraId="5361E0FC" w14:textId="77777777" w:rsidR="00CE57F9" w:rsidRPr="00D77A05" w:rsidRDefault="00CE57F9" w:rsidP="00CB2FCB">
                      <w:pPr>
                        <w:spacing w:line="218" w:lineRule="exact"/>
                      </w:pPr>
                    </w:p>
                  </w:txbxContent>
                </v:textbox>
                <w10:wrap type="square" anchorx="margin" anchory="margin"/>
              </v:shape>
            </w:pict>
          </mc:Fallback>
        </mc:AlternateContent>
      </w:r>
      <w:r w:rsidR="009A54FE" w:rsidRPr="009D11AD">
        <w:rPr>
          <w:rFonts w:ascii="標楷體" w:eastAsia="標楷體" w:hAnsi="標楷體" w:hint="eastAsia"/>
          <w:b/>
          <w:bCs/>
          <w:szCs w:val="24"/>
        </w:rPr>
        <w:t>1.</w:t>
      </w:r>
      <w:r w:rsidR="009A54FE" w:rsidRPr="00DA2751">
        <w:rPr>
          <w:rFonts w:ascii="標楷體" w:eastAsia="標楷體" w:hAnsi="標楷體" w:hint="eastAsia"/>
          <w:b/>
          <w:bCs/>
          <w:color w:val="000000"/>
          <w:szCs w:val="24"/>
        </w:rPr>
        <w:t xml:space="preserve">　</w:t>
      </w:r>
      <w:r w:rsidR="009A54FE" w:rsidRPr="009D11AD">
        <w:rPr>
          <w:rFonts w:ascii="標楷體" w:eastAsia="標楷體" w:hAnsi="標楷體" w:hint="eastAsia"/>
          <w:b/>
          <w:bCs/>
          <w:szCs w:val="24"/>
        </w:rPr>
        <w:t>尚乏明確界定「媒體政策及業務宣導費」及「行銷推廣費」範圍、資訊公開期限及應公告月份標準、年度中移撥業務涉及政策及業務宣導經費，應辦理公告資訊之機關、廠商回饋項目適用性，</w:t>
      </w:r>
      <w:r w:rsidR="009A54FE" w:rsidRPr="009D11AD">
        <w:rPr>
          <w:rFonts w:ascii="標楷體" w:eastAsia="標楷體" w:hAnsi="標楷體" w:cs="新細明體" w:hint="eastAsia"/>
          <w:b/>
          <w:szCs w:val="24"/>
        </w:rPr>
        <w:t>允宜督促權責機關</w:t>
      </w:r>
      <w:r w:rsidR="009A54FE" w:rsidRPr="009D11AD">
        <w:rPr>
          <w:rFonts w:ascii="標楷體" w:eastAsia="標楷體" w:hAnsi="標楷體" w:cs="新細明體"/>
          <w:b/>
          <w:szCs w:val="24"/>
        </w:rPr>
        <w:t>明確</w:t>
      </w:r>
      <w:r w:rsidR="009A54FE" w:rsidRPr="009D11AD">
        <w:rPr>
          <w:rFonts w:ascii="標楷體" w:eastAsia="標楷體" w:hAnsi="標楷體" w:cs="新細明體" w:hint="eastAsia"/>
          <w:b/>
          <w:szCs w:val="24"/>
        </w:rPr>
        <w:t>規範</w:t>
      </w:r>
      <w:r w:rsidR="009A54FE" w:rsidRPr="009D11AD">
        <w:rPr>
          <w:rFonts w:ascii="標楷體" w:eastAsia="標楷體" w:hAnsi="標楷體" w:hint="eastAsia"/>
          <w:b/>
          <w:bCs/>
          <w:szCs w:val="24"/>
        </w:rPr>
        <w:t>，俾利依循辦理暨各界有效監督：</w:t>
      </w:r>
      <w:r w:rsidR="0071165D" w:rsidRPr="0071165D">
        <w:rPr>
          <w:rFonts w:ascii="標楷體" w:eastAsia="標楷體" w:hAnsi="標楷體" w:hint="eastAsia"/>
          <w:bCs/>
          <w:szCs w:val="24"/>
        </w:rPr>
        <w:t>各</w:t>
      </w:r>
      <w:r w:rsidR="009A54FE" w:rsidRPr="009D11AD">
        <w:rPr>
          <w:rFonts w:ascii="標楷體" w:eastAsia="標楷體" w:hAnsi="標楷體" w:hint="eastAsia"/>
          <w:szCs w:val="24"/>
        </w:rPr>
        <w:t>機關辦理政策及業務宣導相關經費預算編列及公告情形，核有：（1）各機關自編列111年度預算起，應將媒體政策及業務宣導費編列於專屬三級用途別科目，經查科學園區管理局作業基金（南科管理局）、行政院國家科學技術發展基金及交通作業基金（國道公路建設管理基金）等非營業基金辦理部分宣導事項似屬預算法第62條之1規定「政策及業務宣導」範疇，而111年度中央政府總預算附屬單位預算編製應行注意事項</w:t>
      </w:r>
      <w:r w:rsidR="002D637E" w:rsidRPr="009D11AD">
        <w:rPr>
          <w:rFonts w:ascii="標楷體" w:eastAsia="標楷體" w:hAnsi="標楷體" w:hint="eastAsia"/>
          <w:szCs w:val="24"/>
        </w:rPr>
        <w:t>－</w:t>
      </w:r>
      <w:r w:rsidR="009A54FE" w:rsidRPr="009D11AD">
        <w:rPr>
          <w:rFonts w:ascii="標楷體" w:eastAsia="標楷體" w:hAnsi="標楷體" w:hint="eastAsia"/>
          <w:szCs w:val="24"/>
        </w:rPr>
        <w:t>非營業部分、一、（二十二）（媒體政策及業務宣導費與行銷推廣費）2規定</w:t>
      </w:r>
      <w:r w:rsidR="009A4476" w:rsidRPr="009D11AD">
        <w:rPr>
          <w:rFonts w:ascii="標楷體" w:eastAsia="標楷體" w:hAnsi="標楷體" w:hint="eastAsia"/>
          <w:szCs w:val="24"/>
        </w:rPr>
        <w:t>（</w:t>
      </w:r>
      <w:r w:rsidR="009A4476" w:rsidRPr="00CE57F9">
        <w:rPr>
          <w:rFonts w:ascii="標楷體" w:eastAsia="標楷體" w:hAnsi="標楷體" w:hint="eastAsia"/>
          <w:szCs w:val="24"/>
        </w:rPr>
        <w:t>表</w:t>
      </w:r>
      <w:r w:rsidR="009A4476" w:rsidRPr="00CE57F9">
        <w:rPr>
          <w:rFonts w:ascii="標楷體" w:eastAsia="標楷體" w:hAnsi="標楷體"/>
          <w:szCs w:val="24"/>
        </w:rPr>
        <w:t>12</w:t>
      </w:r>
      <w:r w:rsidR="009A4476" w:rsidRPr="009D11AD">
        <w:rPr>
          <w:rFonts w:ascii="標楷體" w:eastAsia="標楷體" w:hAnsi="標楷體" w:hint="eastAsia"/>
          <w:szCs w:val="24"/>
        </w:rPr>
        <w:t>）</w:t>
      </w:r>
      <w:r w:rsidR="009A54FE" w:rsidRPr="009D11AD">
        <w:rPr>
          <w:rFonts w:ascii="標楷體" w:eastAsia="標楷體" w:hAnsi="標楷體" w:hint="eastAsia"/>
          <w:szCs w:val="24"/>
        </w:rPr>
        <w:t>，對於非營業部分有關作業基金及特別收入基金辦理相關活動經費應否編列於「媒體政策及業務宣導費」或「行銷推廣費」科目，係由基金自行認定，恐致有辦理政策及業務宣導以「行銷</w:t>
      </w:r>
      <w:r w:rsidR="009A54FE" w:rsidRPr="007B652A">
        <w:rPr>
          <w:rFonts w:ascii="標楷體" w:eastAsia="標楷體" w:hAnsi="標楷體" w:hint="eastAsia"/>
          <w:szCs w:val="24"/>
        </w:rPr>
        <w:t>推廣</w:t>
      </w:r>
      <w:r w:rsidR="009A54FE" w:rsidRPr="007B652A">
        <w:rPr>
          <w:rFonts w:ascii="標楷體" w:eastAsia="標楷體" w:hAnsi="標楷體" w:hint="eastAsia"/>
          <w:szCs w:val="24"/>
        </w:rPr>
        <w:lastRenderedPageBreak/>
        <w:t>費」等其他預算科目列支，為避免認定不一等情事，允宜督促權責機關</w:t>
      </w:r>
      <w:r w:rsidR="009A54FE" w:rsidRPr="007B652A">
        <w:rPr>
          <w:rFonts w:ascii="標楷體" w:eastAsia="標楷體" w:hAnsi="標楷體"/>
          <w:szCs w:val="24"/>
        </w:rPr>
        <w:t>明確</w:t>
      </w:r>
      <w:r w:rsidR="009A54FE" w:rsidRPr="007B652A">
        <w:rPr>
          <w:rFonts w:ascii="標楷體" w:eastAsia="標楷體" w:hAnsi="標楷體" w:hint="eastAsia"/>
          <w:szCs w:val="24"/>
        </w:rPr>
        <w:t>界</w:t>
      </w:r>
      <w:r w:rsidR="009A54FE" w:rsidRPr="007B652A">
        <w:rPr>
          <w:rFonts w:ascii="標楷體" w:eastAsia="標楷體" w:hAnsi="標楷體"/>
          <w:szCs w:val="24"/>
        </w:rPr>
        <w:t>定</w:t>
      </w:r>
      <w:r w:rsidR="009A54FE" w:rsidRPr="007B652A">
        <w:rPr>
          <w:rFonts w:ascii="標楷體" w:eastAsia="標楷體" w:hAnsi="標楷體" w:hint="eastAsia"/>
          <w:szCs w:val="24"/>
        </w:rPr>
        <w:t>該等預算</w:t>
      </w:r>
      <w:r w:rsidR="009A54FE" w:rsidRPr="009D11AD">
        <w:rPr>
          <w:rFonts w:ascii="標楷體" w:eastAsia="標楷體" w:hAnsi="標楷體" w:hint="eastAsia"/>
          <w:szCs w:val="24"/>
        </w:rPr>
        <w:t>科目範圍</w:t>
      </w:r>
      <w:r w:rsidR="009A54FE" w:rsidRPr="009D11AD">
        <w:rPr>
          <w:rFonts w:ascii="標楷體" w:eastAsia="標楷體" w:hAnsi="標楷體"/>
          <w:szCs w:val="24"/>
        </w:rPr>
        <w:t>，</w:t>
      </w:r>
      <w:r w:rsidR="009A54FE" w:rsidRPr="009D11AD">
        <w:rPr>
          <w:rFonts w:ascii="標楷體" w:eastAsia="標楷體" w:hAnsi="標楷體" w:hint="eastAsia"/>
          <w:szCs w:val="24"/>
        </w:rPr>
        <w:t>俾利依循辦理暨各界有效監督</w:t>
      </w:r>
      <w:r w:rsidR="009A54FE" w:rsidRPr="009D11AD">
        <w:rPr>
          <w:rFonts w:ascii="標楷體" w:eastAsia="標楷體" w:hAnsi="標楷體" w:hint="eastAsia"/>
          <w:bCs/>
          <w:szCs w:val="24"/>
        </w:rPr>
        <w:t>；</w:t>
      </w:r>
      <w:r w:rsidR="009A54FE" w:rsidRPr="009D11AD">
        <w:rPr>
          <w:rFonts w:ascii="標楷體" w:eastAsia="標楷體" w:hAnsi="標楷體" w:hint="eastAsia"/>
          <w:szCs w:val="24"/>
        </w:rPr>
        <w:t>（2）依預算法第6</w:t>
      </w:r>
      <w:r w:rsidR="009A54FE" w:rsidRPr="009D11AD">
        <w:rPr>
          <w:rFonts w:ascii="標楷體" w:eastAsia="標楷體" w:hAnsi="標楷體"/>
          <w:szCs w:val="24"/>
        </w:rPr>
        <w:t>2</w:t>
      </w:r>
      <w:r w:rsidR="009A54FE" w:rsidRPr="009D11AD">
        <w:rPr>
          <w:rFonts w:ascii="標楷體" w:eastAsia="標楷體" w:hAnsi="標楷體" w:hint="eastAsia"/>
          <w:szCs w:val="24"/>
        </w:rPr>
        <w:t>條之1等規定</w:t>
      </w:r>
      <w:r w:rsidR="00FC11AD">
        <w:rPr>
          <w:rFonts w:ascii="標楷體" w:eastAsia="標楷體" w:hAnsi="標楷體" w:hint="eastAsia"/>
          <w:szCs w:val="24"/>
        </w:rPr>
        <w:t>，</w:t>
      </w:r>
      <w:r w:rsidR="009A54FE" w:rsidRPr="009D11AD">
        <w:rPr>
          <w:rFonts w:ascii="標楷體" w:eastAsia="標楷體" w:hAnsi="標楷體" w:hint="eastAsia"/>
          <w:szCs w:val="24"/>
        </w:rPr>
        <w:t>機關辦理政策及業務宣導案件應</w:t>
      </w:r>
      <w:r w:rsidR="009A54FE" w:rsidRPr="009D11AD">
        <w:rPr>
          <w:rFonts w:ascii="標楷體" w:eastAsia="標楷體" w:hAnsi="標楷體"/>
          <w:szCs w:val="24"/>
        </w:rPr>
        <w:t>按月</w:t>
      </w:r>
      <w:r w:rsidR="009A54FE" w:rsidRPr="009D11AD">
        <w:rPr>
          <w:rFonts w:ascii="標楷體" w:eastAsia="標楷體" w:hAnsi="標楷體" w:hint="eastAsia"/>
          <w:szCs w:val="24"/>
        </w:rPr>
        <w:t>、按季</w:t>
      </w:r>
      <w:r w:rsidR="009A54FE" w:rsidRPr="009D11AD">
        <w:rPr>
          <w:rFonts w:ascii="標楷體" w:eastAsia="標楷體" w:hAnsi="標楷體"/>
          <w:szCs w:val="24"/>
        </w:rPr>
        <w:t>於網站資訊公開區公布</w:t>
      </w:r>
      <w:r w:rsidR="009A54FE" w:rsidRPr="009D11AD">
        <w:rPr>
          <w:rFonts w:ascii="標楷體" w:eastAsia="標楷體" w:hAnsi="標楷體" w:hint="eastAsia"/>
          <w:szCs w:val="24"/>
        </w:rPr>
        <w:t>，惟未明定每月、每季應公布之期限，暨應公告月份之標準（依實際宣導月份公告，或於廠商估驗計價、驗收後再公告）；（</w:t>
      </w:r>
      <w:r w:rsidR="009A54FE" w:rsidRPr="009D11AD">
        <w:rPr>
          <w:rFonts w:ascii="標楷體" w:eastAsia="標楷體" w:hAnsi="標楷體"/>
          <w:szCs w:val="24"/>
        </w:rPr>
        <w:t>3</w:t>
      </w:r>
      <w:r w:rsidR="009A54FE" w:rsidRPr="009D11AD">
        <w:rPr>
          <w:rFonts w:ascii="標楷體" w:eastAsia="標楷體" w:hAnsi="標楷體" w:hint="eastAsia"/>
          <w:szCs w:val="24"/>
        </w:rPr>
        <w:t>）年度中成立之機關辦理移撥業務，倘涉及政策及業務宣導經費，究應由原預算編製機關按預算法第62條之1第2項規定辦理公告，或由承接機關公告，亦乏明確規範；（</w:t>
      </w:r>
      <w:r w:rsidR="009A54FE" w:rsidRPr="009D11AD">
        <w:rPr>
          <w:rFonts w:ascii="標楷體" w:eastAsia="標楷體" w:hAnsi="標楷體"/>
          <w:szCs w:val="24"/>
        </w:rPr>
        <w:t>4</w:t>
      </w:r>
      <w:r w:rsidR="009A54FE" w:rsidRPr="009D11AD">
        <w:rPr>
          <w:rFonts w:ascii="標楷體" w:eastAsia="標楷體" w:hAnsi="標楷體" w:hint="eastAsia"/>
          <w:szCs w:val="24"/>
        </w:rPr>
        <w:t>）機關辦理政策及業務宣導採購，有關廠商回饋案件現行規定僅於</w:t>
      </w:r>
      <w:r w:rsidR="00D274C2" w:rsidRPr="009D11AD">
        <w:rPr>
          <w:rFonts w:ascii="標楷體" w:eastAsia="標楷體" w:hAnsi="標楷體" w:hint="eastAsia"/>
          <w:spacing w:val="-4"/>
          <w:szCs w:val="24"/>
        </w:rPr>
        <w:t>行政院</w:t>
      </w:r>
      <w:r w:rsidR="009A54FE" w:rsidRPr="009D11AD">
        <w:rPr>
          <w:rFonts w:ascii="標楷體" w:eastAsia="標楷體" w:hAnsi="標楷體" w:hint="eastAsia"/>
          <w:szCs w:val="24"/>
        </w:rPr>
        <w:t>主計總處110</w:t>
      </w:r>
      <w:r w:rsidR="009A54FE" w:rsidRPr="009D11AD">
        <w:rPr>
          <w:rFonts w:ascii="標楷體" w:eastAsia="標楷體" w:hAnsi="標楷體" w:hint="eastAsia"/>
          <w:spacing w:val="4"/>
          <w:szCs w:val="24"/>
        </w:rPr>
        <w:t>年6月22日以主預政字第1100101813號函檢送修正後「○○主管機關（含國營事業、基金）○年第○季辦理政策及業務宣導之執行情形表」之填表說明7列有相關規範（機關如有公益或廠商回饋免費廣告等補充說明，請列入備註欄表達），為避免各機關有認定不一或藉此規避適用預算法第62條之1情事，允宜督促權責機關明定相關規範，俾利各機關依循辦理暨各界及時監督。</w:t>
      </w:r>
    </w:p>
    <w:p w14:paraId="0745DCF5" w14:textId="60D0058B" w:rsidR="009A54FE" w:rsidRPr="009D11AD" w:rsidRDefault="009A4476" w:rsidP="00DA2751">
      <w:pPr>
        <w:overflowPunct w:val="0"/>
        <w:snapToGrid w:val="0"/>
        <w:spacing w:line="420" w:lineRule="exact"/>
        <w:ind w:firstLineChars="450" w:firstLine="1080"/>
        <w:jc w:val="both"/>
        <w:rPr>
          <w:rFonts w:ascii="標楷體" w:eastAsia="標楷體" w:hAnsi="標楷體"/>
          <w:bCs/>
          <w:szCs w:val="24"/>
        </w:rPr>
      </w:pPr>
      <w:r w:rsidRPr="00DA2751">
        <w:rPr>
          <w:rFonts w:ascii="標楷體" w:eastAsia="標楷體" w:hAnsi="標楷體" w:cstheme="minorBidi"/>
          <w:noProof/>
          <w:szCs w:val="24"/>
        </w:rPr>
        <mc:AlternateContent>
          <mc:Choice Requires="wps">
            <w:drawing>
              <wp:anchor distT="0" distB="0" distL="114300" distR="114300" simplePos="0" relativeHeight="251676160" behindDoc="0" locked="0" layoutInCell="1" allowOverlap="1" wp14:anchorId="42356209" wp14:editId="49D7D2FD">
                <wp:simplePos x="0" y="0"/>
                <wp:positionH relativeFrom="margin">
                  <wp:posOffset>14605</wp:posOffset>
                </wp:positionH>
                <wp:positionV relativeFrom="margin">
                  <wp:posOffset>4513556</wp:posOffset>
                </wp:positionV>
                <wp:extent cx="6305550" cy="4370070"/>
                <wp:effectExtent l="0" t="0" r="0" b="0"/>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0" cy="4370070"/>
                        </a:xfrm>
                        <a:prstGeom prst="rect">
                          <a:avLst/>
                        </a:prstGeom>
                        <a:solidFill>
                          <a:srgbClr val="FFFFFF"/>
                        </a:solidFill>
                        <a:ln w="9525">
                          <a:noFill/>
                          <a:miter lim="800000"/>
                          <a:headEnd/>
                          <a:tailEnd/>
                        </a:ln>
                      </wps:spPr>
                      <wps:txbx>
                        <w:txbxContent>
                          <w:tbl>
                            <w:tblPr>
                              <w:tblStyle w:val="100"/>
                              <w:tblW w:w="0" w:type="auto"/>
                              <w:tblCellMar>
                                <w:left w:w="57" w:type="dxa"/>
                                <w:right w:w="57" w:type="dxa"/>
                              </w:tblCellMar>
                              <w:tblLook w:val="04A0" w:firstRow="1" w:lastRow="0" w:firstColumn="1" w:lastColumn="0" w:noHBand="0" w:noVBand="1"/>
                            </w:tblPr>
                            <w:tblGrid>
                              <w:gridCol w:w="375"/>
                              <w:gridCol w:w="344"/>
                              <w:gridCol w:w="2740"/>
                              <w:gridCol w:w="6282"/>
                            </w:tblGrid>
                            <w:tr w:rsidR="00CE57F9" w:rsidRPr="006D65CE" w14:paraId="74656BB4" w14:textId="77777777" w:rsidTr="00DA2751">
                              <w:trPr>
                                <w:trHeight w:val="73"/>
                              </w:trPr>
                              <w:tc>
                                <w:tcPr>
                                  <w:tcW w:w="9741" w:type="dxa"/>
                                  <w:gridSpan w:val="4"/>
                                  <w:tcBorders>
                                    <w:top w:val="nil"/>
                                    <w:left w:val="nil"/>
                                    <w:right w:val="nil"/>
                                  </w:tcBorders>
                                </w:tcPr>
                                <w:p w14:paraId="0B0C5D56" w14:textId="77777777" w:rsidR="00CE57F9" w:rsidRPr="006D65CE" w:rsidRDefault="00CE57F9" w:rsidP="009A54FE">
                                  <w:pPr>
                                    <w:overflowPunct w:val="0"/>
                                    <w:snapToGrid w:val="0"/>
                                    <w:spacing w:afterLines="10" w:after="36" w:line="240" w:lineRule="exact"/>
                                    <w:jc w:val="center"/>
                                    <w:rPr>
                                      <w:rFonts w:ascii="標楷體" w:eastAsia="標楷體" w:hAnsi="標楷體"/>
                                      <w:b/>
                                      <w:bCs/>
                                      <w:kern w:val="0"/>
                                      <w:sz w:val="20"/>
                                    </w:rPr>
                                  </w:pPr>
                                  <w:r w:rsidRPr="006D65CE">
                                    <w:rPr>
                                      <w:rFonts w:ascii="標楷體" w:eastAsia="標楷體" w:hAnsi="標楷體" w:hint="eastAsia"/>
                                      <w:b/>
                                      <w:bCs/>
                                      <w:kern w:val="0"/>
                                      <w:szCs w:val="24"/>
                                    </w:rPr>
                                    <w:t>表</w:t>
                                  </w:r>
                                  <w:r>
                                    <w:rPr>
                                      <w:rFonts w:ascii="標楷體" w:eastAsia="標楷體" w:hAnsi="標楷體"/>
                                      <w:b/>
                                      <w:bCs/>
                                      <w:kern w:val="0"/>
                                      <w:szCs w:val="24"/>
                                    </w:rPr>
                                    <w:t>13</w:t>
                                  </w:r>
                                  <w:r w:rsidRPr="006D65CE">
                                    <w:rPr>
                                      <w:rFonts w:ascii="標楷體" w:eastAsia="標楷體" w:hAnsi="標楷體" w:hint="eastAsia"/>
                                      <w:b/>
                                      <w:bCs/>
                                      <w:kern w:val="0"/>
                                      <w:szCs w:val="24"/>
                                    </w:rPr>
                                    <w:t xml:space="preserve">　</w:t>
                                  </w:r>
                                  <w:r>
                                    <w:rPr>
                                      <w:rFonts w:ascii="標楷體" w:eastAsia="標楷體" w:hAnsi="標楷體"/>
                                      <w:b/>
                                      <w:bCs/>
                                      <w:kern w:val="0"/>
                                      <w:szCs w:val="24"/>
                                    </w:rPr>
                                    <w:t>111</w:t>
                                  </w:r>
                                  <w:r w:rsidRPr="006D65CE">
                                    <w:rPr>
                                      <w:rFonts w:ascii="標楷體" w:eastAsia="標楷體" w:hAnsi="標楷體" w:hint="eastAsia"/>
                                      <w:b/>
                                      <w:bCs/>
                                      <w:kern w:val="0"/>
                                      <w:szCs w:val="24"/>
                                    </w:rPr>
                                    <w:t>年度</w:t>
                                  </w:r>
                                  <w:r>
                                    <w:rPr>
                                      <w:rFonts w:ascii="標楷體" w:eastAsia="標楷體" w:hAnsi="標楷體" w:hint="eastAsia"/>
                                      <w:b/>
                                      <w:bCs/>
                                      <w:kern w:val="0"/>
                                      <w:szCs w:val="24"/>
                                    </w:rPr>
                                    <w:t>中央</w:t>
                                  </w:r>
                                  <w:r>
                                    <w:rPr>
                                      <w:rFonts w:ascii="標楷體" w:eastAsia="標楷體" w:hAnsi="標楷體"/>
                                      <w:b/>
                                      <w:bCs/>
                                      <w:kern w:val="0"/>
                                      <w:szCs w:val="24"/>
                                    </w:rPr>
                                    <w:t>政府</w:t>
                                  </w:r>
                                  <w:r w:rsidRPr="006D65CE">
                                    <w:rPr>
                                      <w:rFonts w:ascii="標楷體" w:eastAsia="標楷體" w:hAnsi="標楷體" w:hint="eastAsia"/>
                                      <w:b/>
                                      <w:bCs/>
                                      <w:kern w:val="0"/>
                                      <w:szCs w:val="24"/>
                                    </w:rPr>
                                    <w:t>辦理政策及業務宣導缺失情形</w:t>
                                  </w:r>
                                </w:p>
                              </w:tc>
                            </w:tr>
                            <w:tr w:rsidR="00CE57F9" w:rsidRPr="006D65CE" w14:paraId="04B0CAB0" w14:textId="77777777" w:rsidTr="00EF0729">
                              <w:trPr>
                                <w:trHeight w:val="288"/>
                              </w:trPr>
                              <w:tc>
                                <w:tcPr>
                                  <w:tcW w:w="375" w:type="dxa"/>
                                  <w:vAlign w:val="center"/>
                                </w:tcPr>
                                <w:p w14:paraId="71E1D2D2" w14:textId="77777777" w:rsidR="00CE57F9" w:rsidRPr="006D65CE" w:rsidRDefault="00CE57F9" w:rsidP="00850571">
                                  <w:pPr>
                                    <w:overflowPunct w:val="0"/>
                                    <w:snapToGrid w:val="0"/>
                                    <w:spacing w:line="200" w:lineRule="exact"/>
                                    <w:ind w:leftChars="-30" w:left="-72"/>
                                    <w:jc w:val="center"/>
                                    <w:rPr>
                                      <w:rFonts w:ascii="標楷體" w:eastAsia="標楷體" w:hAnsi="標楷體"/>
                                      <w:bCs/>
                                      <w:kern w:val="0"/>
                                      <w:sz w:val="20"/>
                                    </w:rPr>
                                  </w:pPr>
                                  <w:r w:rsidRPr="006D65CE">
                                    <w:rPr>
                                      <w:rFonts w:ascii="標楷體" w:eastAsia="標楷體" w:hAnsi="標楷體" w:hint="eastAsia"/>
                                      <w:bCs/>
                                      <w:spacing w:val="-20"/>
                                      <w:kern w:val="0"/>
                                      <w:sz w:val="20"/>
                                    </w:rPr>
                                    <w:t>項次</w:t>
                                  </w:r>
                                </w:p>
                              </w:tc>
                              <w:tc>
                                <w:tcPr>
                                  <w:tcW w:w="3084" w:type="dxa"/>
                                  <w:gridSpan w:val="2"/>
                                  <w:vAlign w:val="center"/>
                                </w:tcPr>
                                <w:p w14:paraId="7F61BAFF"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r w:rsidRPr="006D65CE">
                                    <w:rPr>
                                      <w:rFonts w:ascii="標楷體" w:eastAsia="標楷體" w:hAnsi="標楷體" w:hint="eastAsia"/>
                                      <w:bCs/>
                                      <w:kern w:val="0"/>
                                      <w:sz w:val="20"/>
                                    </w:rPr>
                                    <w:t>缺失事項</w:t>
                                  </w:r>
                                </w:p>
                              </w:tc>
                              <w:tc>
                                <w:tcPr>
                                  <w:tcW w:w="6282" w:type="dxa"/>
                                  <w:vAlign w:val="center"/>
                                </w:tcPr>
                                <w:p w14:paraId="634FBA73"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r w:rsidRPr="006D65CE">
                                    <w:rPr>
                                      <w:rFonts w:ascii="標楷體" w:eastAsia="標楷體" w:hAnsi="標楷體" w:hint="eastAsia"/>
                                      <w:bCs/>
                                      <w:kern w:val="0"/>
                                      <w:sz w:val="20"/>
                                    </w:rPr>
                                    <w:t>機關（基金）名稱</w:t>
                                  </w:r>
                                </w:p>
                              </w:tc>
                            </w:tr>
                            <w:tr w:rsidR="00CE57F9" w:rsidRPr="006D65CE" w14:paraId="38C77161" w14:textId="77777777" w:rsidTr="00EF0729">
                              <w:trPr>
                                <w:trHeight w:val="437"/>
                              </w:trPr>
                              <w:tc>
                                <w:tcPr>
                                  <w:tcW w:w="375" w:type="dxa"/>
                                  <w:vAlign w:val="center"/>
                                </w:tcPr>
                                <w:p w14:paraId="0D5C6D8D"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r w:rsidRPr="006D65CE">
                                    <w:rPr>
                                      <w:rFonts w:ascii="標楷體" w:eastAsia="標楷體" w:hAnsi="標楷體" w:hint="eastAsia"/>
                                      <w:bCs/>
                                      <w:kern w:val="0"/>
                                      <w:sz w:val="20"/>
                                    </w:rPr>
                                    <w:t>1</w:t>
                                  </w:r>
                                </w:p>
                              </w:tc>
                              <w:tc>
                                <w:tcPr>
                                  <w:tcW w:w="3084" w:type="dxa"/>
                                  <w:gridSpan w:val="2"/>
                                  <w:vAlign w:val="center"/>
                                </w:tcPr>
                                <w:p w14:paraId="2DE362C3" w14:textId="77777777" w:rsidR="00CE57F9" w:rsidRPr="006D65CE"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r w:rsidRPr="00BB4B4C">
                                    <w:rPr>
                                      <w:rFonts w:ascii="標楷體" w:eastAsia="標楷體" w:hAnsi="標楷體" w:hint="eastAsia"/>
                                      <w:bCs/>
                                      <w:kern w:val="0"/>
                                      <w:sz w:val="20"/>
                                    </w:rPr>
                                    <w:t>未依規定將相關製作成本計入媒體政策及業務宣導費</w:t>
                                  </w:r>
                                </w:p>
                              </w:tc>
                              <w:tc>
                                <w:tcPr>
                                  <w:tcW w:w="6282" w:type="dxa"/>
                                  <w:vAlign w:val="center"/>
                                </w:tcPr>
                                <w:p w14:paraId="07509096" w14:textId="77777777" w:rsidR="00CE57F9" w:rsidRPr="006D65CE"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r w:rsidRPr="007678BF">
                                    <w:rPr>
                                      <w:rFonts w:ascii="標楷體" w:eastAsia="標楷體" w:hAnsi="標楷體" w:hint="eastAsia"/>
                                      <w:bCs/>
                                      <w:kern w:val="0"/>
                                      <w:sz w:val="20"/>
                                    </w:rPr>
                                    <w:t>原住民族委員會、中央選舉委員會、僑務委員會等</w:t>
                                  </w:r>
                                  <w:r>
                                    <w:rPr>
                                      <w:rFonts w:ascii="標楷體" w:eastAsia="標楷體" w:hAnsi="標楷體" w:hint="eastAsia"/>
                                      <w:bCs/>
                                      <w:kern w:val="0"/>
                                      <w:sz w:val="20"/>
                                    </w:rPr>
                                    <w:t>3</w:t>
                                  </w:r>
                                  <w:r>
                                    <w:rPr>
                                      <w:rFonts w:ascii="標楷體" w:eastAsia="標楷體" w:hAnsi="標楷體"/>
                                      <w:bCs/>
                                      <w:kern w:val="0"/>
                                      <w:sz w:val="20"/>
                                    </w:rPr>
                                    <w:t>個</w:t>
                                  </w:r>
                                  <w:r w:rsidRPr="007678BF">
                                    <w:rPr>
                                      <w:rFonts w:ascii="標楷體" w:eastAsia="標楷體" w:hAnsi="標楷體" w:hint="eastAsia"/>
                                      <w:bCs/>
                                      <w:kern w:val="0"/>
                                      <w:sz w:val="20"/>
                                    </w:rPr>
                                    <w:t>機關</w:t>
                                  </w:r>
                                </w:p>
                              </w:tc>
                            </w:tr>
                            <w:tr w:rsidR="00CE57F9" w:rsidRPr="006D65CE" w14:paraId="03E38FAD" w14:textId="77777777" w:rsidTr="00EF0729">
                              <w:tc>
                                <w:tcPr>
                                  <w:tcW w:w="375" w:type="dxa"/>
                                  <w:vMerge w:val="restart"/>
                                  <w:vAlign w:val="center"/>
                                </w:tcPr>
                                <w:p w14:paraId="56557A7E"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r w:rsidRPr="006D65CE">
                                    <w:rPr>
                                      <w:rFonts w:ascii="標楷體" w:eastAsia="標楷體" w:hAnsi="標楷體" w:hint="eastAsia"/>
                                      <w:bCs/>
                                      <w:kern w:val="0"/>
                                      <w:sz w:val="20"/>
                                    </w:rPr>
                                    <w:t>2</w:t>
                                  </w:r>
                                </w:p>
                              </w:tc>
                              <w:tc>
                                <w:tcPr>
                                  <w:tcW w:w="344" w:type="dxa"/>
                                  <w:vMerge w:val="restart"/>
                                  <w:vAlign w:val="center"/>
                                </w:tcPr>
                                <w:p w14:paraId="28490EF7" w14:textId="77777777" w:rsidR="00CE57F9" w:rsidRDefault="00CE57F9" w:rsidP="00DA2751">
                                  <w:pPr>
                                    <w:overflowPunct w:val="0"/>
                                    <w:snapToGrid w:val="0"/>
                                    <w:spacing w:line="200" w:lineRule="exact"/>
                                    <w:ind w:leftChars="-15" w:left="-36" w:rightChars="-15" w:right="-36" w:firstLineChars="1" w:firstLine="2"/>
                                    <w:jc w:val="center"/>
                                    <w:rPr>
                                      <w:rFonts w:ascii="標楷體" w:eastAsia="標楷體" w:hAnsi="標楷體" w:cs="Helvetica"/>
                                      <w:kern w:val="0"/>
                                      <w:sz w:val="20"/>
                                    </w:rPr>
                                  </w:pPr>
                                  <w:r>
                                    <w:rPr>
                                      <w:rFonts w:ascii="標楷體" w:eastAsia="標楷體" w:hAnsi="標楷體" w:cs="Helvetica" w:hint="eastAsia"/>
                                      <w:kern w:val="0"/>
                                      <w:sz w:val="20"/>
                                    </w:rPr>
                                    <w:t>標</w:t>
                                  </w:r>
                                </w:p>
                                <w:p w14:paraId="15CFCF62" w14:textId="77777777" w:rsidR="00CE57F9" w:rsidRDefault="00CE57F9" w:rsidP="00DA2751">
                                  <w:pPr>
                                    <w:overflowPunct w:val="0"/>
                                    <w:snapToGrid w:val="0"/>
                                    <w:spacing w:line="200" w:lineRule="exact"/>
                                    <w:ind w:leftChars="-15" w:left="-36" w:rightChars="-15" w:right="-36" w:firstLineChars="1" w:firstLine="2"/>
                                    <w:jc w:val="center"/>
                                    <w:rPr>
                                      <w:rFonts w:ascii="標楷體" w:eastAsia="標楷體" w:hAnsi="標楷體" w:cs="Helvetica"/>
                                      <w:kern w:val="0"/>
                                      <w:sz w:val="20"/>
                                    </w:rPr>
                                  </w:pPr>
                                  <w:r>
                                    <w:rPr>
                                      <w:rFonts w:ascii="標楷體" w:eastAsia="標楷體" w:hAnsi="標楷體" w:cs="Helvetica" w:hint="eastAsia"/>
                                      <w:kern w:val="0"/>
                                      <w:sz w:val="20"/>
                                    </w:rPr>
                                    <w:t>示</w:t>
                                  </w:r>
                                </w:p>
                                <w:p w14:paraId="6053982C" w14:textId="77777777" w:rsidR="00CE57F9" w:rsidRPr="008225ED" w:rsidRDefault="00CE57F9" w:rsidP="00DA2751">
                                  <w:pPr>
                                    <w:overflowPunct w:val="0"/>
                                    <w:snapToGrid w:val="0"/>
                                    <w:spacing w:line="200" w:lineRule="exact"/>
                                    <w:ind w:leftChars="-15" w:left="-36" w:rightChars="-15" w:right="-36" w:firstLineChars="1" w:firstLine="2"/>
                                    <w:jc w:val="center"/>
                                    <w:rPr>
                                      <w:rFonts w:ascii="標楷體" w:eastAsia="標楷體" w:hAnsi="標楷體" w:cs="Helvetica"/>
                                      <w:kern w:val="0"/>
                                      <w:sz w:val="20"/>
                                    </w:rPr>
                                  </w:pPr>
                                  <w:r>
                                    <w:rPr>
                                      <w:rFonts w:ascii="標楷體" w:eastAsia="標楷體" w:hAnsi="標楷體" w:cs="Helvetica" w:hint="eastAsia"/>
                                      <w:kern w:val="0"/>
                                      <w:sz w:val="20"/>
                                    </w:rPr>
                                    <w:t>事宜</w:t>
                                  </w:r>
                                </w:p>
                              </w:tc>
                              <w:tc>
                                <w:tcPr>
                                  <w:tcW w:w="2740" w:type="dxa"/>
                                  <w:vAlign w:val="center"/>
                                </w:tcPr>
                                <w:p w14:paraId="0201CB52" w14:textId="77777777" w:rsidR="00CE57F9" w:rsidRPr="00645814" w:rsidRDefault="00CE57F9" w:rsidP="00850571">
                                  <w:pPr>
                                    <w:overflowPunct w:val="0"/>
                                    <w:snapToGrid w:val="0"/>
                                    <w:spacing w:line="200" w:lineRule="exact"/>
                                    <w:ind w:leftChars="-15" w:left="-36" w:rightChars="-15" w:right="-36" w:firstLineChars="1" w:firstLine="2"/>
                                    <w:jc w:val="both"/>
                                    <w:rPr>
                                      <w:rFonts w:ascii="標楷體" w:eastAsia="標楷體" w:hAnsi="標楷體"/>
                                      <w:bCs/>
                                      <w:color w:val="FF0000"/>
                                      <w:kern w:val="0"/>
                                      <w:sz w:val="20"/>
                                    </w:rPr>
                                  </w:pPr>
                                  <w:r w:rsidRPr="008225ED">
                                    <w:rPr>
                                      <w:rFonts w:ascii="標楷體" w:eastAsia="標楷體" w:hAnsi="標楷體" w:cs="Helvetica" w:hint="eastAsia"/>
                                      <w:kern w:val="0"/>
                                      <w:sz w:val="20"/>
                                    </w:rPr>
                                    <w:t>未標示機關名稱及廣告</w:t>
                                  </w:r>
                                </w:p>
                              </w:tc>
                              <w:tc>
                                <w:tcPr>
                                  <w:tcW w:w="6282" w:type="dxa"/>
                                  <w:vAlign w:val="center"/>
                                </w:tcPr>
                                <w:p w14:paraId="19E1BB85" w14:textId="29C558BB" w:rsidR="00CE57F9" w:rsidRPr="00645814" w:rsidRDefault="00CE57F9" w:rsidP="00EF0729">
                                  <w:pPr>
                                    <w:overflowPunct w:val="0"/>
                                    <w:snapToGrid w:val="0"/>
                                    <w:spacing w:line="200" w:lineRule="exact"/>
                                    <w:ind w:leftChars="-15" w:left="-36" w:rightChars="-15" w:right="-36" w:firstLineChars="1" w:firstLine="2"/>
                                    <w:jc w:val="both"/>
                                    <w:rPr>
                                      <w:rFonts w:ascii="標楷體" w:eastAsia="標楷體" w:hAnsi="標楷體"/>
                                      <w:bCs/>
                                      <w:color w:val="FF0000"/>
                                      <w:kern w:val="0"/>
                                      <w:sz w:val="20"/>
                                    </w:rPr>
                                  </w:pPr>
                                  <w:r w:rsidRPr="008225ED">
                                    <w:rPr>
                                      <w:rFonts w:ascii="標楷體" w:eastAsia="標楷體" w:hAnsi="標楷體" w:hint="eastAsia"/>
                                      <w:bCs/>
                                      <w:kern w:val="0"/>
                                      <w:sz w:val="20"/>
                                    </w:rPr>
                                    <w:t>國家發展委員會</w:t>
                                  </w:r>
                                  <w:r>
                                    <w:rPr>
                                      <w:rFonts w:ascii="標楷體" w:eastAsia="標楷體" w:hAnsi="標楷體" w:hint="eastAsia"/>
                                      <w:bCs/>
                                      <w:kern w:val="0"/>
                                      <w:sz w:val="20"/>
                                    </w:rPr>
                                    <w:t>（</w:t>
                                  </w:r>
                                  <w:r w:rsidRPr="008225ED">
                                    <w:rPr>
                                      <w:rFonts w:ascii="標楷體" w:eastAsia="標楷體" w:hAnsi="標楷體" w:hint="eastAsia"/>
                                      <w:bCs/>
                                      <w:kern w:val="0"/>
                                      <w:sz w:val="20"/>
                                    </w:rPr>
                                    <w:t>回饋項目</w:t>
                                  </w:r>
                                  <w:r>
                                    <w:rPr>
                                      <w:rFonts w:ascii="標楷體" w:eastAsia="標楷體" w:hAnsi="標楷體" w:hint="eastAsia"/>
                                      <w:bCs/>
                                      <w:kern w:val="0"/>
                                      <w:sz w:val="20"/>
                                    </w:rPr>
                                    <w:t>）</w:t>
                                  </w:r>
                                  <w:r w:rsidR="00EF0729">
                                    <w:rPr>
                                      <w:rFonts w:ascii="標楷體" w:eastAsia="標楷體" w:hAnsi="標楷體" w:hint="eastAsia"/>
                                      <w:bCs/>
                                      <w:kern w:val="0"/>
                                      <w:sz w:val="20"/>
                                    </w:rPr>
                                    <w:t>及所屬</w:t>
                                  </w:r>
                                  <w:r w:rsidRPr="008225ED">
                                    <w:rPr>
                                      <w:rFonts w:ascii="標楷體" w:eastAsia="標楷體" w:hAnsi="標楷體" w:hint="eastAsia"/>
                                      <w:bCs/>
                                      <w:kern w:val="0"/>
                                      <w:sz w:val="20"/>
                                    </w:rPr>
                                    <w:t>檔案管理局、教育部、</w:t>
                                  </w:r>
                                  <w:r w:rsidR="00EF0729">
                                    <w:rPr>
                                      <w:rFonts w:ascii="標楷體" w:eastAsia="標楷體" w:hAnsi="標楷體" w:hint="eastAsia"/>
                                      <w:bCs/>
                                      <w:kern w:val="0"/>
                                      <w:sz w:val="20"/>
                                    </w:rPr>
                                    <w:t>交通部</w:t>
                                  </w:r>
                                  <w:r w:rsidRPr="008225ED">
                                    <w:rPr>
                                      <w:rFonts w:ascii="標楷體" w:eastAsia="標楷體" w:hAnsi="標楷體" w:hint="eastAsia"/>
                                      <w:bCs/>
                                      <w:kern w:val="0"/>
                                      <w:sz w:val="20"/>
                                    </w:rPr>
                                    <w:t>公路總局、衛生福利部、台灣電力股份有限公司、行政院國家科學技術發展基金等</w:t>
                                  </w:r>
                                  <w:r w:rsidRPr="008225ED">
                                    <w:rPr>
                                      <w:rFonts w:ascii="標楷體" w:eastAsia="標楷體" w:hAnsi="標楷體"/>
                                      <w:bCs/>
                                      <w:kern w:val="0"/>
                                      <w:sz w:val="20"/>
                                    </w:rPr>
                                    <w:t>7</w:t>
                                  </w:r>
                                  <w:r w:rsidRPr="008225ED">
                                    <w:rPr>
                                      <w:rFonts w:ascii="標楷體" w:eastAsia="標楷體" w:hAnsi="標楷體" w:hint="eastAsia"/>
                                      <w:bCs/>
                                      <w:kern w:val="0"/>
                                      <w:sz w:val="20"/>
                                    </w:rPr>
                                    <w:t>個機關</w:t>
                                  </w:r>
                                  <w:r>
                                    <w:rPr>
                                      <w:rFonts w:ascii="標楷體" w:eastAsia="標楷體" w:hAnsi="標楷體" w:hint="eastAsia"/>
                                      <w:bCs/>
                                      <w:kern w:val="0"/>
                                      <w:sz w:val="20"/>
                                    </w:rPr>
                                    <w:t>（</w:t>
                                  </w:r>
                                  <w:r w:rsidRPr="008225ED">
                                    <w:rPr>
                                      <w:rFonts w:ascii="標楷體" w:eastAsia="標楷體" w:hAnsi="標楷體"/>
                                      <w:bCs/>
                                      <w:kern w:val="0"/>
                                      <w:sz w:val="20"/>
                                    </w:rPr>
                                    <w:t>基金</w:t>
                                  </w:r>
                                  <w:r>
                                    <w:rPr>
                                      <w:rFonts w:ascii="標楷體" w:eastAsia="標楷體" w:hAnsi="標楷體" w:hint="eastAsia"/>
                                      <w:bCs/>
                                      <w:kern w:val="0"/>
                                      <w:sz w:val="20"/>
                                    </w:rPr>
                                    <w:t>）</w:t>
                                  </w:r>
                                </w:p>
                              </w:tc>
                            </w:tr>
                            <w:tr w:rsidR="00CE57F9" w:rsidRPr="006D65CE" w14:paraId="3F3C6FA0" w14:textId="77777777" w:rsidTr="00EF0729">
                              <w:tc>
                                <w:tcPr>
                                  <w:tcW w:w="375" w:type="dxa"/>
                                  <w:vMerge/>
                                  <w:vAlign w:val="center"/>
                                </w:tcPr>
                                <w:p w14:paraId="4C0B865C"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p>
                              </w:tc>
                              <w:tc>
                                <w:tcPr>
                                  <w:tcW w:w="344" w:type="dxa"/>
                                  <w:vMerge/>
                                  <w:vAlign w:val="center"/>
                                </w:tcPr>
                                <w:p w14:paraId="712E5F32" w14:textId="77777777" w:rsidR="00CE57F9" w:rsidRPr="007D1538" w:rsidRDefault="00CE57F9" w:rsidP="00850571">
                                  <w:pPr>
                                    <w:overflowPunct w:val="0"/>
                                    <w:snapToGrid w:val="0"/>
                                    <w:spacing w:line="200" w:lineRule="exact"/>
                                    <w:ind w:leftChars="-15" w:left="-36" w:rightChars="-15" w:right="-36" w:firstLineChars="1" w:firstLine="2"/>
                                    <w:jc w:val="both"/>
                                    <w:rPr>
                                      <w:rFonts w:ascii="標楷體" w:eastAsia="標楷體" w:hAnsi="標楷體" w:cs="Helvetica"/>
                                      <w:kern w:val="0"/>
                                      <w:sz w:val="20"/>
                                    </w:rPr>
                                  </w:pPr>
                                </w:p>
                              </w:tc>
                              <w:tc>
                                <w:tcPr>
                                  <w:tcW w:w="2740" w:type="dxa"/>
                                  <w:vAlign w:val="center"/>
                                </w:tcPr>
                                <w:p w14:paraId="1B06F0F6" w14:textId="77777777" w:rsidR="00CE57F9" w:rsidRPr="00645814" w:rsidRDefault="00CE57F9" w:rsidP="00850571">
                                  <w:pPr>
                                    <w:overflowPunct w:val="0"/>
                                    <w:snapToGrid w:val="0"/>
                                    <w:spacing w:line="200" w:lineRule="exact"/>
                                    <w:ind w:leftChars="-15" w:left="-36" w:rightChars="-15" w:right="-36" w:firstLineChars="1" w:firstLine="2"/>
                                    <w:jc w:val="both"/>
                                    <w:rPr>
                                      <w:rFonts w:ascii="標楷體" w:eastAsia="標楷體" w:hAnsi="標楷體"/>
                                      <w:bCs/>
                                      <w:color w:val="FF0000"/>
                                      <w:spacing w:val="-2"/>
                                      <w:kern w:val="0"/>
                                      <w:sz w:val="20"/>
                                    </w:rPr>
                                  </w:pPr>
                                  <w:r w:rsidRPr="007D1538">
                                    <w:rPr>
                                      <w:rFonts w:ascii="標楷體" w:eastAsia="標楷體" w:hAnsi="標楷體" w:cs="Helvetica" w:hint="eastAsia"/>
                                      <w:kern w:val="0"/>
                                      <w:sz w:val="20"/>
                                    </w:rPr>
                                    <w:t>未標示廣告</w:t>
                                  </w:r>
                                </w:p>
                              </w:tc>
                              <w:tc>
                                <w:tcPr>
                                  <w:tcW w:w="6282" w:type="dxa"/>
                                  <w:vAlign w:val="center"/>
                                </w:tcPr>
                                <w:p w14:paraId="7456C124" w14:textId="64BB009B" w:rsidR="00CE57F9" w:rsidRPr="00645814" w:rsidRDefault="00CE57F9" w:rsidP="00EF0729">
                                  <w:pPr>
                                    <w:overflowPunct w:val="0"/>
                                    <w:snapToGrid w:val="0"/>
                                    <w:spacing w:line="200" w:lineRule="exact"/>
                                    <w:ind w:leftChars="-15" w:left="-36" w:rightChars="-15" w:right="-36" w:firstLineChars="1" w:firstLine="2"/>
                                    <w:jc w:val="both"/>
                                    <w:rPr>
                                      <w:rFonts w:ascii="標楷體" w:eastAsia="標楷體" w:hAnsi="標楷體"/>
                                      <w:bCs/>
                                      <w:color w:val="FF0000"/>
                                      <w:kern w:val="0"/>
                                      <w:sz w:val="20"/>
                                    </w:rPr>
                                  </w:pPr>
                                  <w:r w:rsidRPr="00A747D6">
                                    <w:rPr>
                                      <w:rFonts w:ascii="標楷體" w:eastAsia="標楷體" w:hAnsi="標楷體" w:hint="eastAsia"/>
                                      <w:bCs/>
                                      <w:kern w:val="0"/>
                                      <w:sz w:val="20"/>
                                    </w:rPr>
                                    <w:t>不當黨產處理委員會、</w:t>
                                  </w:r>
                                  <w:r w:rsidR="00EF0729">
                                    <w:rPr>
                                      <w:rFonts w:ascii="標楷體" w:eastAsia="標楷體" w:hAnsi="標楷體" w:hint="eastAsia"/>
                                      <w:bCs/>
                                      <w:kern w:val="0"/>
                                      <w:sz w:val="20"/>
                                    </w:rPr>
                                    <w:t>客家委員會</w:t>
                                  </w:r>
                                  <w:r w:rsidRPr="00A747D6">
                                    <w:rPr>
                                      <w:rFonts w:ascii="標楷體" w:eastAsia="標楷體" w:hAnsi="標楷體" w:hint="eastAsia"/>
                                      <w:bCs/>
                                      <w:kern w:val="0"/>
                                      <w:sz w:val="20"/>
                                    </w:rPr>
                                    <w:t>客家文化發展中心、中央研究院、中央選舉委員會、國家發展委員會</w:t>
                                  </w:r>
                                  <w:r w:rsidR="00EF0729">
                                    <w:rPr>
                                      <w:rFonts w:ascii="標楷體" w:eastAsia="標楷體" w:hAnsi="標楷體" w:hint="eastAsia"/>
                                      <w:bCs/>
                                      <w:kern w:val="0"/>
                                      <w:sz w:val="20"/>
                                    </w:rPr>
                                    <w:t>及所屬</w:t>
                                  </w:r>
                                  <w:r w:rsidRPr="00A747D6">
                                    <w:rPr>
                                      <w:rFonts w:ascii="標楷體" w:eastAsia="標楷體" w:hAnsi="標楷體" w:hint="eastAsia"/>
                                      <w:bCs/>
                                      <w:kern w:val="0"/>
                                      <w:sz w:val="20"/>
                                    </w:rPr>
                                    <w:t>檔案管理局、文化部國家鐵道博物館籌備處、農業委員會動植物防疫檢疫局、</w:t>
                                  </w:r>
                                  <w:r w:rsidR="00EF0729">
                                    <w:rPr>
                                      <w:rFonts w:ascii="標楷體" w:eastAsia="標楷體" w:hAnsi="標楷體" w:hint="eastAsia"/>
                                      <w:bCs/>
                                      <w:kern w:val="0"/>
                                      <w:sz w:val="20"/>
                                    </w:rPr>
                                    <w:t>交通部</w:t>
                                  </w:r>
                                  <w:r w:rsidRPr="00A747D6">
                                    <w:rPr>
                                      <w:rFonts w:ascii="標楷體" w:eastAsia="標楷體" w:hAnsi="標楷體" w:hint="eastAsia"/>
                                      <w:bCs/>
                                      <w:kern w:val="0"/>
                                      <w:sz w:val="20"/>
                                    </w:rPr>
                                    <w:t>公路總局、僑務委員會、</w:t>
                                  </w:r>
                                  <w:r w:rsidR="00EF0729">
                                    <w:rPr>
                                      <w:rFonts w:ascii="標楷體" w:eastAsia="標楷體" w:hAnsi="標楷體" w:hint="eastAsia"/>
                                      <w:bCs/>
                                      <w:kern w:val="0"/>
                                      <w:sz w:val="20"/>
                                    </w:rPr>
                                    <w:t>衛生福利部</w:t>
                                  </w:r>
                                  <w:r w:rsidRPr="00A747D6">
                                    <w:rPr>
                                      <w:rFonts w:ascii="標楷體" w:eastAsia="標楷體" w:hAnsi="標楷體" w:hint="eastAsia"/>
                                      <w:bCs/>
                                      <w:kern w:val="0"/>
                                      <w:sz w:val="20"/>
                                    </w:rPr>
                                    <w:t>食品藥物管理署、</w:t>
                                  </w:r>
                                  <w:r>
                                    <w:rPr>
                                      <w:rFonts w:ascii="標楷體" w:eastAsia="標楷體" w:hAnsi="標楷體" w:hint="eastAsia"/>
                                      <w:bCs/>
                                      <w:kern w:val="0"/>
                                      <w:sz w:val="20"/>
                                    </w:rPr>
                                    <w:t>台灣電力股份有限公司</w:t>
                                  </w:r>
                                  <w:r w:rsidRPr="00A747D6">
                                    <w:rPr>
                                      <w:rFonts w:ascii="標楷體" w:eastAsia="標楷體" w:hAnsi="標楷體" w:hint="eastAsia"/>
                                      <w:bCs/>
                                      <w:kern w:val="0"/>
                                      <w:sz w:val="20"/>
                                    </w:rPr>
                                    <w:t>、科學園區管理局作業基金、行政院國家科學技術發展基金等</w:t>
                                  </w:r>
                                  <w:r w:rsidRPr="00A747D6">
                                    <w:rPr>
                                      <w:rFonts w:ascii="標楷體" w:eastAsia="標楷體" w:hAnsi="標楷體"/>
                                      <w:bCs/>
                                      <w:kern w:val="0"/>
                                      <w:sz w:val="20"/>
                                    </w:rPr>
                                    <w:t>14</w:t>
                                  </w:r>
                                  <w:r w:rsidRPr="00A747D6">
                                    <w:rPr>
                                      <w:rFonts w:ascii="標楷體" w:eastAsia="標楷體" w:hAnsi="標楷體" w:hint="eastAsia"/>
                                      <w:bCs/>
                                      <w:kern w:val="0"/>
                                      <w:sz w:val="20"/>
                                    </w:rPr>
                                    <w:t>個機關</w:t>
                                  </w:r>
                                  <w:r>
                                    <w:rPr>
                                      <w:rFonts w:ascii="標楷體" w:eastAsia="標楷體" w:hAnsi="標楷體" w:hint="eastAsia"/>
                                      <w:bCs/>
                                      <w:kern w:val="0"/>
                                      <w:sz w:val="20"/>
                                    </w:rPr>
                                    <w:t>（</w:t>
                                  </w:r>
                                  <w:r w:rsidRPr="00A747D6">
                                    <w:rPr>
                                      <w:rFonts w:ascii="標楷體" w:eastAsia="標楷體" w:hAnsi="標楷體" w:hint="eastAsia"/>
                                      <w:bCs/>
                                      <w:kern w:val="0"/>
                                      <w:sz w:val="20"/>
                                    </w:rPr>
                                    <w:t>基金</w:t>
                                  </w:r>
                                  <w:r>
                                    <w:rPr>
                                      <w:rFonts w:ascii="標楷體" w:eastAsia="標楷體" w:hAnsi="標楷體" w:hint="eastAsia"/>
                                      <w:bCs/>
                                      <w:kern w:val="0"/>
                                      <w:sz w:val="20"/>
                                    </w:rPr>
                                    <w:t>）</w:t>
                                  </w:r>
                                </w:p>
                              </w:tc>
                            </w:tr>
                            <w:tr w:rsidR="00CE57F9" w:rsidRPr="006D65CE" w14:paraId="4EC823B3" w14:textId="77777777" w:rsidTr="00EF0729">
                              <w:trPr>
                                <w:trHeight w:val="475"/>
                              </w:trPr>
                              <w:tc>
                                <w:tcPr>
                                  <w:tcW w:w="375" w:type="dxa"/>
                                  <w:vMerge/>
                                  <w:vAlign w:val="center"/>
                                </w:tcPr>
                                <w:p w14:paraId="0C93162F"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p>
                              </w:tc>
                              <w:tc>
                                <w:tcPr>
                                  <w:tcW w:w="344" w:type="dxa"/>
                                  <w:vMerge/>
                                  <w:vAlign w:val="center"/>
                                </w:tcPr>
                                <w:p w14:paraId="01C6C060" w14:textId="77777777" w:rsidR="00CE57F9" w:rsidRPr="00A361CD"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p>
                              </w:tc>
                              <w:tc>
                                <w:tcPr>
                                  <w:tcW w:w="2740" w:type="dxa"/>
                                  <w:vAlign w:val="center"/>
                                </w:tcPr>
                                <w:p w14:paraId="40CED84D" w14:textId="77777777" w:rsidR="00CE57F9" w:rsidRPr="00645814" w:rsidRDefault="00CE57F9" w:rsidP="00850571">
                                  <w:pPr>
                                    <w:overflowPunct w:val="0"/>
                                    <w:snapToGrid w:val="0"/>
                                    <w:spacing w:line="200" w:lineRule="exact"/>
                                    <w:ind w:leftChars="-15" w:left="-36" w:rightChars="-15" w:right="-36" w:firstLineChars="1" w:firstLine="2"/>
                                    <w:jc w:val="both"/>
                                    <w:rPr>
                                      <w:rFonts w:ascii="標楷體" w:eastAsia="標楷體" w:hAnsi="標楷體"/>
                                      <w:bCs/>
                                      <w:color w:val="FF0000"/>
                                      <w:kern w:val="0"/>
                                      <w:sz w:val="20"/>
                                    </w:rPr>
                                  </w:pPr>
                                  <w:r w:rsidRPr="00A361CD">
                                    <w:rPr>
                                      <w:rFonts w:ascii="標楷體" w:eastAsia="標楷體" w:hAnsi="標楷體" w:hint="eastAsia"/>
                                      <w:bCs/>
                                      <w:kern w:val="0"/>
                                      <w:sz w:val="20"/>
                                    </w:rPr>
                                    <w:t>「廣告」字體偏小</w:t>
                                  </w:r>
                                  <w:r w:rsidRPr="00431600">
                                    <w:rPr>
                                      <w:rFonts w:ascii="標楷體" w:eastAsia="標楷體" w:hAnsi="標楷體" w:cs="Helvetica" w:hint="eastAsia"/>
                                      <w:kern w:val="0"/>
                                      <w:sz w:val="20"/>
                                    </w:rPr>
                                    <w:t>，字級大小不符合比例原則</w:t>
                                  </w:r>
                                </w:p>
                              </w:tc>
                              <w:tc>
                                <w:tcPr>
                                  <w:tcW w:w="6282" w:type="dxa"/>
                                  <w:vAlign w:val="center"/>
                                </w:tcPr>
                                <w:p w14:paraId="5A4CC901" w14:textId="77777777" w:rsidR="00CE57F9" w:rsidRPr="00923317"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r w:rsidRPr="00923317">
                                    <w:rPr>
                                      <w:rFonts w:ascii="標楷體" w:eastAsia="標楷體" w:hAnsi="標楷體" w:hint="eastAsia"/>
                                      <w:bCs/>
                                      <w:kern w:val="0"/>
                                      <w:sz w:val="20"/>
                                    </w:rPr>
                                    <w:t>經濟特別收入基金</w:t>
                                  </w:r>
                                  <w:r>
                                    <w:rPr>
                                      <w:rFonts w:ascii="標楷體" w:eastAsia="標楷體" w:hAnsi="標楷體" w:hint="eastAsia"/>
                                      <w:bCs/>
                                      <w:kern w:val="0"/>
                                      <w:sz w:val="20"/>
                                    </w:rPr>
                                    <w:t>（</w:t>
                                  </w:r>
                                  <w:r w:rsidRPr="00923317">
                                    <w:rPr>
                                      <w:rFonts w:ascii="標楷體" w:eastAsia="標楷體" w:hAnsi="標楷體" w:hint="eastAsia"/>
                                      <w:bCs/>
                                      <w:kern w:val="0"/>
                                      <w:sz w:val="20"/>
                                    </w:rPr>
                                    <w:t>推廣貿易基金</w:t>
                                  </w:r>
                                  <w:r>
                                    <w:rPr>
                                      <w:rFonts w:ascii="標楷體" w:eastAsia="標楷體" w:hAnsi="標楷體" w:hint="eastAsia"/>
                                      <w:bCs/>
                                      <w:kern w:val="0"/>
                                      <w:sz w:val="20"/>
                                    </w:rPr>
                                    <w:t>）</w:t>
                                  </w:r>
                                  <w:r w:rsidRPr="00923317">
                                    <w:rPr>
                                      <w:rFonts w:ascii="標楷體" w:eastAsia="標楷體" w:hAnsi="標楷體" w:hint="eastAsia"/>
                                      <w:bCs/>
                                      <w:kern w:val="0"/>
                                      <w:sz w:val="20"/>
                                    </w:rPr>
                                    <w:t>、</w:t>
                                  </w:r>
                                  <w:r>
                                    <w:rPr>
                                      <w:rFonts w:ascii="標楷體" w:eastAsia="標楷體" w:hAnsi="標楷體" w:hint="eastAsia"/>
                                      <w:bCs/>
                                      <w:kern w:val="0"/>
                                      <w:sz w:val="20"/>
                                    </w:rPr>
                                    <w:t>台灣電力股份有限公司</w:t>
                                  </w:r>
                                  <w:r w:rsidRPr="00A747D6">
                                    <w:rPr>
                                      <w:rFonts w:ascii="標楷體" w:eastAsia="標楷體" w:hAnsi="標楷體" w:hint="eastAsia"/>
                                      <w:bCs/>
                                      <w:kern w:val="0"/>
                                      <w:sz w:val="20"/>
                                    </w:rPr>
                                    <w:t>等</w:t>
                                  </w:r>
                                  <w:r>
                                    <w:rPr>
                                      <w:rFonts w:ascii="標楷體" w:eastAsia="標楷體" w:hAnsi="標楷體"/>
                                      <w:bCs/>
                                      <w:kern w:val="0"/>
                                      <w:sz w:val="20"/>
                                    </w:rPr>
                                    <w:t>2</w:t>
                                  </w:r>
                                  <w:r w:rsidRPr="00A747D6">
                                    <w:rPr>
                                      <w:rFonts w:ascii="標楷體" w:eastAsia="標楷體" w:hAnsi="標楷體" w:hint="eastAsia"/>
                                      <w:bCs/>
                                      <w:kern w:val="0"/>
                                      <w:sz w:val="20"/>
                                    </w:rPr>
                                    <w:t>個基金</w:t>
                                  </w:r>
                                </w:p>
                              </w:tc>
                            </w:tr>
                            <w:tr w:rsidR="00CE57F9" w:rsidRPr="006D65CE" w14:paraId="08475512" w14:textId="77777777" w:rsidTr="00EF0729">
                              <w:tc>
                                <w:tcPr>
                                  <w:tcW w:w="375" w:type="dxa"/>
                                  <w:vMerge/>
                                  <w:vAlign w:val="center"/>
                                </w:tcPr>
                                <w:p w14:paraId="6F0E58ED"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p>
                              </w:tc>
                              <w:tc>
                                <w:tcPr>
                                  <w:tcW w:w="344" w:type="dxa"/>
                                  <w:vMerge/>
                                  <w:vAlign w:val="center"/>
                                </w:tcPr>
                                <w:p w14:paraId="14766034" w14:textId="77777777" w:rsidR="00CE57F9" w:rsidRPr="00612CC9" w:rsidRDefault="00CE57F9" w:rsidP="00850571">
                                  <w:pPr>
                                    <w:overflowPunct w:val="0"/>
                                    <w:snapToGrid w:val="0"/>
                                    <w:spacing w:line="200" w:lineRule="exact"/>
                                    <w:ind w:leftChars="-15" w:left="-36" w:rightChars="-15" w:right="-36" w:firstLineChars="1" w:firstLine="2"/>
                                    <w:jc w:val="both"/>
                                    <w:rPr>
                                      <w:rFonts w:ascii="標楷體" w:eastAsia="標楷體" w:hAnsi="標楷體" w:cs="Helvetica"/>
                                      <w:kern w:val="0"/>
                                      <w:sz w:val="20"/>
                                    </w:rPr>
                                  </w:pPr>
                                </w:p>
                              </w:tc>
                              <w:tc>
                                <w:tcPr>
                                  <w:tcW w:w="2740" w:type="dxa"/>
                                  <w:vAlign w:val="center"/>
                                </w:tcPr>
                                <w:p w14:paraId="1C557825" w14:textId="77777777" w:rsidR="00CE57F9" w:rsidRPr="00431600"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r w:rsidRPr="00612CC9">
                                    <w:rPr>
                                      <w:rFonts w:ascii="標楷體" w:eastAsia="標楷體" w:hAnsi="標楷體" w:cs="Helvetica" w:hint="eastAsia"/>
                                      <w:kern w:val="0"/>
                                      <w:sz w:val="20"/>
                                    </w:rPr>
                                    <w:t>非透過四大媒體辦理之宣導，未依規定明確標示機關名稱</w:t>
                                  </w:r>
                                </w:p>
                              </w:tc>
                              <w:tc>
                                <w:tcPr>
                                  <w:tcW w:w="6282" w:type="dxa"/>
                                  <w:vAlign w:val="center"/>
                                </w:tcPr>
                                <w:p w14:paraId="15EEE156" w14:textId="77777777" w:rsidR="00CE57F9" w:rsidRPr="00923317"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r w:rsidRPr="00612CC9">
                                    <w:rPr>
                                      <w:rFonts w:ascii="標楷體" w:eastAsia="標楷體" w:hAnsi="標楷體" w:hint="eastAsia"/>
                                      <w:bCs/>
                                      <w:kern w:val="0"/>
                                      <w:sz w:val="20"/>
                                    </w:rPr>
                                    <w:t>國軍老舊眷村改建基金</w:t>
                                  </w:r>
                                </w:p>
                              </w:tc>
                            </w:tr>
                            <w:tr w:rsidR="00CE57F9" w:rsidRPr="006D65CE" w14:paraId="75388B6A" w14:textId="77777777" w:rsidTr="00EF0729">
                              <w:tc>
                                <w:tcPr>
                                  <w:tcW w:w="375" w:type="dxa"/>
                                  <w:vMerge w:val="restart"/>
                                  <w:vAlign w:val="center"/>
                                </w:tcPr>
                                <w:p w14:paraId="33974930"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r w:rsidRPr="006D65CE">
                                    <w:rPr>
                                      <w:rFonts w:ascii="標楷體" w:eastAsia="標楷體" w:hAnsi="標楷體" w:hint="eastAsia"/>
                                      <w:bCs/>
                                      <w:kern w:val="0"/>
                                      <w:sz w:val="20"/>
                                    </w:rPr>
                                    <w:t>3</w:t>
                                  </w:r>
                                </w:p>
                              </w:tc>
                              <w:tc>
                                <w:tcPr>
                                  <w:tcW w:w="344" w:type="dxa"/>
                                  <w:vMerge w:val="restart"/>
                                  <w:vAlign w:val="center"/>
                                </w:tcPr>
                                <w:p w14:paraId="4DDF9260" w14:textId="77777777" w:rsidR="00CE57F9" w:rsidRDefault="00CE57F9" w:rsidP="00DA2751">
                                  <w:pPr>
                                    <w:overflowPunct w:val="0"/>
                                    <w:snapToGrid w:val="0"/>
                                    <w:spacing w:line="200" w:lineRule="exact"/>
                                    <w:ind w:leftChars="-15" w:left="-36" w:rightChars="-15" w:right="-36" w:firstLineChars="1" w:firstLine="2"/>
                                    <w:jc w:val="center"/>
                                    <w:rPr>
                                      <w:rFonts w:ascii="標楷體" w:eastAsia="標楷體" w:hAnsi="標楷體"/>
                                      <w:bCs/>
                                      <w:kern w:val="0"/>
                                      <w:sz w:val="20"/>
                                    </w:rPr>
                                  </w:pPr>
                                  <w:r>
                                    <w:rPr>
                                      <w:rFonts w:ascii="標楷體" w:eastAsia="標楷體" w:hAnsi="標楷體" w:hint="eastAsia"/>
                                      <w:bCs/>
                                      <w:kern w:val="0"/>
                                      <w:sz w:val="20"/>
                                    </w:rPr>
                                    <w:t>資</w:t>
                                  </w:r>
                                </w:p>
                                <w:p w14:paraId="14FF41D9" w14:textId="77777777" w:rsidR="00CE57F9" w:rsidRDefault="00CE57F9" w:rsidP="00DA2751">
                                  <w:pPr>
                                    <w:overflowPunct w:val="0"/>
                                    <w:snapToGrid w:val="0"/>
                                    <w:spacing w:line="200" w:lineRule="exact"/>
                                    <w:ind w:leftChars="-15" w:left="-36" w:rightChars="-15" w:right="-36" w:firstLineChars="1" w:firstLine="2"/>
                                    <w:jc w:val="center"/>
                                    <w:rPr>
                                      <w:rFonts w:ascii="標楷體" w:eastAsia="標楷體" w:hAnsi="標楷體"/>
                                      <w:bCs/>
                                      <w:kern w:val="0"/>
                                      <w:sz w:val="20"/>
                                    </w:rPr>
                                  </w:pPr>
                                  <w:r>
                                    <w:rPr>
                                      <w:rFonts w:ascii="標楷體" w:eastAsia="標楷體" w:hAnsi="標楷體" w:hint="eastAsia"/>
                                      <w:bCs/>
                                      <w:kern w:val="0"/>
                                      <w:sz w:val="20"/>
                                    </w:rPr>
                                    <w:t>訊</w:t>
                                  </w:r>
                                </w:p>
                                <w:p w14:paraId="1F8DD490" w14:textId="77777777" w:rsidR="00CE57F9" w:rsidRDefault="00CE57F9" w:rsidP="00DA2751">
                                  <w:pPr>
                                    <w:overflowPunct w:val="0"/>
                                    <w:snapToGrid w:val="0"/>
                                    <w:spacing w:line="200" w:lineRule="exact"/>
                                    <w:ind w:leftChars="-15" w:left="-36" w:rightChars="-15" w:right="-36" w:firstLineChars="1" w:firstLine="2"/>
                                    <w:jc w:val="center"/>
                                    <w:rPr>
                                      <w:rFonts w:ascii="標楷體" w:eastAsia="標楷體" w:hAnsi="標楷體"/>
                                      <w:bCs/>
                                      <w:kern w:val="0"/>
                                      <w:sz w:val="20"/>
                                    </w:rPr>
                                  </w:pPr>
                                  <w:r>
                                    <w:rPr>
                                      <w:rFonts w:ascii="標楷體" w:eastAsia="標楷體" w:hAnsi="標楷體" w:hint="eastAsia"/>
                                      <w:bCs/>
                                      <w:kern w:val="0"/>
                                      <w:sz w:val="20"/>
                                    </w:rPr>
                                    <w:t>公</w:t>
                                  </w:r>
                                </w:p>
                                <w:p w14:paraId="1F204AAB" w14:textId="77777777" w:rsidR="00CE57F9" w:rsidRDefault="00CE57F9" w:rsidP="00DA2751">
                                  <w:pPr>
                                    <w:overflowPunct w:val="0"/>
                                    <w:snapToGrid w:val="0"/>
                                    <w:spacing w:line="200" w:lineRule="exact"/>
                                    <w:ind w:leftChars="-15" w:left="-36" w:rightChars="-15" w:right="-36" w:firstLineChars="1" w:firstLine="2"/>
                                    <w:jc w:val="center"/>
                                    <w:rPr>
                                      <w:rFonts w:ascii="標楷體" w:eastAsia="標楷體" w:hAnsi="標楷體"/>
                                      <w:bCs/>
                                      <w:kern w:val="0"/>
                                      <w:sz w:val="20"/>
                                    </w:rPr>
                                  </w:pPr>
                                  <w:r>
                                    <w:rPr>
                                      <w:rFonts w:ascii="標楷體" w:eastAsia="標楷體" w:hAnsi="標楷體" w:hint="eastAsia"/>
                                      <w:bCs/>
                                      <w:kern w:val="0"/>
                                      <w:sz w:val="20"/>
                                    </w:rPr>
                                    <w:t>開</w:t>
                                  </w:r>
                                </w:p>
                                <w:p w14:paraId="34DD37FF" w14:textId="77777777" w:rsidR="00CE57F9" w:rsidRDefault="00CE57F9" w:rsidP="00DA2751">
                                  <w:pPr>
                                    <w:overflowPunct w:val="0"/>
                                    <w:snapToGrid w:val="0"/>
                                    <w:spacing w:line="200" w:lineRule="exact"/>
                                    <w:ind w:leftChars="-15" w:left="-36" w:rightChars="-15" w:right="-36" w:firstLineChars="1" w:firstLine="2"/>
                                    <w:jc w:val="center"/>
                                    <w:rPr>
                                      <w:rFonts w:ascii="標楷體" w:eastAsia="標楷體" w:hAnsi="標楷體"/>
                                      <w:bCs/>
                                      <w:kern w:val="0"/>
                                      <w:sz w:val="20"/>
                                    </w:rPr>
                                  </w:pPr>
                                  <w:r>
                                    <w:rPr>
                                      <w:rFonts w:ascii="標楷體" w:eastAsia="標楷體" w:hAnsi="標楷體" w:hint="eastAsia"/>
                                      <w:bCs/>
                                      <w:kern w:val="0"/>
                                      <w:sz w:val="20"/>
                                    </w:rPr>
                                    <w:t>事</w:t>
                                  </w:r>
                                </w:p>
                                <w:p w14:paraId="25B9FC1E" w14:textId="77777777" w:rsidR="00CE57F9" w:rsidRPr="00F2042D" w:rsidRDefault="00CE57F9" w:rsidP="00DA2751">
                                  <w:pPr>
                                    <w:overflowPunct w:val="0"/>
                                    <w:snapToGrid w:val="0"/>
                                    <w:spacing w:line="200" w:lineRule="exact"/>
                                    <w:ind w:leftChars="-15" w:left="-36" w:rightChars="-15" w:right="-36" w:firstLineChars="1" w:firstLine="2"/>
                                    <w:jc w:val="center"/>
                                    <w:rPr>
                                      <w:rFonts w:ascii="標楷體" w:eastAsia="標楷體" w:hAnsi="標楷體"/>
                                      <w:bCs/>
                                      <w:kern w:val="0"/>
                                      <w:sz w:val="20"/>
                                    </w:rPr>
                                  </w:pPr>
                                  <w:r>
                                    <w:rPr>
                                      <w:rFonts w:ascii="標楷體" w:eastAsia="標楷體" w:hAnsi="標楷體" w:hint="eastAsia"/>
                                      <w:bCs/>
                                      <w:kern w:val="0"/>
                                      <w:sz w:val="20"/>
                                    </w:rPr>
                                    <w:t>宜</w:t>
                                  </w:r>
                                </w:p>
                              </w:tc>
                              <w:tc>
                                <w:tcPr>
                                  <w:tcW w:w="2740" w:type="dxa"/>
                                  <w:vAlign w:val="center"/>
                                </w:tcPr>
                                <w:p w14:paraId="6B09D380" w14:textId="77777777" w:rsidR="00CE57F9" w:rsidRPr="00F2042D"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r w:rsidRPr="00F2042D">
                                    <w:rPr>
                                      <w:rFonts w:ascii="標楷體" w:eastAsia="標楷體" w:hAnsi="標楷體" w:hint="eastAsia"/>
                                      <w:bCs/>
                                      <w:kern w:val="0"/>
                                      <w:sz w:val="20"/>
                                    </w:rPr>
                                    <w:t>漏未按月於機關網站資訊公開區公布</w:t>
                                  </w:r>
                                </w:p>
                              </w:tc>
                              <w:tc>
                                <w:tcPr>
                                  <w:tcW w:w="6282" w:type="dxa"/>
                                  <w:vAlign w:val="center"/>
                                </w:tcPr>
                                <w:p w14:paraId="7303D613" w14:textId="393850AB" w:rsidR="00CE57F9" w:rsidRPr="00F2042D"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r w:rsidRPr="00F2042D">
                                    <w:rPr>
                                      <w:rFonts w:ascii="標楷體" w:eastAsia="標楷體" w:hAnsi="標楷體" w:hint="eastAsia"/>
                                      <w:bCs/>
                                      <w:kern w:val="0"/>
                                      <w:sz w:val="20"/>
                                    </w:rPr>
                                    <w:t>教育部、</w:t>
                                  </w:r>
                                  <w:r w:rsidR="00EF0729">
                                    <w:rPr>
                                      <w:rFonts w:ascii="標楷體" w:eastAsia="標楷體" w:hAnsi="標楷體" w:hint="eastAsia"/>
                                      <w:bCs/>
                                      <w:kern w:val="0"/>
                                      <w:sz w:val="20"/>
                                    </w:rPr>
                                    <w:t>衛生福利部</w:t>
                                  </w:r>
                                  <w:r w:rsidRPr="00F2042D">
                                    <w:rPr>
                                      <w:rFonts w:ascii="標楷體" w:eastAsia="標楷體" w:hAnsi="標楷體" w:hint="eastAsia"/>
                                      <w:bCs/>
                                      <w:kern w:val="0"/>
                                      <w:sz w:val="20"/>
                                    </w:rPr>
                                    <w:t>食品藥物管理署</w:t>
                                  </w:r>
                                  <w:r>
                                    <w:rPr>
                                      <w:rFonts w:ascii="標楷體" w:eastAsia="標楷體" w:hAnsi="標楷體" w:hint="eastAsia"/>
                                      <w:bCs/>
                                      <w:kern w:val="0"/>
                                      <w:sz w:val="20"/>
                                    </w:rPr>
                                    <w:t>（</w:t>
                                  </w:r>
                                  <w:r w:rsidRPr="00F2042D">
                                    <w:rPr>
                                      <w:rFonts w:ascii="標楷體" w:eastAsia="標楷體" w:hAnsi="標楷體" w:hint="eastAsia"/>
                                      <w:bCs/>
                                      <w:kern w:val="0"/>
                                      <w:sz w:val="20"/>
                                    </w:rPr>
                                    <w:t>回饋項目</w:t>
                                  </w:r>
                                  <w:r>
                                    <w:rPr>
                                      <w:rFonts w:ascii="標楷體" w:eastAsia="標楷體" w:hAnsi="標楷體" w:hint="eastAsia"/>
                                      <w:bCs/>
                                      <w:kern w:val="0"/>
                                      <w:sz w:val="20"/>
                                    </w:rPr>
                                    <w:t>）</w:t>
                                  </w:r>
                                  <w:r w:rsidRPr="00F2042D">
                                    <w:rPr>
                                      <w:rFonts w:ascii="標楷體" w:eastAsia="標楷體" w:hAnsi="標楷體" w:hint="eastAsia"/>
                                      <w:bCs/>
                                      <w:kern w:val="0"/>
                                      <w:sz w:val="20"/>
                                    </w:rPr>
                                    <w:t>、</w:t>
                                  </w:r>
                                  <w:r w:rsidR="00EF0729">
                                    <w:rPr>
                                      <w:rFonts w:ascii="標楷體" w:eastAsia="標楷體" w:hAnsi="標楷體" w:hint="eastAsia"/>
                                      <w:bCs/>
                                      <w:kern w:val="0"/>
                                      <w:sz w:val="20"/>
                                    </w:rPr>
                                    <w:t>國家科學</w:t>
                                  </w:r>
                                  <w:r w:rsidR="00EF0729">
                                    <w:rPr>
                                      <w:rFonts w:ascii="標楷體" w:eastAsia="標楷體" w:hAnsi="標楷體"/>
                                      <w:bCs/>
                                      <w:kern w:val="0"/>
                                      <w:sz w:val="20"/>
                                    </w:rPr>
                                    <w:t>及技術委員會</w:t>
                                  </w:r>
                                  <w:r w:rsidRPr="00F2042D">
                                    <w:rPr>
                                      <w:rFonts w:ascii="標楷體" w:eastAsia="標楷體" w:hAnsi="標楷體" w:hint="eastAsia"/>
                                      <w:bCs/>
                                      <w:kern w:val="0"/>
                                      <w:sz w:val="20"/>
                                    </w:rPr>
                                    <w:t>新竹科學園區管理局等3個機關</w:t>
                                  </w:r>
                                </w:p>
                              </w:tc>
                            </w:tr>
                            <w:tr w:rsidR="00CE57F9" w:rsidRPr="006D65CE" w14:paraId="6CAE0F2A" w14:textId="77777777" w:rsidTr="00EF0729">
                              <w:tc>
                                <w:tcPr>
                                  <w:tcW w:w="375" w:type="dxa"/>
                                  <w:vMerge/>
                                  <w:vAlign w:val="center"/>
                                </w:tcPr>
                                <w:p w14:paraId="15494CBC"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p>
                              </w:tc>
                              <w:tc>
                                <w:tcPr>
                                  <w:tcW w:w="344" w:type="dxa"/>
                                  <w:vMerge/>
                                </w:tcPr>
                                <w:p w14:paraId="38117913" w14:textId="77777777" w:rsidR="00CE57F9" w:rsidRPr="00F2042D"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p>
                              </w:tc>
                              <w:tc>
                                <w:tcPr>
                                  <w:tcW w:w="2740" w:type="dxa"/>
                                  <w:vAlign w:val="center"/>
                                </w:tcPr>
                                <w:p w14:paraId="115EB143" w14:textId="77777777" w:rsidR="00CE57F9" w:rsidRPr="00645814" w:rsidRDefault="00CE57F9" w:rsidP="00850571">
                                  <w:pPr>
                                    <w:overflowPunct w:val="0"/>
                                    <w:snapToGrid w:val="0"/>
                                    <w:spacing w:line="200" w:lineRule="exact"/>
                                    <w:ind w:leftChars="-15" w:left="-36" w:rightChars="-15" w:right="-36" w:firstLineChars="1" w:firstLine="2"/>
                                    <w:jc w:val="both"/>
                                    <w:rPr>
                                      <w:rFonts w:ascii="標楷體" w:eastAsia="標楷體" w:hAnsi="標楷體"/>
                                      <w:bCs/>
                                      <w:color w:val="FF0000"/>
                                      <w:kern w:val="0"/>
                                      <w:sz w:val="20"/>
                                    </w:rPr>
                                  </w:pPr>
                                  <w:r w:rsidRPr="00F2042D">
                                    <w:rPr>
                                      <w:rFonts w:ascii="標楷體" w:eastAsia="標楷體" w:hAnsi="標楷體" w:hint="eastAsia"/>
                                      <w:bCs/>
                                      <w:kern w:val="0"/>
                                      <w:sz w:val="20"/>
                                    </w:rPr>
                                    <w:t>漏未按季彙送立法院備查</w:t>
                                  </w:r>
                                </w:p>
                              </w:tc>
                              <w:tc>
                                <w:tcPr>
                                  <w:tcW w:w="6282" w:type="dxa"/>
                                  <w:vAlign w:val="center"/>
                                </w:tcPr>
                                <w:p w14:paraId="78C30545" w14:textId="424DCB66" w:rsidR="00CE57F9" w:rsidRPr="00645814" w:rsidRDefault="00EF0729" w:rsidP="00850571">
                                  <w:pPr>
                                    <w:overflowPunct w:val="0"/>
                                    <w:snapToGrid w:val="0"/>
                                    <w:spacing w:line="200" w:lineRule="exact"/>
                                    <w:ind w:leftChars="-15" w:left="-36" w:rightChars="-15" w:right="-36" w:firstLineChars="1" w:firstLine="2"/>
                                    <w:jc w:val="both"/>
                                    <w:rPr>
                                      <w:rFonts w:ascii="標楷體" w:eastAsia="標楷體" w:hAnsi="標楷體"/>
                                      <w:bCs/>
                                      <w:color w:val="FF0000"/>
                                      <w:kern w:val="0"/>
                                      <w:sz w:val="20"/>
                                    </w:rPr>
                                  </w:pPr>
                                  <w:r>
                                    <w:rPr>
                                      <w:rFonts w:ascii="標楷體" w:eastAsia="標楷體" w:hAnsi="標楷體" w:hint="eastAsia"/>
                                      <w:bCs/>
                                      <w:kern w:val="0"/>
                                      <w:sz w:val="20"/>
                                    </w:rPr>
                                    <w:t>客家委員會、農業委員會及所屬</w:t>
                                  </w:r>
                                  <w:r w:rsidR="00CE57F9" w:rsidRPr="00F2042D">
                                    <w:rPr>
                                      <w:rFonts w:ascii="標楷體" w:eastAsia="標楷體" w:hAnsi="標楷體" w:hint="eastAsia"/>
                                      <w:bCs/>
                                      <w:kern w:val="0"/>
                                      <w:sz w:val="20"/>
                                    </w:rPr>
                                    <w:t>農糧署、水土保持局、農業特別收入基金（農村再生基金）等5個機關</w:t>
                                  </w:r>
                                  <w:r w:rsidR="00CE57F9">
                                    <w:rPr>
                                      <w:rFonts w:ascii="標楷體" w:eastAsia="標楷體" w:hAnsi="標楷體" w:hint="eastAsia"/>
                                      <w:bCs/>
                                      <w:kern w:val="0"/>
                                      <w:sz w:val="20"/>
                                    </w:rPr>
                                    <w:t>（</w:t>
                                  </w:r>
                                  <w:r w:rsidR="00CE57F9" w:rsidRPr="00F2042D">
                                    <w:rPr>
                                      <w:rFonts w:ascii="標楷體" w:eastAsia="標楷體" w:hAnsi="標楷體" w:hint="eastAsia"/>
                                      <w:bCs/>
                                      <w:kern w:val="0"/>
                                      <w:sz w:val="20"/>
                                    </w:rPr>
                                    <w:t>基金</w:t>
                                  </w:r>
                                  <w:r w:rsidR="00CE57F9">
                                    <w:rPr>
                                      <w:rFonts w:ascii="標楷體" w:eastAsia="標楷體" w:hAnsi="標楷體" w:hint="eastAsia"/>
                                      <w:bCs/>
                                      <w:kern w:val="0"/>
                                      <w:sz w:val="20"/>
                                    </w:rPr>
                                    <w:t>）</w:t>
                                  </w:r>
                                </w:p>
                              </w:tc>
                            </w:tr>
                            <w:tr w:rsidR="00CE57F9" w:rsidRPr="006D65CE" w14:paraId="77D11551" w14:textId="77777777" w:rsidTr="00EF0729">
                              <w:tc>
                                <w:tcPr>
                                  <w:tcW w:w="375" w:type="dxa"/>
                                  <w:vMerge/>
                                  <w:vAlign w:val="center"/>
                                </w:tcPr>
                                <w:p w14:paraId="6C88BC0F"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p>
                              </w:tc>
                              <w:tc>
                                <w:tcPr>
                                  <w:tcW w:w="344" w:type="dxa"/>
                                  <w:vMerge/>
                                </w:tcPr>
                                <w:p w14:paraId="54A38AC0" w14:textId="77777777" w:rsidR="00CE57F9" w:rsidRPr="004615D3"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p>
                              </w:tc>
                              <w:tc>
                                <w:tcPr>
                                  <w:tcW w:w="2740" w:type="dxa"/>
                                  <w:vAlign w:val="center"/>
                                </w:tcPr>
                                <w:p w14:paraId="210ED8F8" w14:textId="77777777" w:rsidR="00CE57F9" w:rsidRPr="00645814" w:rsidRDefault="00CE57F9" w:rsidP="00850571">
                                  <w:pPr>
                                    <w:overflowPunct w:val="0"/>
                                    <w:snapToGrid w:val="0"/>
                                    <w:spacing w:line="200" w:lineRule="exact"/>
                                    <w:ind w:leftChars="-15" w:left="-36" w:rightChars="-15" w:right="-36" w:firstLineChars="1" w:firstLine="2"/>
                                    <w:jc w:val="both"/>
                                    <w:rPr>
                                      <w:rFonts w:ascii="標楷體" w:eastAsia="標楷體" w:hAnsi="標楷體"/>
                                      <w:bCs/>
                                      <w:color w:val="FF0000"/>
                                      <w:kern w:val="0"/>
                                      <w:sz w:val="20"/>
                                    </w:rPr>
                                  </w:pPr>
                                  <w:r w:rsidRPr="004615D3">
                                    <w:rPr>
                                      <w:rFonts w:ascii="標楷體" w:eastAsia="標楷體" w:hAnsi="標楷體" w:hint="eastAsia"/>
                                      <w:bCs/>
                                      <w:kern w:val="0"/>
                                      <w:sz w:val="20"/>
                                    </w:rPr>
                                    <w:t>漏未按月於機關網站資訊公開區公布及按季彙送立法院備查</w:t>
                                  </w:r>
                                </w:p>
                              </w:tc>
                              <w:tc>
                                <w:tcPr>
                                  <w:tcW w:w="6282" w:type="dxa"/>
                                  <w:vAlign w:val="center"/>
                                </w:tcPr>
                                <w:p w14:paraId="51A6672D" w14:textId="0B573839" w:rsidR="00CE57F9" w:rsidRPr="00645814" w:rsidRDefault="00CE57F9" w:rsidP="00850571">
                                  <w:pPr>
                                    <w:overflowPunct w:val="0"/>
                                    <w:snapToGrid w:val="0"/>
                                    <w:spacing w:line="200" w:lineRule="exact"/>
                                    <w:ind w:leftChars="-15" w:left="-36" w:rightChars="-15" w:right="-36" w:firstLineChars="1" w:firstLine="2"/>
                                    <w:jc w:val="both"/>
                                    <w:rPr>
                                      <w:rFonts w:ascii="標楷體" w:eastAsia="標楷體" w:hAnsi="標楷體"/>
                                      <w:bCs/>
                                      <w:color w:val="FF0000"/>
                                      <w:kern w:val="0"/>
                                      <w:sz w:val="20"/>
                                    </w:rPr>
                                  </w:pPr>
                                  <w:r w:rsidRPr="004615D3">
                                    <w:rPr>
                                      <w:rFonts w:ascii="標楷體" w:eastAsia="標楷體" w:hAnsi="標楷體" w:hint="eastAsia"/>
                                      <w:bCs/>
                                      <w:kern w:val="0"/>
                                      <w:sz w:val="20"/>
                                    </w:rPr>
                                    <w:t>國家發展委員會</w:t>
                                  </w:r>
                                  <w:r>
                                    <w:rPr>
                                      <w:rFonts w:ascii="標楷體" w:eastAsia="標楷體" w:hAnsi="標楷體" w:hint="eastAsia"/>
                                      <w:bCs/>
                                      <w:kern w:val="0"/>
                                      <w:sz w:val="20"/>
                                    </w:rPr>
                                    <w:t>（</w:t>
                                  </w:r>
                                  <w:r w:rsidRPr="004615D3">
                                    <w:rPr>
                                      <w:rFonts w:ascii="標楷體" w:eastAsia="標楷體" w:hAnsi="標楷體" w:hint="eastAsia"/>
                                      <w:bCs/>
                                      <w:kern w:val="0"/>
                                      <w:sz w:val="20"/>
                                    </w:rPr>
                                    <w:t>廠商回饋</w:t>
                                  </w:r>
                                  <w:r>
                                    <w:rPr>
                                      <w:rFonts w:ascii="標楷體" w:eastAsia="標楷體" w:hAnsi="標楷體" w:hint="eastAsia"/>
                                      <w:bCs/>
                                      <w:kern w:val="0"/>
                                      <w:sz w:val="20"/>
                                    </w:rPr>
                                    <w:t>）</w:t>
                                  </w:r>
                                  <w:r w:rsidRPr="004615D3">
                                    <w:rPr>
                                      <w:rFonts w:ascii="標楷體" w:eastAsia="標楷體" w:hAnsi="標楷體" w:hint="eastAsia"/>
                                      <w:bCs/>
                                      <w:kern w:val="0"/>
                                      <w:sz w:val="20"/>
                                    </w:rPr>
                                    <w:t>、</w:t>
                                  </w:r>
                                  <w:r w:rsidR="00EF0729" w:rsidRPr="00EF0729">
                                    <w:rPr>
                                      <w:rFonts w:ascii="標楷體" w:eastAsia="標楷體" w:hAnsi="標楷體" w:hint="eastAsia"/>
                                      <w:bCs/>
                                      <w:kern w:val="0"/>
                                      <w:sz w:val="20"/>
                                    </w:rPr>
                                    <w:t>國家科學及技術委員會</w:t>
                                  </w:r>
                                  <w:r w:rsidRPr="004615D3">
                                    <w:rPr>
                                      <w:rFonts w:ascii="標楷體" w:eastAsia="標楷體" w:hAnsi="標楷體" w:hint="eastAsia"/>
                                      <w:bCs/>
                                      <w:kern w:val="0"/>
                                      <w:sz w:val="20"/>
                                    </w:rPr>
                                    <w:t>新竹科學園區管理局、原住民族委員會、衛生福利部、科學園區管理局作業基金、</w:t>
                                  </w:r>
                                  <w:r>
                                    <w:rPr>
                                      <w:rFonts w:ascii="標楷體" w:eastAsia="標楷體" w:hAnsi="標楷體" w:hint="eastAsia"/>
                                      <w:bCs/>
                                      <w:kern w:val="0"/>
                                      <w:sz w:val="20"/>
                                    </w:rPr>
                                    <w:t>行政院</w:t>
                                  </w:r>
                                  <w:r w:rsidRPr="004615D3">
                                    <w:rPr>
                                      <w:rFonts w:ascii="標楷體" w:eastAsia="標楷體" w:hAnsi="標楷體" w:hint="eastAsia"/>
                                      <w:bCs/>
                                      <w:kern w:val="0"/>
                                      <w:sz w:val="20"/>
                                    </w:rPr>
                                    <w:t>國家科學技術發展基金、衛生福利特別收入基金</w:t>
                                  </w:r>
                                  <w:r>
                                    <w:rPr>
                                      <w:rFonts w:ascii="標楷體" w:eastAsia="標楷體" w:hAnsi="標楷體" w:hint="eastAsia"/>
                                      <w:bCs/>
                                      <w:kern w:val="0"/>
                                      <w:sz w:val="20"/>
                                    </w:rPr>
                                    <w:t>（</w:t>
                                  </w:r>
                                  <w:r w:rsidRPr="004615D3">
                                    <w:rPr>
                                      <w:rFonts w:ascii="標楷體" w:eastAsia="標楷體" w:hAnsi="標楷體" w:hint="eastAsia"/>
                                      <w:bCs/>
                                      <w:kern w:val="0"/>
                                      <w:sz w:val="20"/>
                                    </w:rPr>
                                    <w:t>長照服務發展基金、社會福利基金</w:t>
                                  </w:r>
                                  <w:r>
                                    <w:rPr>
                                      <w:rFonts w:ascii="標楷體" w:eastAsia="標楷體" w:hAnsi="標楷體" w:hint="eastAsia"/>
                                      <w:bCs/>
                                      <w:kern w:val="0"/>
                                      <w:sz w:val="20"/>
                                    </w:rPr>
                                    <w:t>）</w:t>
                                  </w:r>
                                  <w:r w:rsidRPr="004615D3">
                                    <w:rPr>
                                      <w:rFonts w:ascii="標楷體" w:eastAsia="標楷體" w:hAnsi="標楷體" w:hint="eastAsia"/>
                                      <w:bCs/>
                                      <w:kern w:val="0"/>
                                      <w:sz w:val="20"/>
                                    </w:rPr>
                                    <w:t>等7個機關</w:t>
                                  </w:r>
                                  <w:r>
                                    <w:rPr>
                                      <w:rFonts w:ascii="標楷體" w:eastAsia="標楷體" w:hAnsi="標楷體" w:hint="eastAsia"/>
                                      <w:bCs/>
                                      <w:kern w:val="0"/>
                                      <w:sz w:val="20"/>
                                    </w:rPr>
                                    <w:t>（</w:t>
                                  </w:r>
                                  <w:r w:rsidRPr="004615D3">
                                    <w:rPr>
                                      <w:rFonts w:ascii="標楷體" w:eastAsia="標楷體" w:hAnsi="標楷體" w:hint="eastAsia"/>
                                      <w:bCs/>
                                      <w:kern w:val="0"/>
                                      <w:sz w:val="20"/>
                                    </w:rPr>
                                    <w:t>基金</w:t>
                                  </w:r>
                                  <w:r>
                                    <w:rPr>
                                      <w:rFonts w:ascii="標楷體" w:eastAsia="標楷體" w:hAnsi="標楷體" w:hint="eastAsia"/>
                                      <w:bCs/>
                                      <w:kern w:val="0"/>
                                      <w:sz w:val="20"/>
                                    </w:rPr>
                                    <w:t>）</w:t>
                                  </w:r>
                                </w:p>
                              </w:tc>
                            </w:tr>
                            <w:tr w:rsidR="00CE57F9" w:rsidRPr="006D65CE" w14:paraId="137E67E1" w14:textId="77777777" w:rsidTr="00EF0729">
                              <w:tc>
                                <w:tcPr>
                                  <w:tcW w:w="375" w:type="dxa"/>
                                  <w:vMerge/>
                                  <w:vAlign w:val="center"/>
                                </w:tcPr>
                                <w:p w14:paraId="2B2BBAD0"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p>
                              </w:tc>
                              <w:tc>
                                <w:tcPr>
                                  <w:tcW w:w="344" w:type="dxa"/>
                                  <w:vMerge/>
                                </w:tcPr>
                                <w:p w14:paraId="47AA971A" w14:textId="77777777" w:rsidR="00CE57F9" w:rsidRPr="00676E6D"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p>
                              </w:tc>
                              <w:tc>
                                <w:tcPr>
                                  <w:tcW w:w="2740" w:type="dxa"/>
                                  <w:vAlign w:val="center"/>
                                </w:tcPr>
                                <w:p w14:paraId="76739C9B" w14:textId="77777777" w:rsidR="00CE57F9" w:rsidRPr="00676E6D"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r w:rsidRPr="00676E6D">
                                    <w:rPr>
                                      <w:rFonts w:ascii="標楷體" w:eastAsia="標楷體" w:hAnsi="標楷體" w:hint="eastAsia"/>
                                      <w:bCs/>
                                      <w:kern w:val="0"/>
                                      <w:sz w:val="20"/>
                                    </w:rPr>
                                    <w:t>揭露資訊存有缺漏或不正確情事</w:t>
                                  </w:r>
                                </w:p>
                              </w:tc>
                              <w:tc>
                                <w:tcPr>
                                  <w:tcW w:w="6282" w:type="dxa"/>
                                  <w:vAlign w:val="center"/>
                                </w:tcPr>
                                <w:p w14:paraId="4C4BD02F" w14:textId="21FBEF6E" w:rsidR="00CE57F9" w:rsidRPr="00676E6D"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r w:rsidRPr="00676E6D">
                                    <w:rPr>
                                      <w:rFonts w:ascii="標楷體" w:eastAsia="標楷體" w:hAnsi="標楷體" w:hint="eastAsia"/>
                                      <w:bCs/>
                                      <w:kern w:val="0"/>
                                      <w:sz w:val="20"/>
                                    </w:rPr>
                                    <w:t>原住民族委員會、</w:t>
                                  </w:r>
                                  <w:r w:rsidR="00EF0729">
                                    <w:rPr>
                                      <w:rFonts w:ascii="標楷體" w:eastAsia="標楷體" w:hAnsi="標楷體" w:hint="eastAsia"/>
                                      <w:bCs/>
                                      <w:kern w:val="0"/>
                                      <w:sz w:val="20"/>
                                    </w:rPr>
                                    <w:t>衛生福利部</w:t>
                                  </w:r>
                                  <w:r w:rsidRPr="00676E6D">
                                    <w:rPr>
                                      <w:rFonts w:ascii="標楷體" w:eastAsia="標楷體" w:hAnsi="標楷體" w:hint="eastAsia"/>
                                      <w:bCs/>
                                      <w:kern w:val="0"/>
                                      <w:sz w:val="20"/>
                                    </w:rPr>
                                    <w:t>社會及家庭署、衛生福利特別收入基金</w:t>
                                  </w:r>
                                  <w:r>
                                    <w:rPr>
                                      <w:rFonts w:ascii="標楷體" w:eastAsia="標楷體" w:hAnsi="標楷體" w:hint="eastAsia"/>
                                      <w:bCs/>
                                      <w:kern w:val="0"/>
                                      <w:sz w:val="20"/>
                                    </w:rPr>
                                    <w:t>（</w:t>
                                  </w:r>
                                  <w:r w:rsidRPr="00676E6D">
                                    <w:rPr>
                                      <w:rFonts w:ascii="標楷體" w:eastAsia="標楷體" w:hAnsi="標楷體" w:hint="eastAsia"/>
                                      <w:bCs/>
                                      <w:kern w:val="0"/>
                                      <w:sz w:val="20"/>
                                    </w:rPr>
                                    <w:t>社會福利基金</w:t>
                                  </w:r>
                                  <w:r>
                                    <w:rPr>
                                      <w:rFonts w:ascii="標楷體" w:eastAsia="標楷體" w:hAnsi="標楷體" w:hint="eastAsia"/>
                                      <w:bCs/>
                                      <w:kern w:val="0"/>
                                      <w:sz w:val="20"/>
                                    </w:rPr>
                                    <w:t>）</w:t>
                                  </w:r>
                                  <w:r w:rsidRPr="00676E6D">
                                    <w:rPr>
                                      <w:rFonts w:ascii="標楷體" w:eastAsia="標楷體" w:hAnsi="標楷體" w:hint="eastAsia"/>
                                      <w:bCs/>
                                      <w:kern w:val="0"/>
                                      <w:sz w:val="20"/>
                                    </w:rPr>
                                    <w:t>、台灣電力股份有限公司、台灣中油股份有限公司</w:t>
                                  </w:r>
                                  <w:r w:rsidRPr="00F2042D">
                                    <w:rPr>
                                      <w:rFonts w:ascii="標楷體" w:eastAsia="標楷體" w:hAnsi="標楷體" w:hint="eastAsia"/>
                                      <w:bCs/>
                                      <w:kern w:val="0"/>
                                      <w:sz w:val="20"/>
                                    </w:rPr>
                                    <w:t>等5個機關</w:t>
                                  </w:r>
                                  <w:r>
                                    <w:rPr>
                                      <w:rFonts w:ascii="標楷體" w:eastAsia="標楷體" w:hAnsi="標楷體" w:hint="eastAsia"/>
                                      <w:bCs/>
                                      <w:kern w:val="0"/>
                                      <w:sz w:val="20"/>
                                    </w:rPr>
                                    <w:t>（</w:t>
                                  </w:r>
                                  <w:r w:rsidRPr="00F2042D">
                                    <w:rPr>
                                      <w:rFonts w:ascii="標楷體" w:eastAsia="標楷體" w:hAnsi="標楷體" w:hint="eastAsia"/>
                                      <w:bCs/>
                                      <w:kern w:val="0"/>
                                      <w:sz w:val="20"/>
                                    </w:rPr>
                                    <w:t>基金</w:t>
                                  </w:r>
                                  <w:r>
                                    <w:rPr>
                                      <w:rFonts w:ascii="標楷體" w:eastAsia="標楷體" w:hAnsi="標楷體" w:hint="eastAsia"/>
                                      <w:bCs/>
                                      <w:kern w:val="0"/>
                                      <w:sz w:val="20"/>
                                    </w:rPr>
                                    <w:t>）</w:t>
                                  </w:r>
                                </w:p>
                              </w:tc>
                            </w:tr>
                            <w:tr w:rsidR="00CE57F9" w:rsidRPr="006D65CE" w14:paraId="611AF9CE" w14:textId="77777777" w:rsidTr="00EF0729">
                              <w:trPr>
                                <w:trHeight w:val="698"/>
                              </w:trPr>
                              <w:tc>
                                <w:tcPr>
                                  <w:tcW w:w="375" w:type="dxa"/>
                                  <w:vMerge/>
                                  <w:vAlign w:val="center"/>
                                </w:tcPr>
                                <w:p w14:paraId="7363DD2E"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p>
                              </w:tc>
                              <w:tc>
                                <w:tcPr>
                                  <w:tcW w:w="344" w:type="dxa"/>
                                  <w:vMerge/>
                                </w:tcPr>
                                <w:p w14:paraId="592921A0" w14:textId="77777777" w:rsidR="00CE57F9" w:rsidRPr="00676E6D"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p>
                              </w:tc>
                              <w:tc>
                                <w:tcPr>
                                  <w:tcW w:w="2740" w:type="dxa"/>
                                  <w:vAlign w:val="center"/>
                                </w:tcPr>
                                <w:p w14:paraId="19FBD0F7" w14:textId="77777777" w:rsidR="00CE57F9" w:rsidRPr="00676E6D"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r w:rsidRPr="00676E6D">
                                    <w:rPr>
                                      <w:rFonts w:ascii="標楷體" w:eastAsia="標楷體" w:hAnsi="標楷體" w:hint="eastAsia"/>
                                      <w:bCs/>
                                      <w:kern w:val="0"/>
                                      <w:sz w:val="20"/>
                                    </w:rPr>
                                    <w:t>未按季於</w:t>
                                  </w:r>
                                  <w:r w:rsidRPr="00D274C2">
                                    <w:rPr>
                                      <w:rFonts w:ascii="標楷體" w:eastAsia="標楷體" w:hAnsi="標楷體" w:hint="eastAsia"/>
                                      <w:bCs/>
                                      <w:kern w:val="0"/>
                                      <w:sz w:val="20"/>
                                    </w:rPr>
                                    <w:t>行政院</w:t>
                                  </w:r>
                                  <w:r w:rsidRPr="00676E6D">
                                    <w:rPr>
                                      <w:rFonts w:ascii="標楷體" w:eastAsia="標楷體" w:hAnsi="標楷體" w:hint="eastAsia"/>
                                      <w:bCs/>
                                      <w:kern w:val="0"/>
                                      <w:sz w:val="20"/>
                                    </w:rPr>
                                    <w:t>主計總處「中央政府各主管機關政策宣導資訊查詢平台」網站專區公布</w:t>
                                  </w:r>
                                </w:p>
                              </w:tc>
                              <w:tc>
                                <w:tcPr>
                                  <w:tcW w:w="6282" w:type="dxa"/>
                                  <w:vAlign w:val="center"/>
                                </w:tcPr>
                                <w:p w14:paraId="6C8C6566" w14:textId="77777777" w:rsidR="00CE57F9" w:rsidRPr="00676E6D"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r w:rsidRPr="00676E6D">
                                    <w:rPr>
                                      <w:rFonts w:ascii="標楷體" w:eastAsia="標楷體" w:hAnsi="標楷體" w:hint="eastAsia"/>
                                      <w:bCs/>
                                      <w:kern w:val="0"/>
                                      <w:sz w:val="20"/>
                                    </w:rPr>
                                    <w:t>不當黨產處理委員會、客家委員會</w:t>
                                  </w:r>
                                  <w:r>
                                    <w:rPr>
                                      <w:rFonts w:ascii="標楷體" w:eastAsia="標楷體" w:hAnsi="標楷體" w:hint="eastAsia"/>
                                      <w:bCs/>
                                      <w:kern w:val="0"/>
                                      <w:sz w:val="20"/>
                                    </w:rPr>
                                    <w:t>等2</w:t>
                                  </w:r>
                                  <w:r>
                                    <w:rPr>
                                      <w:rFonts w:ascii="標楷體" w:eastAsia="標楷體" w:hAnsi="標楷體"/>
                                      <w:bCs/>
                                      <w:kern w:val="0"/>
                                      <w:sz w:val="20"/>
                                    </w:rPr>
                                    <w:t>機關</w:t>
                                  </w:r>
                                </w:p>
                              </w:tc>
                            </w:tr>
                            <w:tr w:rsidR="00CE57F9" w:rsidRPr="006D65CE" w14:paraId="6A602938" w14:textId="77777777" w:rsidTr="00DA2751">
                              <w:tc>
                                <w:tcPr>
                                  <w:tcW w:w="9741" w:type="dxa"/>
                                  <w:gridSpan w:val="4"/>
                                  <w:tcBorders>
                                    <w:left w:val="nil"/>
                                    <w:bottom w:val="nil"/>
                                    <w:right w:val="nil"/>
                                  </w:tcBorders>
                                </w:tcPr>
                                <w:p w14:paraId="62EE487F" w14:textId="77777777" w:rsidR="00CE57F9" w:rsidRPr="006D65CE" w:rsidRDefault="00CE57F9" w:rsidP="009C3537">
                                  <w:pPr>
                                    <w:overflowPunct w:val="0"/>
                                    <w:snapToGrid w:val="0"/>
                                    <w:spacing w:beforeLines="10" w:before="36" w:line="200" w:lineRule="exact"/>
                                    <w:jc w:val="both"/>
                                    <w:rPr>
                                      <w:rFonts w:ascii="標楷體" w:eastAsia="標楷體" w:hAnsi="標楷體"/>
                                      <w:bCs/>
                                      <w:kern w:val="0"/>
                                      <w:sz w:val="18"/>
                                      <w:szCs w:val="18"/>
                                    </w:rPr>
                                  </w:pPr>
                                  <w:r w:rsidRPr="006D65CE">
                                    <w:rPr>
                                      <w:rFonts w:ascii="標楷體" w:eastAsia="標楷體" w:hAnsi="標楷體" w:cs="新細明體" w:hint="eastAsia"/>
                                      <w:kern w:val="0"/>
                                      <w:sz w:val="18"/>
                                      <w:szCs w:val="18"/>
                                    </w:rPr>
                                    <w:t>資料來源：</w:t>
                                  </w:r>
                                  <w:r w:rsidRPr="006D65CE">
                                    <w:rPr>
                                      <w:rFonts w:ascii="標楷體" w:eastAsia="標楷體" w:hAnsi="標楷體" w:hint="eastAsia"/>
                                      <w:kern w:val="0"/>
                                      <w:sz w:val="18"/>
                                      <w:szCs w:val="18"/>
                                    </w:rPr>
                                    <w:t>整理自本部調查結果。</w:t>
                                  </w:r>
                                </w:p>
                              </w:tc>
                            </w:tr>
                          </w:tbl>
                          <w:p w14:paraId="061A3791" w14:textId="77777777" w:rsidR="00CE57F9" w:rsidRPr="006D65CE" w:rsidRDefault="00CE57F9" w:rsidP="009A4476">
                            <w:pPr>
                              <w:spacing w:line="218"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356209" id="_x0000_s1047" type="#_x0000_t202" style="position:absolute;left:0;text-align:left;margin-left:1.15pt;margin-top:355.4pt;width:496.5pt;height:344.1pt;z-index:2516761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" stroked="f">
                <v:textbox>
                  <w:txbxContent>
                    <w:tbl>
                      <w:tblPr>
                        <w:tblStyle w:val="100"/>
                        <w:tblW w:w="0" w:type="auto"/>
                        <w:tblCellMar>
                          <w:left w:w="57" w:type="dxa"/>
                          <w:right w:w="57" w:type="dxa"/>
                        </w:tblCellMar>
                        <w:tblLook w:val="04A0" w:firstRow="1" w:lastRow="0" w:firstColumn="1" w:lastColumn="0" w:noHBand="0" w:noVBand="1"/>
                      </w:tblPr>
                      <w:tblGrid>
                        <w:gridCol w:w="375"/>
                        <w:gridCol w:w="344"/>
                        <w:gridCol w:w="2740"/>
                        <w:gridCol w:w="6282"/>
                      </w:tblGrid>
                      <w:tr w:rsidR="00CE57F9" w:rsidRPr="006D65CE" w14:paraId="74656BB4" w14:textId="77777777" w:rsidTr="00DA2751">
                        <w:trPr>
                          <w:trHeight w:val="73"/>
                        </w:trPr>
                        <w:tc>
                          <w:tcPr>
                            <w:tcW w:w="9741" w:type="dxa"/>
                            <w:gridSpan w:val="4"/>
                            <w:tcBorders>
                              <w:top w:val="nil"/>
                              <w:left w:val="nil"/>
                              <w:right w:val="nil"/>
                            </w:tcBorders>
                          </w:tcPr>
                          <w:p w14:paraId="0B0C5D56" w14:textId="77777777" w:rsidR="00CE57F9" w:rsidRPr="006D65CE" w:rsidRDefault="00CE57F9" w:rsidP="009A54FE">
                            <w:pPr>
                              <w:overflowPunct w:val="0"/>
                              <w:snapToGrid w:val="0"/>
                              <w:spacing w:afterLines="10" w:after="36" w:line="240" w:lineRule="exact"/>
                              <w:jc w:val="center"/>
                              <w:rPr>
                                <w:rFonts w:ascii="標楷體" w:eastAsia="標楷體" w:hAnsi="標楷體"/>
                                <w:b/>
                                <w:bCs/>
                                <w:kern w:val="0"/>
                                <w:sz w:val="20"/>
                              </w:rPr>
                            </w:pPr>
                            <w:r w:rsidRPr="006D65CE">
                              <w:rPr>
                                <w:rFonts w:ascii="標楷體" w:eastAsia="標楷體" w:hAnsi="標楷體" w:hint="eastAsia"/>
                                <w:b/>
                                <w:bCs/>
                                <w:kern w:val="0"/>
                                <w:szCs w:val="24"/>
                              </w:rPr>
                              <w:t>表</w:t>
                            </w:r>
                            <w:r>
                              <w:rPr>
                                <w:rFonts w:ascii="標楷體" w:eastAsia="標楷體" w:hAnsi="標楷體"/>
                                <w:b/>
                                <w:bCs/>
                                <w:kern w:val="0"/>
                                <w:szCs w:val="24"/>
                              </w:rPr>
                              <w:t>13</w:t>
                            </w:r>
                            <w:r w:rsidRPr="006D65CE">
                              <w:rPr>
                                <w:rFonts w:ascii="標楷體" w:eastAsia="標楷體" w:hAnsi="標楷體" w:hint="eastAsia"/>
                                <w:b/>
                                <w:bCs/>
                                <w:kern w:val="0"/>
                                <w:szCs w:val="24"/>
                              </w:rPr>
                              <w:t xml:space="preserve">　</w:t>
                            </w:r>
                            <w:r>
                              <w:rPr>
                                <w:rFonts w:ascii="標楷體" w:eastAsia="標楷體" w:hAnsi="標楷體"/>
                                <w:b/>
                                <w:bCs/>
                                <w:kern w:val="0"/>
                                <w:szCs w:val="24"/>
                              </w:rPr>
                              <w:t>111</w:t>
                            </w:r>
                            <w:r w:rsidRPr="006D65CE">
                              <w:rPr>
                                <w:rFonts w:ascii="標楷體" w:eastAsia="標楷體" w:hAnsi="標楷體" w:hint="eastAsia"/>
                                <w:b/>
                                <w:bCs/>
                                <w:kern w:val="0"/>
                                <w:szCs w:val="24"/>
                              </w:rPr>
                              <w:t>年度</w:t>
                            </w:r>
                            <w:r>
                              <w:rPr>
                                <w:rFonts w:ascii="標楷體" w:eastAsia="標楷體" w:hAnsi="標楷體" w:hint="eastAsia"/>
                                <w:b/>
                                <w:bCs/>
                                <w:kern w:val="0"/>
                                <w:szCs w:val="24"/>
                              </w:rPr>
                              <w:t>中央</w:t>
                            </w:r>
                            <w:r>
                              <w:rPr>
                                <w:rFonts w:ascii="標楷體" w:eastAsia="標楷體" w:hAnsi="標楷體"/>
                                <w:b/>
                                <w:bCs/>
                                <w:kern w:val="0"/>
                                <w:szCs w:val="24"/>
                              </w:rPr>
                              <w:t>政府</w:t>
                            </w:r>
                            <w:r w:rsidRPr="006D65CE">
                              <w:rPr>
                                <w:rFonts w:ascii="標楷體" w:eastAsia="標楷體" w:hAnsi="標楷體" w:hint="eastAsia"/>
                                <w:b/>
                                <w:bCs/>
                                <w:kern w:val="0"/>
                                <w:szCs w:val="24"/>
                              </w:rPr>
                              <w:t>辦理政策及業務宣導缺失情形</w:t>
                            </w:r>
                          </w:p>
                        </w:tc>
                      </w:tr>
                      <w:tr w:rsidR="00CE57F9" w:rsidRPr="006D65CE" w14:paraId="04B0CAB0" w14:textId="77777777" w:rsidTr="00EF0729">
                        <w:trPr>
                          <w:trHeight w:val="288"/>
                        </w:trPr>
                        <w:tc>
                          <w:tcPr>
                            <w:tcW w:w="375" w:type="dxa"/>
                            <w:vAlign w:val="center"/>
                          </w:tcPr>
                          <w:p w14:paraId="71E1D2D2" w14:textId="77777777" w:rsidR="00CE57F9" w:rsidRPr="006D65CE" w:rsidRDefault="00CE57F9" w:rsidP="00850571">
                            <w:pPr>
                              <w:overflowPunct w:val="0"/>
                              <w:snapToGrid w:val="0"/>
                              <w:spacing w:line="200" w:lineRule="exact"/>
                              <w:ind w:leftChars="-30" w:left="-72"/>
                              <w:jc w:val="center"/>
                              <w:rPr>
                                <w:rFonts w:ascii="標楷體" w:eastAsia="標楷體" w:hAnsi="標楷體"/>
                                <w:bCs/>
                                <w:kern w:val="0"/>
                                <w:sz w:val="20"/>
                              </w:rPr>
                            </w:pPr>
                            <w:r w:rsidRPr="006D65CE">
                              <w:rPr>
                                <w:rFonts w:ascii="標楷體" w:eastAsia="標楷體" w:hAnsi="標楷體" w:hint="eastAsia"/>
                                <w:bCs/>
                                <w:spacing w:val="-20"/>
                                <w:kern w:val="0"/>
                                <w:sz w:val="20"/>
                              </w:rPr>
                              <w:t>項次</w:t>
                            </w:r>
                          </w:p>
                        </w:tc>
                        <w:tc>
                          <w:tcPr>
                            <w:tcW w:w="3084" w:type="dxa"/>
                            <w:gridSpan w:val="2"/>
                            <w:vAlign w:val="center"/>
                          </w:tcPr>
                          <w:p w14:paraId="7F61BAFF"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r w:rsidRPr="006D65CE">
                              <w:rPr>
                                <w:rFonts w:ascii="標楷體" w:eastAsia="標楷體" w:hAnsi="標楷體" w:hint="eastAsia"/>
                                <w:bCs/>
                                <w:kern w:val="0"/>
                                <w:sz w:val="20"/>
                              </w:rPr>
                              <w:t>缺失事項</w:t>
                            </w:r>
                          </w:p>
                        </w:tc>
                        <w:tc>
                          <w:tcPr>
                            <w:tcW w:w="6282" w:type="dxa"/>
                            <w:vAlign w:val="center"/>
                          </w:tcPr>
                          <w:p w14:paraId="634FBA73"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r w:rsidRPr="006D65CE">
                              <w:rPr>
                                <w:rFonts w:ascii="標楷體" w:eastAsia="標楷體" w:hAnsi="標楷體" w:hint="eastAsia"/>
                                <w:bCs/>
                                <w:kern w:val="0"/>
                                <w:sz w:val="20"/>
                              </w:rPr>
                              <w:t>機關（基金）名稱</w:t>
                            </w:r>
                          </w:p>
                        </w:tc>
                      </w:tr>
                      <w:tr w:rsidR="00CE57F9" w:rsidRPr="006D65CE" w14:paraId="38C77161" w14:textId="77777777" w:rsidTr="00EF0729">
                        <w:trPr>
                          <w:trHeight w:val="437"/>
                        </w:trPr>
                        <w:tc>
                          <w:tcPr>
                            <w:tcW w:w="375" w:type="dxa"/>
                            <w:vAlign w:val="center"/>
                          </w:tcPr>
                          <w:p w14:paraId="0D5C6D8D"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r w:rsidRPr="006D65CE">
                              <w:rPr>
                                <w:rFonts w:ascii="標楷體" w:eastAsia="標楷體" w:hAnsi="標楷體" w:hint="eastAsia"/>
                                <w:bCs/>
                                <w:kern w:val="0"/>
                                <w:sz w:val="20"/>
                              </w:rPr>
                              <w:t>1</w:t>
                            </w:r>
                          </w:p>
                        </w:tc>
                        <w:tc>
                          <w:tcPr>
                            <w:tcW w:w="3084" w:type="dxa"/>
                            <w:gridSpan w:val="2"/>
                            <w:vAlign w:val="center"/>
                          </w:tcPr>
                          <w:p w14:paraId="2DE362C3" w14:textId="77777777" w:rsidR="00CE57F9" w:rsidRPr="006D65CE"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r w:rsidRPr="00BB4B4C">
                              <w:rPr>
                                <w:rFonts w:ascii="標楷體" w:eastAsia="標楷體" w:hAnsi="標楷體" w:hint="eastAsia"/>
                                <w:bCs/>
                                <w:kern w:val="0"/>
                                <w:sz w:val="20"/>
                              </w:rPr>
                              <w:t>未依規定將相關製作成本計入媒體政策及業務宣導費</w:t>
                            </w:r>
                          </w:p>
                        </w:tc>
                        <w:tc>
                          <w:tcPr>
                            <w:tcW w:w="6282" w:type="dxa"/>
                            <w:vAlign w:val="center"/>
                          </w:tcPr>
                          <w:p w14:paraId="07509096" w14:textId="77777777" w:rsidR="00CE57F9" w:rsidRPr="006D65CE"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r w:rsidRPr="007678BF">
                              <w:rPr>
                                <w:rFonts w:ascii="標楷體" w:eastAsia="標楷體" w:hAnsi="標楷體" w:hint="eastAsia"/>
                                <w:bCs/>
                                <w:kern w:val="0"/>
                                <w:sz w:val="20"/>
                              </w:rPr>
                              <w:t>原住民族委員會、中央選舉委員會、僑務委員會等</w:t>
                            </w:r>
                            <w:r>
                              <w:rPr>
                                <w:rFonts w:ascii="標楷體" w:eastAsia="標楷體" w:hAnsi="標楷體" w:hint="eastAsia"/>
                                <w:bCs/>
                                <w:kern w:val="0"/>
                                <w:sz w:val="20"/>
                              </w:rPr>
                              <w:t>3</w:t>
                            </w:r>
                            <w:r>
                              <w:rPr>
                                <w:rFonts w:ascii="標楷體" w:eastAsia="標楷體" w:hAnsi="標楷體"/>
                                <w:bCs/>
                                <w:kern w:val="0"/>
                                <w:sz w:val="20"/>
                              </w:rPr>
                              <w:t>個</w:t>
                            </w:r>
                            <w:r w:rsidRPr="007678BF">
                              <w:rPr>
                                <w:rFonts w:ascii="標楷體" w:eastAsia="標楷體" w:hAnsi="標楷體" w:hint="eastAsia"/>
                                <w:bCs/>
                                <w:kern w:val="0"/>
                                <w:sz w:val="20"/>
                              </w:rPr>
                              <w:t>機關</w:t>
                            </w:r>
                          </w:p>
                        </w:tc>
                      </w:tr>
                      <w:tr w:rsidR="00CE57F9" w:rsidRPr="006D65CE" w14:paraId="03E38FAD" w14:textId="77777777" w:rsidTr="00EF0729">
                        <w:tc>
                          <w:tcPr>
                            <w:tcW w:w="375" w:type="dxa"/>
                            <w:vMerge w:val="restart"/>
                            <w:vAlign w:val="center"/>
                          </w:tcPr>
                          <w:p w14:paraId="56557A7E"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r w:rsidRPr="006D65CE">
                              <w:rPr>
                                <w:rFonts w:ascii="標楷體" w:eastAsia="標楷體" w:hAnsi="標楷體" w:hint="eastAsia"/>
                                <w:bCs/>
                                <w:kern w:val="0"/>
                                <w:sz w:val="20"/>
                              </w:rPr>
                              <w:t>2</w:t>
                            </w:r>
                          </w:p>
                        </w:tc>
                        <w:tc>
                          <w:tcPr>
                            <w:tcW w:w="344" w:type="dxa"/>
                            <w:vMerge w:val="restart"/>
                            <w:vAlign w:val="center"/>
                          </w:tcPr>
                          <w:p w14:paraId="28490EF7" w14:textId="77777777" w:rsidR="00CE57F9" w:rsidRDefault="00CE57F9" w:rsidP="00DA2751">
                            <w:pPr>
                              <w:overflowPunct w:val="0"/>
                              <w:snapToGrid w:val="0"/>
                              <w:spacing w:line="200" w:lineRule="exact"/>
                              <w:ind w:leftChars="-15" w:left="-36" w:rightChars="-15" w:right="-36" w:firstLineChars="1" w:firstLine="2"/>
                              <w:jc w:val="center"/>
                              <w:rPr>
                                <w:rFonts w:ascii="標楷體" w:eastAsia="標楷體" w:hAnsi="標楷體" w:cs="Helvetica"/>
                                <w:kern w:val="0"/>
                                <w:sz w:val="20"/>
                              </w:rPr>
                            </w:pPr>
                            <w:r>
                              <w:rPr>
                                <w:rFonts w:ascii="標楷體" w:eastAsia="標楷體" w:hAnsi="標楷體" w:cs="Helvetica" w:hint="eastAsia"/>
                                <w:kern w:val="0"/>
                                <w:sz w:val="20"/>
                              </w:rPr>
                              <w:t>標</w:t>
                            </w:r>
                          </w:p>
                          <w:p w14:paraId="15CFCF62" w14:textId="77777777" w:rsidR="00CE57F9" w:rsidRDefault="00CE57F9" w:rsidP="00DA2751">
                            <w:pPr>
                              <w:overflowPunct w:val="0"/>
                              <w:snapToGrid w:val="0"/>
                              <w:spacing w:line="200" w:lineRule="exact"/>
                              <w:ind w:leftChars="-15" w:left="-36" w:rightChars="-15" w:right="-36" w:firstLineChars="1" w:firstLine="2"/>
                              <w:jc w:val="center"/>
                              <w:rPr>
                                <w:rFonts w:ascii="標楷體" w:eastAsia="標楷體" w:hAnsi="標楷體" w:cs="Helvetica"/>
                                <w:kern w:val="0"/>
                                <w:sz w:val="20"/>
                              </w:rPr>
                            </w:pPr>
                            <w:r>
                              <w:rPr>
                                <w:rFonts w:ascii="標楷體" w:eastAsia="標楷體" w:hAnsi="標楷體" w:cs="Helvetica" w:hint="eastAsia"/>
                                <w:kern w:val="0"/>
                                <w:sz w:val="20"/>
                              </w:rPr>
                              <w:t>示</w:t>
                            </w:r>
                          </w:p>
                          <w:p w14:paraId="6053982C" w14:textId="77777777" w:rsidR="00CE57F9" w:rsidRPr="008225ED" w:rsidRDefault="00CE57F9" w:rsidP="00DA2751">
                            <w:pPr>
                              <w:overflowPunct w:val="0"/>
                              <w:snapToGrid w:val="0"/>
                              <w:spacing w:line="200" w:lineRule="exact"/>
                              <w:ind w:leftChars="-15" w:left="-36" w:rightChars="-15" w:right="-36" w:firstLineChars="1" w:firstLine="2"/>
                              <w:jc w:val="center"/>
                              <w:rPr>
                                <w:rFonts w:ascii="標楷體" w:eastAsia="標楷體" w:hAnsi="標楷體" w:cs="Helvetica"/>
                                <w:kern w:val="0"/>
                                <w:sz w:val="20"/>
                              </w:rPr>
                            </w:pPr>
                            <w:r>
                              <w:rPr>
                                <w:rFonts w:ascii="標楷體" w:eastAsia="標楷體" w:hAnsi="標楷體" w:cs="Helvetica" w:hint="eastAsia"/>
                                <w:kern w:val="0"/>
                                <w:sz w:val="20"/>
                              </w:rPr>
                              <w:t>事宜</w:t>
                            </w:r>
                          </w:p>
                        </w:tc>
                        <w:tc>
                          <w:tcPr>
                            <w:tcW w:w="2740" w:type="dxa"/>
                            <w:vAlign w:val="center"/>
                          </w:tcPr>
                          <w:p w14:paraId="0201CB52" w14:textId="77777777" w:rsidR="00CE57F9" w:rsidRPr="00645814" w:rsidRDefault="00CE57F9" w:rsidP="00850571">
                            <w:pPr>
                              <w:overflowPunct w:val="0"/>
                              <w:snapToGrid w:val="0"/>
                              <w:spacing w:line="200" w:lineRule="exact"/>
                              <w:ind w:leftChars="-15" w:left="-36" w:rightChars="-15" w:right="-36" w:firstLineChars="1" w:firstLine="2"/>
                              <w:jc w:val="both"/>
                              <w:rPr>
                                <w:rFonts w:ascii="標楷體" w:eastAsia="標楷體" w:hAnsi="標楷體"/>
                                <w:bCs/>
                                <w:color w:val="FF0000"/>
                                <w:kern w:val="0"/>
                                <w:sz w:val="20"/>
                              </w:rPr>
                            </w:pPr>
                            <w:r w:rsidRPr="008225ED">
                              <w:rPr>
                                <w:rFonts w:ascii="標楷體" w:eastAsia="標楷體" w:hAnsi="標楷體" w:cs="Helvetica" w:hint="eastAsia"/>
                                <w:kern w:val="0"/>
                                <w:sz w:val="20"/>
                              </w:rPr>
                              <w:t>未標示機關名稱及廣告</w:t>
                            </w:r>
                          </w:p>
                        </w:tc>
                        <w:tc>
                          <w:tcPr>
                            <w:tcW w:w="6282" w:type="dxa"/>
                            <w:vAlign w:val="center"/>
                          </w:tcPr>
                          <w:p w14:paraId="19E1BB85" w14:textId="29C558BB" w:rsidR="00CE57F9" w:rsidRPr="00645814" w:rsidRDefault="00CE57F9" w:rsidP="00EF0729">
                            <w:pPr>
                              <w:overflowPunct w:val="0"/>
                              <w:snapToGrid w:val="0"/>
                              <w:spacing w:line="200" w:lineRule="exact"/>
                              <w:ind w:leftChars="-15" w:left="-36" w:rightChars="-15" w:right="-36" w:firstLineChars="1" w:firstLine="2"/>
                              <w:jc w:val="both"/>
                              <w:rPr>
                                <w:rFonts w:ascii="標楷體" w:eastAsia="標楷體" w:hAnsi="標楷體"/>
                                <w:bCs/>
                                <w:color w:val="FF0000"/>
                                <w:kern w:val="0"/>
                                <w:sz w:val="20"/>
                              </w:rPr>
                            </w:pPr>
                            <w:r w:rsidRPr="008225ED">
                              <w:rPr>
                                <w:rFonts w:ascii="標楷體" w:eastAsia="標楷體" w:hAnsi="標楷體" w:hint="eastAsia"/>
                                <w:bCs/>
                                <w:kern w:val="0"/>
                                <w:sz w:val="20"/>
                              </w:rPr>
                              <w:t>國家發展委員會</w:t>
                            </w:r>
                            <w:r>
                              <w:rPr>
                                <w:rFonts w:ascii="標楷體" w:eastAsia="標楷體" w:hAnsi="標楷體" w:hint="eastAsia"/>
                                <w:bCs/>
                                <w:kern w:val="0"/>
                                <w:sz w:val="20"/>
                              </w:rPr>
                              <w:t>（</w:t>
                            </w:r>
                            <w:r w:rsidRPr="008225ED">
                              <w:rPr>
                                <w:rFonts w:ascii="標楷體" w:eastAsia="標楷體" w:hAnsi="標楷體" w:hint="eastAsia"/>
                                <w:bCs/>
                                <w:kern w:val="0"/>
                                <w:sz w:val="20"/>
                              </w:rPr>
                              <w:t>回饋項目</w:t>
                            </w:r>
                            <w:r>
                              <w:rPr>
                                <w:rFonts w:ascii="標楷體" w:eastAsia="標楷體" w:hAnsi="標楷體" w:hint="eastAsia"/>
                                <w:bCs/>
                                <w:kern w:val="0"/>
                                <w:sz w:val="20"/>
                              </w:rPr>
                              <w:t>）</w:t>
                            </w:r>
                            <w:r w:rsidR="00EF0729">
                              <w:rPr>
                                <w:rFonts w:ascii="標楷體" w:eastAsia="標楷體" w:hAnsi="標楷體" w:hint="eastAsia"/>
                                <w:bCs/>
                                <w:kern w:val="0"/>
                                <w:sz w:val="20"/>
                              </w:rPr>
                              <w:t>及所屬</w:t>
                            </w:r>
                            <w:r w:rsidRPr="008225ED">
                              <w:rPr>
                                <w:rFonts w:ascii="標楷體" w:eastAsia="標楷體" w:hAnsi="標楷體" w:hint="eastAsia"/>
                                <w:bCs/>
                                <w:kern w:val="0"/>
                                <w:sz w:val="20"/>
                              </w:rPr>
                              <w:t>檔案管理局、教育部、</w:t>
                            </w:r>
                            <w:r w:rsidR="00EF0729">
                              <w:rPr>
                                <w:rFonts w:ascii="標楷體" w:eastAsia="標楷體" w:hAnsi="標楷體" w:hint="eastAsia"/>
                                <w:bCs/>
                                <w:kern w:val="0"/>
                                <w:sz w:val="20"/>
                              </w:rPr>
                              <w:t>交通部</w:t>
                            </w:r>
                            <w:r w:rsidRPr="008225ED">
                              <w:rPr>
                                <w:rFonts w:ascii="標楷體" w:eastAsia="標楷體" w:hAnsi="標楷體" w:hint="eastAsia"/>
                                <w:bCs/>
                                <w:kern w:val="0"/>
                                <w:sz w:val="20"/>
                              </w:rPr>
                              <w:t>公路總局、衛生福利部、台灣電力股份有限公司、行政院國家科學技術發展基金等</w:t>
                            </w:r>
                            <w:r w:rsidRPr="008225ED">
                              <w:rPr>
                                <w:rFonts w:ascii="標楷體" w:eastAsia="標楷體" w:hAnsi="標楷體"/>
                                <w:bCs/>
                                <w:kern w:val="0"/>
                                <w:sz w:val="20"/>
                              </w:rPr>
                              <w:t>7</w:t>
                            </w:r>
                            <w:r w:rsidRPr="008225ED">
                              <w:rPr>
                                <w:rFonts w:ascii="標楷體" w:eastAsia="標楷體" w:hAnsi="標楷體" w:hint="eastAsia"/>
                                <w:bCs/>
                                <w:kern w:val="0"/>
                                <w:sz w:val="20"/>
                              </w:rPr>
                              <w:t>個機關</w:t>
                            </w:r>
                            <w:r>
                              <w:rPr>
                                <w:rFonts w:ascii="標楷體" w:eastAsia="標楷體" w:hAnsi="標楷體" w:hint="eastAsia"/>
                                <w:bCs/>
                                <w:kern w:val="0"/>
                                <w:sz w:val="20"/>
                              </w:rPr>
                              <w:t>（</w:t>
                            </w:r>
                            <w:r w:rsidRPr="008225ED">
                              <w:rPr>
                                <w:rFonts w:ascii="標楷體" w:eastAsia="標楷體" w:hAnsi="標楷體"/>
                                <w:bCs/>
                                <w:kern w:val="0"/>
                                <w:sz w:val="20"/>
                              </w:rPr>
                              <w:t>基金</w:t>
                            </w:r>
                            <w:r>
                              <w:rPr>
                                <w:rFonts w:ascii="標楷體" w:eastAsia="標楷體" w:hAnsi="標楷體" w:hint="eastAsia"/>
                                <w:bCs/>
                                <w:kern w:val="0"/>
                                <w:sz w:val="20"/>
                              </w:rPr>
                              <w:t>）</w:t>
                            </w:r>
                          </w:p>
                        </w:tc>
                      </w:tr>
                      <w:tr w:rsidR="00CE57F9" w:rsidRPr="006D65CE" w14:paraId="3F3C6FA0" w14:textId="77777777" w:rsidTr="00EF0729">
                        <w:tc>
                          <w:tcPr>
                            <w:tcW w:w="375" w:type="dxa"/>
                            <w:vMerge/>
                            <w:vAlign w:val="center"/>
                          </w:tcPr>
                          <w:p w14:paraId="4C0B865C"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p>
                        </w:tc>
                        <w:tc>
                          <w:tcPr>
                            <w:tcW w:w="344" w:type="dxa"/>
                            <w:vMerge/>
                            <w:vAlign w:val="center"/>
                          </w:tcPr>
                          <w:p w14:paraId="712E5F32" w14:textId="77777777" w:rsidR="00CE57F9" w:rsidRPr="007D1538" w:rsidRDefault="00CE57F9" w:rsidP="00850571">
                            <w:pPr>
                              <w:overflowPunct w:val="0"/>
                              <w:snapToGrid w:val="0"/>
                              <w:spacing w:line="200" w:lineRule="exact"/>
                              <w:ind w:leftChars="-15" w:left="-36" w:rightChars="-15" w:right="-36" w:firstLineChars="1" w:firstLine="2"/>
                              <w:jc w:val="both"/>
                              <w:rPr>
                                <w:rFonts w:ascii="標楷體" w:eastAsia="標楷體" w:hAnsi="標楷體" w:cs="Helvetica"/>
                                <w:kern w:val="0"/>
                                <w:sz w:val="20"/>
                              </w:rPr>
                            </w:pPr>
                          </w:p>
                        </w:tc>
                        <w:tc>
                          <w:tcPr>
                            <w:tcW w:w="2740" w:type="dxa"/>
                            <w:vAlign w:val="center"/>
                          </w:tcPr>
                          <w:p w14:paraId="1B06F0F6" w14:textId="77777777" w:rsidR="00CE57F9" w:rsidRPr="00645814" w:rsidRDefault="00CE57F9" w:rsidP="00850571">
                            <w:pPr>
                              <w:overflowPunct w:val="0"/>
                              <w:snapToGrid w:val="0"/>
                              <w:spacing w:line="200" w:lineRule="exact"/>
                              <w:ind w:leftChars="-15" w:left="-36" w:rightChars="-15" w:right="-36" w:firstLineChars="1" w:firstLine="2"/>
                              <w:jc w:val="both"/>
                              <w:rPr>
                                <w:rFonts w:ascii="標楷體" w:eastAsia="標楷體" w:hAnsi="標楷體"/>
                                <w:bCs/>
                                <w:color w:val="FF0000"/>
                                <w:spacing w:val="-2"/>
                                <w:kern w:val="0"/>
                                <w:sz w:val="20"/>
                              </w:rPr>
                            </w:pPr>
                            <w:r w:rsidRPr="007D1538">
                              <w:rPr>
                                <w:rFonts w:ascii="標楷體" w:eastAsia="標楷體" w:hAnsi="標楷體" w:cs="Helvetica" w:hint="eastAsia"/>
                                <w:kern w:val="0"/>
                                <w:sz w:val="20"/>
                              </w:rPr>
                              <w:t>未標示廣告</w:t>
                            </w:r>
                          </w:p>
                        </w:tc>
                        <w:tc>
                          <w:tcPr>
                            <w:tcW w:w="6282" w:type="dxa"/>
                            <w:vAlign w:val="center"/>
                          </w:tcPr>
                          <w:p w14:paraId="7456C124" w14:textId="64BB009B" w:rsidR="00CE57F9" w:rsidRPr="00645814" w:rsidRDefault="00CE57F9" w:rsidP="00EF0729">
                            <w:pPr>
                              <w:overflowPunct w:val="0"/>
                              <w:snapToGrid w:val="0"/>
                              <w:spacing w:line="200" w:lineRule="exact"/>
                              <w:ind w:leftChars="-15" w:left="-36" w:rightChars="-15" w:right="-36" w:firstLineChars="1" w:firstLine="2"/>
                              <w:jc w:val="both"/>
                              <w:rPr>
                                <w:rFonts w:ascii="標楷體" w:eastAsia="標楷體" w:hAnsi="標楷體"/>
                                <w:bCs/>
                                <w:color w:val="FF0000"/>
                                <w:kern w:val="0"/>
                                <w:sz w:val="20"/>
                              </w:rPr>
                            </w:pPr>
                            <w:r w:rsidRPr="00A747D6">
                              <w:rPr>
                                <w:rFonts w:ascii="標楷體" w:eastAsia="標楷體" w:hAnsi="標楷體" w:hint="eastAsia"/>
                                <w:bCs/>
                                <w:kern w:val="0"/>
                                <w:sz w:val="20"/>
                              </w:rPr>
                              <w:t>不當黨產處理委員會、</w:t>
                            </w:r>
                            <w:r w:rsidR="00EF0729">
                              <w:rPr>
                                <w:rFonts w:ascii="標楷體" w:eastAsia="標楷體" w:hAnsi="標楷體" w:hint="eastAsia"/>
                                <w:bCs/>
                                <w:kern w:val="0"/>
                                <w:sz w:val="20"/>
                              </w:rPr>
                              <w:t>客家委員會</w:t>
                            </w:r>
                            <w:r w:rsidRPr="00A747D6">
                              <w:rPr>
                                <w:rFonts w:ascii="標楷體" w:eastAsia="標楷體" w:hAnsi="標楷體" w:hint="eastAsia"/>
                                <w:bCs/>
                                <w:kern w:val="0"/>
                                <w:sz w:val="20"/>
                              </w:rPr>
                              <w:t>客家文化發展中心、中央研究院、中央選舉委員會、國家發展委員會</w:t>
                            </w:r>
                            <w:r w:rsidR="00EF0729">
                              <w:rPr>
                                <w:rFonts w:ascii="標楷體" w:eastAsia="標楷體" w:hAnsi="標楷體" w:hint="eastAsia"/>
                                <w:bCs/>
                                <w:kern w:val="0"/>
                                <w:sz w:val="20"/>
                              </w:rPr>
                              <w:t>及所屬</w:t>
                            </w:r>
                            <w:r w:rsidRPr="00A747D6">
                              <w:rPr>
                                <w:rFonts w:ascii="標楷體" w:eastAsia="標楷體" w:hAnsi="標楷體" w:hint="eastAsia"/>
                                <w:bCs/>
                                <w:kern w:val="0"/>
                                <w:sz w:val="20"/>
                              </w:rPr>
                              <w:t>檔案管理局、文化部國家鐵道博物館籌備處、農業委員會動植物防疫檢疫局、</w:t>
                            </w:r>
                            <w:r w:rsidR="00EF0729">
                              <w:rPr>
                                <w:rFonts w:ascii="標楷體" w:eastAsia="標楷體" w:hAnsi="標楷體" w:hint="eastAsia"/>
                                <w:bCs/>
                                <w:kern w:val="0"/>
                                <w:sz w:val="20"/>
                              </w:rPr>
                              <w:t>交通部</w:t>
                            </w:r>
                            <w:r w:rsidRPr="00A747D6">
                              <w:rPr>
                                <w:rFonts w:ascii="標楷體" w:eastAsia="標楷體" w:hAnsi="標楷體" w:hint="eastAsia"/>
                                <w:bCs/>
                                <w:kern w:val="0"/>
                                <w:sz w:val="20"/>
                              </w:rPr>
                              <w:t>公路總局、僑務委員會、</w:t>
                            </w:r>
                            <w:r w:rsidR="00EF0729">
                              <w:rPr>
                                <w:rFonts w:ascii="標楷體" w:eastAsia="標楷體" w:hAnsi="標楷體" w:hint="eastAsia"/>
                                <w:bCs/>
                                <w:kern w:val="0"/>
                                <w:sz w:val="20"/>
                              </w:rPr>
                              <w:t>衛生福利部</w:t>
                            </w:r>
                            <w:r w:rsidRPr="00A747D6">
                              <w:rPr>
                                <w:rFonts w:ascii="標楷體" w:eastAsia="標楷體" w:hAnsi="標楷體" w:hint="eastAsia"/>
                                <w:bCs/>
                                <w:kern w:val="0"/>
                                <w:sz w:val="20"/>
                              </w:rPr>
                              <w:t>食品藥物管理署、</w:t>
                            </w:r>
                            <w:r>
                              <w:rPr>
                                <w:rFonts w:ascii="標楷體" w:eastAsia="標楷體" w:hAnsi="標楷體" w:hint="eastAsia"/>
                                <w:bCs/>
                                <w:kern w:val="0"/>
                                <w:sz w:val="20"/>
                              </w:rPr>
                              <w:t>台灣電力股份有限公司</w:t>
                            </w:r>
                            <w:r w:rsidRPr="00A747D6">
                              <w:rPr>
                                <w:rFonts w:ascii="標楷體" w:eastAsia="標楷體" w:hAnsi="標楷體" w:hint="eastAsia"/>
                                <w:bCs/>
                                <w:kern w:val="0"/>
                                <w:sz w:val="20"/>
                              </w:rPr>
                              <w:t>、科學園區管理局作業基金、行政院國家科學技術發展基金等</w:t>
                            </w:r>
                            <w:r w:rsidRPr="00A747D6">
                              <w:rPr>
                                <w:rFonts w:ascii="標楷體" w:eastAsia="標楷體" w:hAnsi="標楷體"/>
                                <w:bCs/>
                                <w:kern w:val="0"/>
                                <w:sz w:val="20"/>
                              </w:rPr>
                              <w:t>14</w:t>
                            </w:r>
                            <w:r w:rsidRPr="00A747D6">
                              <w:rPr>
                                <w:rFonts w:ascii="標楷體" w:eastAsia="標楷體" w:hAnsi="標楷體" w:hint="eastAsia"/>
                                <w:bCs/>
                                <w:kern w:val="0"/>
                                <w:sz w:val="20"/>
                              </w:rPr>
                              <w:t>個機關</w:t>
                            </w:r>
                            <w:r>
                              <w:rPr>
                                <w:rFonts w:ascii="標楷體" w:eastAsia="標楷體" w:hAnsi="標楷體" w:hint="eastAsia"/>
                                <w:bCs/>
                                <w:kern w:val="0"/>
                                <w:sz w:val="20"/>
                              </w:rPr>
                              <w:t>（</w:t>
                            </w:r>
                            <w:r w:rsidRPr="00A747D6">
                              <w:rPr>
                                <w:rFonts w:ascii="標楷體" w:eastAsia="標楷體" w:hAnsi="標楷體" w:hint="eastAsia"/>
                                <w:bCs/>
                                <w:kern w:val="0"/>
                                <w:sz w:val="20"/>
                              </w:rPr>
                              <w:t>基金</w:t>
                            </w:r>
                            <w:r>
                              <w:rPr>
                                <w:rFonts w:ascii="標楷體" w:eastAsia="標楷體" w:hAnsi="標楷體" w:hint="eastAsia"/>
                                <w:bCs/>
                                <w:kern w:val="0"/>
                                <w:sz w:val="20"/>
                              </w:rPr>
                              <w:t>）</w:t>
                            </w:r>
                          </w:p>
                        </w:tc>
                      </w:tr>
                      <w:tr w:rsidR="00CE57F9" w:rsidRPr="006D65CE" w14:paraId="4EC823B3" w14:textId="77777777" w:rsidTr="00EF0729">
                        <w:trPr>
                          <w:trHeight w:val="475"/>
                        </w:trPr>
                        <w:tc>
                          <w:tcPr>
                            <w:tcW w:w="375" w:type="dxa"/>
                            <w:vMerge/>
                            <w:vAlign w:val="center"/>
                          </w:tcPr>
                          <w:p w14:paraId="0C93162F"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p>
                        </w:tc>
                        <w:tc>
                          <w:tcPr>
                            <w:tcW w:w="344" w:type="dxa"/>
                            <w:vMerge/>
                            <w:vAlign w:val="center"/>
                          </w:tcPr>
                          <w:p w14:paraId="01C6C060" w14:textId="77777777" w:rsidR="00CE57F9" w:rsidRPr="00A361CD"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p>
                        </w:tc>
                        <w:tc>
                          <w:tcPr>
                            <w:tcW w:w="2740" w:type="dxa"/>
                            <w:vAlign w:val="center"/>
                          </w:tcPr>
                          <w:p w14:paraId="40CED84D" w14:textId="77777777" w:rsidR="00CE57F9" w:rsidRPr="00645814" w:rsidRDefault="00CE57F9" w:rsidP="00850571">
                            <w:pPr>
                              <w:overflowPunct w:val="0"/>
                              <w:snapToGrid w:val="0"/>
                              <w:spacing w:line="200" w:lineRule="exact"/>
                              <w:ind w:leftChars="-15" w:left="-36" w:rightChars="-15" w:right="-36" w:firstLineChars="1" w:firstLine="2"/>
                              <w:jc w:val="both"/>
                              <w:rPr>
                                <w:rFonts w:ascii="標楷體" w:eastAsia="標楷體" w:hAnsi="標楷體"/>
                                <w:bCs/>
                                <w:color w:val="FF0000"/>
                                <w:kern w:val="0"/>
                                <w:sz w:val="20"/>
                              </w:rPr>
                            </w:pPr>
                            <w:r w:rsidRPr="00A361CD">
                              <w:rPr>
                                <w:rFonts w:ascii="標楷體" w:eastAsia="標楷體" w:hAnsi="標楷體" w:hint="eastAsia"/>
                                <w:bCs/>
                                <w:kern w:val="0"/>
                                <w:sz w:val="20"/>
                              </w:rPr>
                              <w:t>「廣告」字體偏小</w:t>
                            </w:r>
                            <w:r w:rsidRPr="00431600">
                              <w:rPr>
                                <w:rFonts w:ascii="標楷體" w:eastAsia="標楷體" w:hAnsi="標楷體" w:cs="Helvetica" w:hint="eastAsia"/>
                                <w:kern w:val="0"/>
                                <w:sz w:val="20"/>
                              </w:rPr>
                              <w:t>，字級大小不符合比例原則</w:t>
                            </w:r>
                          </w:p>
                        </w:tc>
                        <w:tc>
                          <w:tcPr>
                            <w:tcW w:w="6282" w:type="dxa"/>
                            <w:vAlign w:val="center"/>
                          </w:tcPr>
                          <w:p w14:paraId="5A4CC901" w14:textId="77777777" w:rsidR="00CE57F9" w:rsidRPr="00923317"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r w:rsidRPr="00923317">
                              <w:rPr>
                                <w:rFonts w:ascii="標楷體" w:eastAsia="標楷體" w:hAnsi="標楷體" w:hint="eastAsia"/>
                                <w:bCs/>
                                <w:kern w:val="0"/>
                                <w:sz w:val="20"/>
                              </w:rPr>
                              <w:t>經濟特別收入基金</w:t>
                            </w:r>
                            <w:r>
                              <w:rPr>
                                <w:rFonts w:ascii="標楷體" w:eastAsia="標楷體" w:hAnsi="標楷體" w:hint="eastAsia"/>
                                <w:bCs/>
                                <w:kern w:val="0"/>
                                <w:sz w:val="20"/>
                              </w:rPr>
                              <w:t>（</w:t>
                            </w:r>
                            <w:r w:rsidRPr="00923317">
                              <w:rPr>
                                <w:rFonts w:ascii="標楷體" w:eastAsia="標楷體" w:hAnsi="標楷體" w:hint="eastAsia"/>
                                <w:bCs/>
                                <w:kern w:val="0"/>
                                <w:sz w:val="20"/>
                              </w:rPr>
                              <w:t>推廣貿易基金</w:t>
                            </w:r>
                            <w:r>
                              <w:rPr>
                                <w:rFonts w:ascii="標楷體" w:eastAsia="標楷體" w:hAnsi="標楷體" w:hint="eastAsia"/>
                                <w:bCs/>
                                <w:kern w:val="0"/>
                                <w:sz w:val="20"/>
                              </w:rPr>
                              <w:t>）</w:t>
                            </w:r>
                            <w:r w:rsidRPr="00923317">
                              <w:rPr>
                                <w:rFonts w:ascii="標楷體" w:eastAsia="標楷體" w:hAnsi="標楷體" w:hint="eastAsia"/>
                                <w:bCs/>
                                <w:kern w:val="0"/>
                                <w:sz w:val="20"/>
                              </w:rPr>
                              <w:t>、</w:t>
                            </w:r>
                            <w:r>
                              <w:rPr>
                                <w:rFonts w:ascii="標楷體" w:eastAsia="標楷體" w:hAnsi="標楷體" w:hint="eastAsia"/>
                                <w:bCs/>
                                <w:kern w:val="0"/>
                                <w:sz w:val="20"/>
                              </w:rPr>
                              <w:t>台灣電力股份有限公司</w:t>
                            </w:r>
                            <w:r w:rsidRPr="00A747D6">
                              <w:rPr>
                                <w:rFonts w:ascii="標楷體" w:eastAsia="標楷體" w:hAnsi="標楷體" w:hint="eastAsia"/>
                                <w:bCs/>
                                <w:kern w:val="0"/>
                                <w:sz w:val="20"/>
                              </w:rPr>
                              <w:t>等</w:t>
                            </w:r>
                            <w:r>
                              <w:rPr>
                                <w:rFonts w:ascii="標楷體" w:eastAsia="標楷體" w:hAnsi="標楷體"/>
                                <w:bCs/>
                                <w:kern w:val="0"/>
                                <w:sz w:val="20"/>
                              </w:rPr>
                              <w:t>2</w:t>
                            </w:r>
                            <w:r w:rsidRPr="00A747D6">
                              <w:rPr>
                                <w:rFonts w:ascii="標楷體" w:eastAsia="標楷體" w:hAnsi="標楷體" w:hint="eastAsia"/>
                                <w:bCs/>
                                <w:kern w:val="0"/>
                                <w:sz w:val="20"/>
                              </w:rPr>
                              <w:t>個基金</w:t>
                            </w:r>
                          </w:p>
                        </w:tc>
                      </w:tr>
                      <w:tr w:rsidR="00CE57F9" w:rsidRPr="006D65CE" w14:paraId="08475512" w14:textId="77777777" w:rsidTr="00EF0729">
                        <w:tc>
                          <w:tcPr>
                            <w:tcW w:w="375" w:type="dxa"/>
                            <w:vMerge/>
                            <w:vAlign w:val="center"/>
                          </w:tcPr>
                          <w:p w14:paraId="6F0E58ED"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p>
                        </w:tc>
                        <w:tc>
                          <w:tcPr>
                            <w:tcW w:w="344" w:type="dxa"/>
                            <w:vMerge/>
                            <w:vAlign w:val="center"/>
                          </w:tcPr>
                          <w:p w14:paraId="14766034" w14:textId="77777777" w:rsidR="00CE57F9" w:rsidRPr="00612CC9" w:rsidRDefault="00CE57F9" w:rsidP="00850571">
                            <w:pPr>
                              <w:overflowPunct w:val="0"/>
                              <w:snapToGrid w:val="0"/>
                              <w:spacing w:line="200" w:lineRule="exact"/>
                              <w:ind w:leftChars="-15" w:left="-36" w:rightChars="-15" w:right="-36" w:firstLineChars="1" w:firstLine="2"/>
                              <w:jc w:val="both"/>
                              <w:rPr>
                                <w:rFonts w:ascii="標楷體" w:eastAsia="標楷體" w:hAnsi="標楷體" w:cs="Helvetica"/>
                                <w:kern w:val="0"/>
                                <w:sz w:val="20"/>
                              </w:rPr>
                            </w:pPr>
                          </w:p>
                        </w:tc>
                        <w:tc>
                          <w:tcPr>
                            <w:tcW w:w="2740" w:type="dxa"/>
                            <w:vAlign w:val="center"/>
                          </w:tcPr>
                          <w:p w14:paraId="1C557825" w14:textId="77777777" w:rsidR="00CE57F9" w:rsidRPr="00431600"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r w:rsidRPr="00612CC9">
                              <w:rPr>
                                <w:rFonts w:ascii="標楷體" w:eastAsia="標楷體" w:hAnsi="標楷體" w:cs="Helvetica" w:hint="eastAsia"/>
                                <w:kern w:val="0"/>
                                <w:sz w:val="20"/>
                              </w:rPr>
                              <w:t>非透過四大媒體辦理之宣導，未依規定明確標示機關名稱</w:t>
                            </w:r>
                          </w:p>
                        </w:tc>
                        <w:tc>
                          <w:tcPr>
                            <w:tcW w:w="6282" w:type="dxa"/>
                            <w:vAlign w:val="center"/>
                          </w:tcPr>
                          <w:p w14:paraId="15EEE156" w14:textId="77777777" w:rsidR="00CE57F9" w:rsidRPr="00923317"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r w:rsidRPr="00612CC9">
                              <w:rPr>
                                <w:rFonts w:ascii="標楷體" w:eastAsia="標楷體" w:hAnsi="標楷體" w:hint="eastAsia"/>
                                <w:bCs/>
                                <w:kern w:val="0"/>
                                <w:sz w:val="20"/>
                              </w:rPr>
                              <w:t>國軍老舊眷村改建基金</w:t>
                            </w:r>
                          </w:p>
                        </w:tc>
                      </w:tr>
                      <w:tr w:rsidR="00CE57F9" w:rsidRPr="006D65CE" w14:paraId="75388B6A" w14:textId="77777777" w:rsidTr="00EF0729">
                        <w:tc>
                          <w:tcPr>
                            <w:tcW w:w="375" w:type="dxa"/>
                            <w:vMerge w:val="restart"/>
                            <w:vAlign w:val="center"/>
                          </w:tcPr>
                          <w:p w14:paraId="33974930"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r w:rsidRPr="006D65CE">
                              <w:rPr>
                                <w:rFonts w:ascii="標楷體" w:eastAsia="標楷體" w:hAnsi="標楷體" w:hint="eastAsia"/>
                                <w:bCs/>
                                <w:kern w:val="0"/>
                                <w:sz w:val="20"/>
                              </w:rPr>
                              <w:t>3</w:t>
                            </w:r>
                          </w:p>
                        </w:tc>
                        <w:tc>
                          <w:tcPr>
                            <w:tcW w:w="344" w:type="dxa"/>
                            <w:vMerge w:val="restart"/>
                            <w:vAlign w:val="center"/>
                          </w:tcPr>
                          <w:p w14:paraId="4DDF9260" w14:textId="77777777" w:rsidR="00CE57F9" w:rsidRDefault="00CE57F9" w:rsidP="00DA2751">
                            <w:pPr>
                              <w:overflowPunct w:val="0"/>
                              <w:snapToGrid w:val="0"/>
                              <w:spacing w:line="200" w:lineRule="exact"/>
                              <w:ind w:leftChars="-15" w:left="-36" w:rightChars="-15" w:right="-36" w:firstLineChars="1" w:firstLine="2"/>
                              <w:jc w:val="center"/>
                              <w:rPr>
                                <w:rFonts w:ascii="標楷體" w:eastAsia="標楷體" w:hAnsi="標楷體"/>
                                <w:bCs/>
                                <w:kern w:val="0"/>
                                <w:sz w:val="20"/>
                              </w:rPr>
                            </w:pPr>
                            <w:r>
                              <w:rPr>
                                <w:rFonts w:ascii="標楷體" w:eastAsia="標楷體" w:hAnsi="標楷體" w:hint="eastAsia"/>
                                <w:bCs/>
                                <w:kern w:val="0"/>
                                <w:sz w:val="20"/>
                              </w:rPr>
                              <w:t>資</w:t>
                            </w:r>
                          </w:p>
                          <w:p w14:paraId="14FF41D9" w14:textId="77777777" w:rsidR="00CE57F9" w:rsidRDefault="00CE57F9" w:rsidP="00DA2751">
                            <w:pPr>
                              <w:overflowPunct w:val="0"/>
                              <w:snapToGrid w:val="0"/>
                              <w:spacing w:line="200" w:lineRule="exact"/>
                              <w:ind w:leftChars="-15" w:left="-36" w:rightChars="-15" w:right="-36" w:firstLineChars="1" w:firstLine="2"/>
                              <w:jc w:val="center"/>
                              <w:rPr>
                                <w:rFonts w:ascii="標楷體" w:eastAsia="標楷體" w:hAnsi="標楷體"/>
                                <w:bCs/>
                                <w:kern w:val="0"/>
                                <w:sz w:val="20"/>
                              </w:rPr>
                            </w:pPr>
                            <w:r>
                              <w:rPr>
                                <w:rFonts w:ascii="標楷體" w:eastAsia="標楷體" w:hAnsi="標楷體" w:hint="eastAsia"/>
                                <w:bCs/>
                                <w:kern w:val="0"/>
                                <w:sz w:val="20"/>
                              </w:rPr>
                              <w:t>訊</w:t>
                            </w:r>
                          </w:p>
                          <w:p w14:paraId="1F8DD490" w14:textId="77777777" w:rsidR="00CE57F9" w:rsidRDefault="00CE57F9" w:rsidP="00DA2751">
                            <w:pPr>
                              <w:overflowPunct w:val="0"/>
                              <w:snapToGrid w:val="0"/>
                              <w:spacing w:line="200" w:lineRule="exact"/>
                              <w:ind w:leftChars="-15" w:left="-36" w:rightChars="-15" w:right="-36" w:firstLineChars="1" w:firstLine="2"/>
                              <w:jc w:val="center"/>
                              <w:rPr>
                                <w:rFonts w:ascii="標楷體" w:eastAsia="標楷體" w:hAnsi="標楷體"/>
                                <w:bCs/>
                                <w:kern w:val="0"/>
                                <w:sz w:val="20"/>
                              </w:rPr>
                            </w:pPr>
                            <w:r>
                              <w:rPr>
                                <w:rFonts w:ascii="標楷體" w:eastAsia="標楷體" w:hAnsi="標楷體" w:hint="eastAsia"/>
                                <w:bCs/>
                                <w:kern w:val="0"/>
                                <w:sz w:val="20"/>
                              </w:rPr>
                              <w:t>公</w:t>
                            </w:r>
                          </w:p>
                          <w:p w14:paraId="1F204AAB" w14:textId="77777777" w:rsidR="00CE57F9" w:rsidRDefault="00CE57F9" w:rsidP="00DA2751">
                            <w:pPr>
                              <w:overflowPunct w:val="0"/>
                              <w:snapToGrid w:val="0"/>
                              <w:spacing w:line="200" w:lineRule="exact"/>
                              <w:ind w:leftChars="-15" w:left="-36" w:rightChars="-15" w:right="-36" w:firstLineChars="1" w:firstLine="2"/>
                              <w:jc w:val="center"/>
                              <w:rPr>
                                <w:rFonts w:ascii="標楷體" w:eastAsia="標楷體" w:hAnsi="標楷體"/>
                                <w:bCs/>
                                <w:kern w:val="0"/>
                                <w:sz w:val="20"/>
                              </w:rPr>
                            </w:pPr>
                            <w:r>
                              <w:rPr>
                                <w:rFonts w:ascii="標楷體" w:eastAsia="標楷體" w:hAnsi="標楷體" w:hint="eastAsia"/>
                                <w:bCs/>
                                <w:kern w:val="0"/>
                                <w:sz w:val="20"/>
                              </w:rPr>
                              <w:t>開</w:t>
                            </w:r>
                          </w:p>
                          <w:p w14:paraId="34DD37FF" w14:textId="77777777" w:rsidR="00CE57F9" w:rsidRDefault="00CE57F9" w:rsidP="00DA2751">
                            <w:pPr>
                              <w:overflowPunct w:val="0"/>
                              <w:snapToGrid w:val="0"/>
                              <w:spacing w:line="200" w:lineRule="exact"/>
                              <w:ind w:leftChars="-15" w:left="-36" w:rightChars="-15" w:right="-36" w:firstLineChars="1" w:firstLine="2"/>
                              <w:jc w:val="center"/>
                              <w:rPr>
                                <w:rFonts w:ascii="標楷體" w:eastAsia="標楷體" w:hAnsi="標楷體"/>
                                <w:bCs/>
                                <w:kern w:val="0"/>
                                <w:sz w:val="20"/>
                              </w:rPr>
                            </w:pPr>
                            <w:r>
                              <w:rPr>
                                <w:rFonts w:ascii="標楷體" w:eastAsia="標楷體" w:hAnsi="標楷體" w:hint="eastAsia"/>
                                <w:bCs/>
                                <w:kern w:val="0"/>
                                <w:sz w:val="20"/>
                              </w:rPr>
                              <w:t>事</w:t>
                            </w:r>
                          </w:p>
                          <w:p w14:paraId="25B9FC1E" w14:textId="77777777" w:rsidR="00CE57F9" w:rsidRPr="00F2042D" w:rsidRDefault="00CE57F9" w:rsidP="00DA2751">
                            <w:pPr>
                              <w:overflowPunct w:val="0"/>
                              <w:snapToGrid w:val="0"/>
                              <w:spacing w:line="200" w:lineRule="exact"/>
                              <w:ind w:leftChars="-15" w:left="-36" w:rightChars="-15" w:right="-36" w:firstLineChars="1" w:firstLine="2"/>
                              <w:jc w:val="center"/>
                              <w:rPr>
                                <w:rFonts w:ascii="標楷體" w:eastAsia="標楷體" w:hAnsi="標楷體"/>
                                <w:bCs/>
                                <w:kern w:val="0"/>
                                <w:sz w:val="20"/>
                              </w:rPr>
                            </w:pPr>
                            <w:r>
                              <w:rPr>
                                <w:rFonts w:ascii="標楷體" w:eastAsia="標楷體" w:hAnsi="標楷體" w:hint="eastAsia"/>
                                <w:bCs/>
                                <w:kern w:val="0"/>
                                <w:sz w:val="20"/>
                              </w:rPr>
                              <w:t>宜</w:t>
                            </w:r>
                          </w:p>
                        </w:tc>
                        <w:tc>
                          <w:tcPr>
                            <w:tcW w:w="2740" w:type="dxa"/>
                            <w:vAlign w:val="center"/>
                          </w:tcPr>
                          <w:p w14:paraId="6B09D380" w14:textId="77777777" w:rsidR="00CE57F9" w:rsidRPr="00F2042D"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r w:rsidRPr="00F2042D">
                              <w:rPr>
                                <w:rFonts w:ascii="標楷體" w:eastAsia="標楷體" w:hAnsi="標楷體" w:hint="eastAsia"/>
                                <w:bCs/>
                                <w:kern w:val="0"/>
                                <w:sz w:val="20"/>
                              </w:rPr>
                              <w:t>漏未按月於機關網站資訊公開區公布</w:t>
                            </w:r>
                          </w:p>
                        </w:tc>
                        <w:tc>
                          <w:tcPr>
                            <w:tcW w:w="6282" w:type="dxa"/>
                            <w:vAlign w:val="center"/>
                          </w:tcPr>
                          <w:p w14:paraId="7303D613" w14:textId="393850AB" w:rsidR="00CE57F9" w:rsidRPr="00F2042D"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r w:rsidRPr="00F2042D">
                              <w:rPr>
                                <w:rFonts w:ascii="標楷體" w:eastAsia="標楷體" w:hAnsi="標楷體" w:hint="eastAsia"/>
                                <w:bCs/>
                                <w:kern w:val="0"/>
                                <w:sz w:val="20"/>
                              </w:rPr>
                              <w:t>教育部、</w:t>
                            </w:r>
                            <w:r w:rsidR="00EF0729">
                              <w:rPr>
                                <w:rFonts w:ascii="標楷體" w:eastAsia="標楷體" w:hAnsi="標楷體" w:hint="eastAsia"/>
                                <w:bCs/>
                                <w:kern w:val="0"/>
                                <w:sz w:val="20"/>
                              </w:rPr>
                              <w:t>衛生福利部</w:t>
                            </w:r>
                            <w:r w:rsidRPr="00F2042D">
                              <w:rPr>
                                <w:rFonts w:ascii="標楷體" w:eastAsia="標楷體" w:hAnsi="標楷體" w:hint="eastAsia"/>
                                <w:bCs/>
                                <w:kern w:val="0"/>
                                <w:sz w:val="20"/>
                              </w:rPr>
                              <w:t>食品藥物管理署</w:t>
                            </w:r>
                            <w:r>
                              <w:rPr>
                                <w:rFonts w:ascii="標楷體" w:eastAsia="標楷體" w:hAnsi="標楷體" w:hint="eastAsia"/>
                                <w:bCs/>
                                <w:kern w:val="0"/>
                                <w:sz w:val="20"/>
                              </w:rPr>
                              <w:t>（</w:t>
                            </w:r>
                            <w:r w:rsidRPr="00F2042D">
                              <w:rPr>
                                <w:rFonts w:ascii="標楷體" w:eastAsia="標楷體" w:hAnsi="標楷體" w:hint="eastAsia"/>
                                <w:bCs/>
                                <w:kern w:val="0"/>
                                <w:sz w:val="20"/>
                              </w:rPr>
                              <w:t>回饋項目</w:t>
                            </w:r>
                            <w:r>
                              <w:rPr>
                                <w:rFonts w:ascii="標楷體" w:eastAsia="標楷體" w:hAnsi="標楷體" w:hint="eastAsia"/>
                                <w:bCs/>
                                <w:kern w:val="0"/>
                                <w:sz w:val="20"/>
                              </w:rPr>
                              <w:t>）</w:t>
                            </w:r>
                            <w:r w:rsidRPr="00F2042D">
                              <w:rPr>
                                <w:rFonts w:ascii="標楷體" w:eastAsia="標楷體" w:hAnsi="標楷體" w:hint="eastAsia"/>
                                <w:bCs/>
                                <w:kern w:val="0"/>
                                <w:sz w:val="20"/>
                              </w:rPr>
                              <w:t>、</w:t>
                            </w:r>
                            <w:r w:rsidR="00EF0729">
                              <w:rPr>
                                <w:rFonts w:ascii="標楷體" w:eastAsia="標楷體" w:hAnsi="標楷體" w:hint="eastAsia"/>
                                <w:bCs/>
                                <w:kern w:val="0"/>
                                <w:sz w:val="20"/>
                              </w:rPr>
                              <w:t>國家科學</w:t>
                            </w:r>
                            <w:r w:rsidR="00EF0729">
                              <w:rPr>
                                <w:rFonts w:ascii="標楷體" w:eastAsia="標楷體" w:hAnsi="標楷體"/>
                                <w:bCs/>
                                <w:kern w:val="0"/>
                                <w:sz w:val="20"/>
                              </w:rPr>
                              <w:t>及技術委員會</w:t>
                            </w:r>
                            <w:r w:rsidRPr="00F2042D">
                              <w:rPr>
                                <w:rFonts w:ascii="標楷體" w:eastAsia="標楷體" w:hAnsi="標楷體" w:hint="eastAsia"/>
                                <w:bCs/>
                                <w:kern w:val="0"/>
                                <w:sz w:val="20"/>
                              </w:rPr>
                              <w:t>新竹科學園區管理局等3個機關</w:t>
                            </w:r>
                          </w:p>
                        </w:tc>
                      </w:tr>
                      <w:tr w:rsidR="00CE57F9" w:rsidRPr="006D65CE" w14:paraId="6CAE0F2A" w14:textId="77777777" w:rsidTr="00EF0729">
                        <w:tc>
                          <w:tcPr>
                            <w:tcW w:w="375" w:type="dxa"/>
                            <w:vMerge/>
                            <w:vAlign w:val="center"/>
                          </w:tcPr>
                          <w:p w14:paraId="15494CBC"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p>
                        </w:tc>
                        <w:tc>
                          <w:tcPr>
                            <w:tcW w:w="344" w:type="dxa"/>
                            <w:vMerge/>
                          </w:tcPr>
                          <w:p w14:paraId="38117913" w14:textId="77777777" w:rsidR="00CE57F9" w:rsidRPr="00F2042D"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p>
                        </w:tc>
                        <w:tc>
                          <w:tcPr>
                            <w:tcW w:w="2740" w:type="dxa"/>
                            <w:vAlign w:val="center"/>
                          </w:tcPr>
                          <w:p w14:paraId="115EB143" w14:textId="77777777" w:rsidR="00CE57F9" w:rsidRPr="00645814" w:rsidRDefault="00CE57F9" w:rsidP="00850571">
                            <w:pPr>
                              <w:overflowPunct w:val="0"/>
                              <w:snapToGrid w:val="0"/>
                              <w:spacing w:line="200" w:lineRule="exact"/>
                              <w:ind w:leftChars="-15" w:left="-36" w:rightChars="-15" w:right="-36" w:firstLineChars="1" w:firstLine="2"/>
                              <w:jc w:val="both"/>
                              <w:rPr>
                                <w:rFonts w:ascii="標楷體" w:eastAsia="標楷體" w:hAnsi="標楷體"/>
                                <w:bCs/>
                                <w:color w:val="FF0000"/>
                                <w:kern w:val="0"/>
                                <w:sz w:val="20"/>
                              </w:rPr>
                            </w:pPr>
                            <w:r w:rsidRPr="00F2042D">
                              <w:rPr>
                                <w:rFonts w:ascii="標楷體" w:eastAsia="標楷體" w:hAnsi="標楷體" w:hint="eastAsia"/>
                                <w:bCs/>
                                <w:kern w:val="0"/>
                                <w:sz w:val="20"/>
                              </w:rPr>
                              <w:t>漏未按季彙送立法院備查</w:t>
                            </w:r>
                          </w:p>
                        </w:tc>
                        <w:tc>
                          <w:tcPr>
                            <w:tcW w:w="6282" w:type="dxa"/>
                            <w:vAlign w:val="center"/>
                          </w:tcPr>
                          <w:p w14:paraId="78C30545" w14:textId="424DCB66" w:rsidR="00CE57F9" w:rsidRPr="00645814" w:rsidRDefault="00EF0729" w:rsidP="00850571">
                            <w:pPr>
                              <w:overflowPunct w:val="0"/>
                              <w:snapToGrid w:val="0"/>
                              <w:spacing w:line="200" w:lineRule="exact"/>
                              <w:ind w:leftChars="-15" w:left="-36" w:rightChars="-15" w:right="-36" w:firstLineChars="1" w:firstLine="2"/>
                              <w:jc w:val="both"/>
                              <w:rPr>
                                <w:rFonts w:ascii="標楷體" w:eastAsia="標楷體" w:hAnsi="標楷體"/>
                                <w:bCs/>
                                <w:color w:val="FF0000"/>
                                <w:kern w:val="0"/>
                                <w:sz w:val="20"/>
                              </w:rPr>
                            </w:pPr>
                            <w:r>
                              <w:rPr>
                                <w:rFonts w:ascii="標楷體" w:eastAsia="標楷體" w:hAnsi="標楷體" w:hint="eastAsia"/>
                                <w:bCs/>
                                <w:kern w:val="0"/>
                                <w:sz w:val="20"/>
                              </w:rPr>
                              <w:t>客家委員會、農業委員會及所屬</w:t>
                            </w:r>
                            <w:r w:rsidR="00CE57F9" w:rsidRPr="00F2042D">
                              <w:rPr>
                                <w:rFonts w:ascii="標楷體" w:eastAsia="標楷體" w:hAnsi="標楷體" w:hint="eastAsia"/>
                                <w:bCs/>
                                <w:kern w:val="0"/>
                                <w:sz w:val="20"/>
                              </w:rPr>
                              <w:t>農糧署、水土保持局、農業特別收入基金（農村再生基金）等5個機關</w:t>
                            </w:r>
                            <w:r w:rsidR="00CE57F9">
                              <w:rPr>
                                <w:rFonts w:ascii="標楷體" w:eastAsia="標楷體" w:hAnsi="標楷體" w:hint="eastAsia"/>
                                <w:bCs/>
                                <w:kern w:val="0"/>
                                <w:sz w:val="20"/>
                              </w:rPr>
                              <w:t>（</w:t>
                            </w:r>
                            <w:r w:rsidR="00CE57F9" w:rsidRPr="00F2042D">
                              <w:rPr>
                                <w:rFonts w:ascii="標楷體" w:eastAsia="標楷體" w:hAnsi="標楷體" w:hint="eastAsia"/>
                                <w:bCs/>
                                <w:kern w:val="0"/>
                                <w:sz w:val="20"/>
                              </w:rPr>
                              <w:t>基金</w:t>
                            </w:r>
                            <w:r w:rsidR="00CE57F9">
                              <w:rPr>
                                <w:rFonts w:ascii="標楷體" w:eastAsia="標楷體" w:hAnsi="標楷體" w:hint="eastAsia"/>
                                <w:bCs/>
                                <w:kern w:val="0"/>
                                <w:sz w:val="20"/>
                              </w:rPr>
                              <w:t>）</w:t>
                            </w:r>
                          </w:p>
                        </w:tc>
                      </w:tr>
                      <w:tr w:rsidR="00CE57F9" w:rsidRPr="006D65CE" w14:paraId="77D11551" w14:textId="77777777" w:rsidTr="00EF0729">
                        <w:tc>
                          <w:tcPr>
                            <w:tcW w:w="375" w:type="dxa"/>
                            <w:vMerge/>
                            <w:vAlign w:val="center"/>
                          </w:tcPr>
                          <w:p w14:paraId="6C88BC0F"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p>
                        </w:tc>
                        <w:tc>
                          <w:tcPr>
                            <w:tcW w:w="344" w:type="dxa"/>
                            <w:vMerge/>
                          </w:tcPr>
                          <w:p w14:paraId="54A38AC0" w14:textId="77777777" w:rsidR="00CE57F9" w:rsidRPr="004615D3"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p>
                        </w:tc>
                        <w:tc>
                          <w:tcPr>
                            <w:tcW w:w="2740" w:type="dxa"/>
                            <w:vAlign w:val="center"/>
                          </w:tcPr>
                          <w:p w14:paraId="210ED8F8" w14:textId="77777777" w:rsidR="00CE57F9" w:rsidRPr="00645814" w:rsidRDefault="00CE57F9" w:rsidP="00850571">
                            <w:pPr>
                              <w:overflowPunct w:val="0"/>
                              <w:snapToGrid w:val="0"/>
                              <w:spacing w:line="200" w:lineRule="exact"/>
                              <w:ind w:leftChars="-15" w:left="-36" w:rightChars="-15" w:right="-36" w:firstLineChars="1" w:firstLine="2"/>
                              <w:jc w:val="both"/>
                              <w:rPr>
                                <w:rFonts w:ascii="標楷體" w:eastAsia="標楷體" w:hAnsi="標楷體"/>
                                <w:bCs/>
                                <w:color w:val="FF0000"/>
                                <w:kern w:val="0"/>
                                <w:sz w:val="20"/>
                              </w:rPr>
                            </w:pPr>
                            <w:r w:rsidRPr="004615D3">
                              <w:rPr>
                                <w:rFonts w:ascii="標楷體" w:eastAsia="標楷體" w:hAnsi="標楷體" w:hint="eastAsia"/>
                                <w:bCs/>
                                <w:kern w:val="0"/>
                                <w:sz w:val="20"/>
                              </w:rPr>
                              <w:t>漏未按月於機關網站資訊公開區公布及按季彙送立法院備查</w:t>
                            </w:r>
                          </w:p>
                        </w:tc>
                        <w:tc>
                          <w:tcPr>
                            <w:tcW w:w="6282" w:type="dxa"/>
                            <w:vAlign w:val="center"/>
                          </w:tcPr>
                          <w:p w14:paraId="51A6672D" w14:textId="0B573839" w:rsidR="00CE57F9" w:rsidRPr="00645814" w:rsidRDefault="00CE57F9" w:rsidP="00850571">
                            <w:pPr>
                              <w:overflowPunct w:val="0"/>
                              <w:snapToGrid w:val="0"/>
                              <w:spacing w:line="200" w:lineRule="exact"/>
                              <w:ind w:leftChars="-15" w:left="-36" w:rightChars="-15" w:right="-36" w:firstLineChars="1" w:firstLine="2"/>
                              <w:jc w:val="both"/>
                              <w:rPr>
                                <w:rFonts w:ascii="標楷體" w:eastAsia="標楷體" w:hAnsi="標楷體"/>
                                <w:bCs/>
                                <w:color w:val="FF0000"/>
                                <w:kern w:val="0"/>
                                <w:sz w:val="20"/>
                              </w:rPr>
                            </w:pPr>
                            <w:r w:rsidRPr="004615D3">
                              <w:rPr>
                                <w:rFonts w:ascii="標楷體" w:eastAsia="標楷體" w:hAnsi="標楷體" w:hint="eastAsia"/>
                                <w:bCs/>
                                <w:kern w:val="0"/>
                                <w:sz w:val="20"/>
                              </w:rPr>
                              <w:t>國家發展委員會</w:t>
                            </w:r>
                            <w:r>
                              <w:rPr>
                                <w:rFonts w:ascii="標楷體" w:eastAsia="標楷體" w:hAnsi="標楷體" w:hint="eastAsia"/>
                                <w:bCs/>
                                <w:kern w:val="0"/>
                                <w:sz w:val="20"/>
                              </w:rPr>
                              <w:t>（</w:t>
                            </w:r>
                            <w:r w:rsidRPr="004615D3">
                              <w:rPr>
                                <w:rFonts w:ascii="標楷體" w:eastAsia="標楷體" w:hAnsi="標楷體" w:hint="eastAsia"/>
                                <w:bCs/>
                                <w:kern w:val="0"/>
                                <w:sz w:val="20"/>
                              </w:rPr>
                              <w:t>廠商回饋</w:t>
                            </w:r>
                            <w:r>
                              <w:rPr>
                                <w:rFonts w:ascii="標楷體" w:eastAsia="標楷體" w:hAnsi="標楷體" w:hint="eastAsia"/>
                                <w:bCs/>
                                <w:kern w:val="0"/>
                                <w:sz w:val="20"/>
                              </w:rPr>
                              <w:t>）</w:t>
                            </w:r>
                            <w:r w:rsidRPr="004615D3">
                              <w:rPr>
                                <w:rFonts w:ascii="標楷體" w:eastAsia="標楷體" w:hAnsi="標楷體" w:hint="eastAsia"/>
                                <w:bCs/>
                                <w:kern w:val="0"/>
                                <w:sz w:val="20"/>
                              </w:rPr>
                              <w:t>、</w:t>
                            </w:r>
                            <w:r w:rsidR="00EF0729" w:rsidRPr="00EF0729">
                              <w:rPr>
                                <w:rFonts w:ascii="標楷體" w:eastAsia="標楷體" w:hAnsi="標楷體" w:hint="eastAsia"/>
                                <w:bCs/>
                                <w:kern w:val="0"/>
                                <w:sz w:val="20"/>
                              </w:rPr>
                              <w:t>國家科學及技術委員會</w:t>
                            </w:r>
                            <w:r w:rsidRPr="004615D3">
                              <w:rPr>
                                <w:rFonts w:ascii="標楷體" w:eastAsia="標楷體" w:hAnsi="標楷體" w:hint="eastAsia"/>
                                <w:bCs/>
                                <w:kern w:val="0"/>
                                <w:sz w:val="20"/>
                              </w:rPr>
                              <w:t>新竹科學園區管理局、原住民族委員會、衛生福利部、科學園區管理局作業基金、</w:t>
                            </w:r>
                            <w:r>
                              <w:rPr>
                                <w:rFonts w:ascii="標楷體" w:eastAsia="標楷體" w:hAnsi="標楷體" w:hint="eastAsia"/>
                                <w:bCs/>
                                <w:kern w:val="0"/>
                                <w:sz w:val="20"/>
                              </w:rPr>
                              <w:t>行政院</w:t>
                            </w:r>
                            <w:r w:rsidRPr="004615D3">
                              <w:rPr>
                                <w:rFonts w:ascii="標楷體" w:eastAsia="標楷體" w:hAnsi="標楷體" w:hint="eastAsia"/>
                                <w:bCs/>
                                <w:kern w:val="0"/>
                                <w:sz w:val="20"/>
                              </w:rPr>
                              <w:t>國家科學技術發展基金、衛生福利特別收入基金</w:t>
                            </w:r>
                            <w:r>
                              <w:rPr>
                                <w:rFonts w:ascii="標楷體" w:eastAsia="標楷體" w:hAnsi="標楷體" w:hint="eastAsia"/>
                                <w:bCs/>
                                <w:kern w:val="0"/>
                                <w:sz w:val="20"/>
                              </w:rPr>
                              <w:t>（</w:t>
                            </w:r>
                            <w:r w:rsidRPr="004615D3">
                              <w:rPr>
                                <w:rFonts w:ascii="標楷體" w:eastAsia="標楷體" w:hAnsi="標楷體" w:hint="eastAsia"/>
                                <w:bCs/>
                                <w:kern w:val="0"/>
                                <w:sz w:val="20"/>
                              </w:rPr>
                              <w:t>長照服務發展基金、社會福利基金</w:t>
                            </w:r>
                            <w:r>
                              <w:rPr>
                                <w:rFonts w:ascii="標楷體" w:eastAsia="標楷體" w:hAnsi="標楷體" w:hint="eastAsia"/>
                                <w:bCs/>
                                <w:kern w:val="0"/>
                                <w:sz w:val="20"/>
                              </w:rPr>
                              <w:t>）</w:t>
                            </w:r>
                            <w:r w:rsidRPr="004615D3">
                              <w:rPr>
                                <w:rFonts w:ascii="標楷體" w:eastAsia="標楷體" w:hAnsi="標楷體" w:hint="eastAsia"/>
                                <w:bCs/>
                                <w:kern w:val="0"/>
                                <w:sz w:val="20"/>
                              </w:rPr>
                              <w:t>等7個機關</w:t>
                            </w:r>
                            <w:r>
                              <w:rPr>
                                <w:rFonts w:ascii="標楷體" w:eastAsia="標楷體" w:hAnsi="標楷體" w:hint="eastAsia"/>
                                <w:bCs/>
                                <w:kern w:val="0"/>
                                <w:sz w:val="20"/>
                              </w:rPr>
                              <w:t>（</w:t>
                            </w:r>
                            <w:r w:rsidRPr="004615D3">
                              <w:rPr>
                                <w:rFonts w:ascii="標楷體" w:eastAsia="標楷體" w:hAnsi="標楷體" w:hint="eastAsia"/>
                                <w:bCs/>
                                <w:kern w:val="0"/>
                                <w:sz w:val="20"/>
                              </w:rPr>
                              <w:t>基金</w:t>
                            </w:r>
                            <w:r>
                              <w:rPr>
                                <w:rFonts w:ascii="標楷體" w:eastAsia="標楷體" w:hAnsi="標楷體" w:hint="eastAsia"/>
                                <w:bCs/>
                                <w:kern w:val="0"/>
                                <w:sz w:val="20"/>
                              </w:rPr>
                              <w:t>）</w:t>
                            </w:r>
                          </w:p>
                        </w:tc>
                      </w:tr>
                      <w:tr w:rsidR="00CE57F9" w:rsidRPr="006D65CE" w14:paraId="137E67E1" w14:textId="77777777" w:rsidTr="00EF0729">
                        <w:tc>
                          <w:tcPr>
                            <w:tcW w:w="375" w:type="dxa"/>
                            <w:vMerge/>
                            <w:vAlign w:val="center"/>
                          </w:tcPr>
                          <w:p w14:paraId="2B2BBAD0"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p>
                        </w:tc>
                        <w:tc>
                          <w:tcPr>
                            <w:tcW w:w="344" w:type="dxa"/>
                            <w:vMerge/>
                          </w:tcPr>
                          <w:p w14:paraId="47AA971A" w14:textId="77777777" w:rsidR="00CE57F9" w:rsidRPr="00676E6D"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p>
                        </w:tc>
                        <w:tc>
                          <w:tcPr>
                            <w:tcW w:w="2740" w:type="dxa"/>
                            <w:vAlign w:val="center"/>
                          </w:tcPr>
                          <w:p w14:paraId="76739C9B" w14:textId="77777777" w:rsidR="00CE57F9" w:rsidRPr="00676E6D"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r w:rsidRPr="00676E6D">
                              <w:rPr>
                                <w:rFonts w:ascii="標楷體" w:eastAsia="標楷體" w:hAnsi="標楷體" w:hint="eastAsia"/>
                                <w:bCs/>
                                <w:kern w:val="0"/>
                                <w:sz w:val="20"/>
                              </w:rPr>
                              <w:t>揭露資訊存有缺漏或不正確情事</w:t>
                            </w:r>
                          </w:p>
                        </w:tc>
                        <w:tc>
                          <w:tcPr>
                            <w:tcW w:w="6282" w:type="dxa"/>
                            <w:vAlign w:val="center"/>
                          </w:tcPr>
                          <w:p w14:paraId="4C4BD02F" w14:textId="21FBEF6E" w:rsidR="00CE57F9" w:rsidRPr="00676E6D"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r w:rsidRPr="00676E6D">
                              <w:rPr>
                                <w:rFonts w:ascii="標楷體" w:eastAsia="標楷體" w:hAnsi="標楷體" w:hint="eastAsia"/>
                                <w:bCs/>
                                <w:kern w:val="0"/>
                                <w:sz w:val="20"/>
                              </w:rPr>
                              <w:t>原住民族委員會、</w:t>
                            </w:r>
                            <w:r w:rsidR="00EF0729">
                              <w:rPr>
                                <w:rFonts w:ascii="標楷體" w:eastAsia="標楷體" w:hAnsi="標楷體" w:hint="eastAsia"/>
                                <w:bCs/>
                                <w:kern w:val="0"/>
                                <w:sz w:val="20"/>
                              </w:rPr>
                              <w:t>衛生福利部</w:t>
                            </w:r>
                            <w:r w:rsidRPr="00676E6D">
                              <w:rPr>
                                <w:rFonts w:ascii="標楷體" w:eastAsia="標楷體" w:hAnsi="標楷體" w:hint="eastAsia"/>
                                <w:bCs/>
                                <w:kern w:val="0"/>
                                <w:sz w:val="20"/>
                              </w:rPr>
                              <w:t>社會及家庭署、衛生福利特別收入基金</w:t>
                            </w:r>
                            <w:r>
                              <w:rPr>
                                <w:rFonts w:ascii="標楷體" w:eastAsia="標楷體" w:hAnsi="標楷體" w:hint="eastAsia"/>
                                <w:bCs/>
                                <w:kern w:val="0"/>
                                <w:sz w:val="20"/>
                              </w:rPr>
                              <w:t>（</w:t>
                            </w:r>
                            <w:r w:rsidRPr="00676E6D">
                              <w:rPr>
                                <w:rFonts w:ascii="標楷體" w:eastAsia="標楷體" w:hAnsi="標楷體" w:hint="eastAsia"/>
                                <w:bCs/>
                                <w:kern w:val="0"/>
                                <w:sz w:val="20"/>
                              </w:rPr>
                              <w:t>社會福利基金</w:t>
                            </w:r>
                            <w:r>
                              <w:rPr>
                                <w:rFonts w:ascii="標楷體" w:eastAsia="標楷體" w:hAnsi="標楷體" w:hint="eastAsia"/>
                                <w:bCs/>
                                <w:kern w:val="0"/>
                                <w:sz w:val="20"/>
                              </w:rPr>
                              <w:t>）</w:t>
                            </w:r>
                            <w:r w:rsidRPr="00676E6D">
                              <w:rPr>
                                <w:rFonts w:ascii="標楷體" w:eastAsia="標楷體" w:hAnsi="標楷體" w:hint="eastAsia"/>
                                <w:bCs/>
                                <w:kern w:val="0"/>
                                <w:sz w:val="20"/>
                              </w:rPr>
                              <w:t>、台灣電力股份有限公司、台灣中油股份有限公司</w:t>
                            </w:r>
                            <w:r w:rsidRPr="00F2042D">
                              <w:rPr>
                                <w:rFonts w:ascii="標楷體" w:eastAsia="標楷體" w:hAnsi="標楷體" w:hint="eastAsia"/>
                                <w:bCs/>
                                <w:kern w:val="0"/>
                                <w:sz w:val="20"/>
                              </w:rPr>
                              <w:t>等5個機關</w:t>
                            </w:r>
                            <w:r>
                              <w:rPr>
                                <w:rFonts w:ascii="標楷體" w:eastAsia="標楷體" w:hAnsi="標楷體" w:hint="eastAsia"/>
                                <w:bCs/>
                                <w:kern w:val="0"/>
                                <w:sz w:val="20"/>
                              </w:rPr>
                              <w:t>（</w:t>
                            </w:r>
                            <w:r w:rsidRPr="00F2042D">
                              <w:rPr>
                                <w:rFonts w:ascii="標楷體" w:eastAsia="標楷體" w:hAnsi="標楷體" w:hint="eastAsia"/>
                                <w:bCs/>
                                <w:kern w:val="0"/>
                                <w:sz w:val="20"/>
                              </w:rPr>
                              <w:t>基金</w:t>
                            </w:r>
                            <w:r>
                              <w:rPr>
                                <w:rFonts w:ascii="標楷體" w:eastAsia="標楷體" w:hAnsi="標楷體" w:hint="eastAsia"/>
                                <w:bCs/>
                                <w:kern w:val="0"/>
                                <w:sz w:val="20"/>
                              </w:rPr>
                              <w:t>）</w:t>
                            </w:r>
                          </w:p>
                        </w:tc>
                      </w:tr>
                      <w:tr w:rsidR="00CE57F9" w:rsidRPr="006D65CE" w14:paraId="611AF9CE" w14:textId="77777777" w:rsidTr="00EF0729">
                        <w:trPr>
                          <w:trHeight w:val="698"/>
                        </w:trPr>
                        <w:tc>
                          <w:tcPr>
                            <w:tcW w:w="375" w:type="dxa"/>
                            <w:vMerge/>
                            <w:vAlign w:val="center"/>
                          </w:tcPr>
                          <w:p w14:paraId="7363DD2E" w14:textId="77777777" w:rsidR="00CE57F9" w:rsidRPr="006D65CE" w:rsidRDefault="00CE57F9" w:rsidP="00850571">
                            <w:pPr>
                              <w:overflowPunct w:val="0"/>
                              <w:snapToGrid w:val="0"/>
                              <w:spacing w:line="200" w:lineRule="exact"/>
                              <w:jc w:val="center"/>
                              <w:rPr>
                                <w:rFonts w:ascii="標楷體" w:eastAsia="標楷體" w:hAnsi="標楷體"/>
                                <w:bCs/>
                                <w:kern w:val="0"/>
                                <w:sz w:val="20"/>
                              </w:rPr>
                            </w:pPr>
                          </w:p>
                        </w:tc>
                        <w:tc>
                          <w:tcPr>
                            <w:tcW w:w="344" w:type="dxa"/>
                            <w:vMerge/>
                          </w:tcPr>
                          <w:p w14:paraId="592921A0" w14:textId="77777777" w:rsidR="00CE57F9" w:rsidRPr="00676E6D"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p>
                        </w:tc>
                        <w:tc>
                          <w:tcPr>
                            <w:tcW w:w="2740" w:type="dxa"/>
                            <w:vAlign w:val="center"/>
                          </w:tcPr>
                          <w:p w14:paraId="19FBD0F7" w14:textId="77777777" w:rsidR="00CE57F9" w:rsidRPr="00676E6D"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r w:rsidRPr="00676E6D">
                              <w:rPr>
                                <w:rFonts w:ascii="標楷體" w:eastAsia="標楷體" w:hAnsi="標楷體" w:hint="eastAsia"/>
                                <w:bCs/>
                                <w:kern w:val="0"/>
                                <w:sz w:val="20"/>
                              </w:rPr>
                              <w:t>未按季於</w:t>
                            </w:r>
                            <w:r w:rsidRPr="00D274C2">
                              <w:rPr>
                                <w:rFonts w:ascii="標楷體" w:eastAsia="標楷體" w:hAnsi="標楷體" w:hint="eastAsia"/>
                                <w:bCs/>
                                <w:kern w:val="0"/>
                                <w:sz w:val="20"/>
                              </w:rPr>
                              <w:t>行政院</w:t>
                            </w:r>
                            <w:r w:rsidRPr="00676E6D">
                              <w:rPr>
                                <w:rFonts w:ascii="標楷體" w:eastAsia="標楷體" w:hAnsi="標楷體" w:hint="eastAsia"/>
                                <w:bCs/>
                                <w:kern w:val="0"/>
                                <w:sz w:val="20"/>
                              </w:rPr>
                              <w:t>主計總處「中央政府各主管機關政策宣導資訊查詢平台」網站專區公布</w:t>
                            </w:r>
                          </w:p>
                        </w:tc>
                        <w:tc>
                          <w:tcPr>
                            <w:tcW w:w="6282" w:type="dxa"/>
                            <w:vAlign w:val="center"/>
                          </w:tcPr>
                          <w:p w14:paraId="6C8C6566" w14:textId="77777777" w:rsidR="00CE57F9" w:rsidRPr="00676E6D" w:rsidRDefault="00CE57F9" w:rsidP="00850571">
                            <w:pPr>
                              <w:overflowPunct w:val="0"/>
                              <w:snapToGrid w:val="0"/>
                              <w:spacing w:line="200" w:lineRule="exact"/>
                              <w:ind w:leftChars="-15" w:left="-36" w:rightChars="-15" w:right="-36" w:firstLineChars="1" w:firstLine="2"/>
                              <w:jc w:val="both"/>
                              <w:rPr>
                                <w:rFonts w:ascii="標楷體" w:eastAsia="標楷體" w:hAnsi="標楷體"/>
                                <w:bCs/>
                                <w:kern w:val="0"/>
                                <w:sz w:val="20"/>
                              </w:rPr>
                            </w:pPr>
                            <w:r w:rsidRPr="00676E6D">
                              <w:rPr>
                                <w:rFonts w:ascii="標楷體" w:eastAsia="標楷體" w:hAnsi="標楷體" w:hint="eastAsia"/>
                                <w:bCs/>
                                <w:kern w:val="0"/>
                                <w:sz w:val="20"/>
                              </w:rPr>
                              <w:t>不當黨產處理委員會、客家委員會</w:t>
                            </w:r>
                            <w:r>
                              <w:rPr>
                                <w:rFonts w:ascii="標楷體" w:eastAsia="標楷體" w:hAnsi="標楷體" w:hint="eastAsia"/>
                                <w:bCs/>
                                <w:kern w:val="0"/>
                                <w:sz w:val="20"/>
                              </w:rPr>
                              <w:t>等2</w:t>
                            </w:r>
                            <w:r>
                              <w:rPr>
                                <w:rFonts w:ascii="標楷體" w:eastAsia="標楷體" w:hAnsi="標楷體"/>
                                <w:bCs/>
                                <w:kern w:val="0"/>
                                <w:sz w:val="20"/>
                              </w:rPr>
                              <w:t>機關</w:t>
                            </w:r>
                          </w:p>
                        </w:tc>
                      </w:tr>
                      <w:tr w:rsidR="00CE57F9" w:rsidRPr="006D65CE" w14:paraId="6A602938" w14:textId="77777777" w:rsidTr="00DA2751">
                        <w:tc>
                          <w:tcPr>
                            <w:tcW w:w="9741" w:type="dxa"/>
                            <w:gridSpan w:val="4"/>
                            <w:tcBorders>
                              <w:left w:val="nil"/>
                              <w:bottom w:val="nil"/>
                              <w:right w:val="nil"/>
                            </w:tcBorders>
                          </w:tcPr>
                          <w:p w14:paraId="62EE487F" w14:textId="77777777" w:rsidR="00CE57F9" w:rsidRPr="006D65CE" w:rsidRDefault="00CE57F9" w:rsidP="009C3537">
                            <w:pPr>
                              <w:overflowPunct w:val="0"/>
                              <w:snapToGrid w:val="0"/>
                              <w:spacing w:beforeLines="10" w:before="36" w:line="200" w:lineRule="exact"/>
                              <w:jc w:val="both"/>
                              <w:rPr>
                                <w:rFonts w:ascii="標楷體" w:eastAsia="標楷體" w:hAnsi="標楷體"/>
                                <w:bCs/>
                                <w:kern w:val="0"/>
                                <w:sz w:val="18"/>
                                <w:szCs w:val="18"/>
                              </w:rPr>
                            </w:pPr>
                            <w:r w:rsidRPr="006D65CE">
                              <w:rPr>
                                <w:rFonts w:ascii="標楷體" w:eastAsia="標楷體" w:hAnsi="標楷體" w:cs="新細明體" w:hint="eastAsia"/>
                                <w:kern w:val="0"/>
                                <w:sz w:val="18"/>
                                <w:szCs w:val="18"/>
                              </w:rPr>
                              <w:t>資料來源：</w:t>
                            </w:r>
                            <w:r w:rsidRPr="006D65CE">
                              <w:rPr>
                                <w:rFonts w:ascii="標楷體" w:eastAsia="標楷體" w:hAnsi="標楷體" w:hint="eastAsia"/>
                                <w:kern w:val="0"/>
                                <w:sz w:val="18"/>
                                <w:szCs w:val="18"/>
                              </w:rPr>
                              <w:t>整理自本部調查結果。</w:t>
                            </w:r>
                          </w:p>
                        </w:tc>
                      </w:tr>
                    </w:tbl>
                    <w:p w14:paraId="061A3791" w14:textId="77777777" w:rsidR="00CE57F9" w:rsidRPr="006D65CE" w:rsidRDefault="00CE57F9" w:rsidP="009A4476">
                      <w:pPr>
                        <w:spacing w:line="218" w:lineRule="exact"/>
                      </w:pPr>
                    </w:p>
                  </w:txbxContent>
                </v:textbox>
                <w10:wrap type="square" anchorx="margin" anchory="margin"/>
              </v:shape>
            </w:pict>
          </mc:Fallback>
        </mc:AlternateContent>
      </w:r>
      <w:r w:rsidR="009A54FE" w:rsidRPr="009D11AD">
        <w:rPr>
          <w:rFonts w:ascii="標楷體" w:eastAsia="標楷體" w:hAnsi="標楷體" w:hint="eastAsia"/>
          <w:b/>
          <w:bCs/>
          <w:szCs w:val="24"/>
        </w:rPr>
        <w:t>2.</w:t>
      </w:r>
      <w:r w:rsidR="009A54FE" w:rsidRPr="009D11AD">
        <w:rPr>
          <w:rFonts w:ascii="標楷體" w:eastAsia="標楷體" w:hAnsi="標楷體" w:cs="新細明體" w:hint="eastAsia"/>
          <w:b/>
          <w:szCs w:val="24"/>
        </w:rPr>
        <w:t xml:space="preserve">　</w:t>
      </w:r>
      <w:r w:rsidR="009A54FE" w:rsidRPr="009D11AD">
        <w:rPr>
          <w:rFonts w:ascii="標楷體" w:eastAsia="標楷體" w:hAnsi="標楷體" w:hint="eastAsia"/>
          <w:b/>
          <w:bCs/>
          <w:szCs w:val="24"/>
        </w:rPr>
        <w:t>部分機關辦理政策及業務宣導，未依</w:t>
      </w:r>
      <w:r w:rsidR="009A54FE" w:rsidRPr="009D11AD">
        <w:rPr>
          <w:rFonts w:ascii="標楷體" w:eastAsia="標楷體" w:hAnsi="標楷體" w:cs="新細明體" w:hint="eastAsia"/>
          <w:b/>
          <w:szCs w:val="24"/>
        </w:rPr>
        <w:t>預算法</w:t>
      </w:r>
      <w:r w:rsidR="009A54FE" w:rsidRPr="009D11AD">
        <w:rPr>
          <w:rFonts w:ascii="標楷體" w:eastAsia="標楷體" w:hAnsi="標楷體" w:hint="eastAsia"/>
          <w:b/>
          <w:bCs/>
          <w:szCs w:val="24"/>
        </w:rPr>
        <w:t>第62條之1等規定辦理：</w:t>
      </w:r>
      <w:r w:rsidR="0000669E" w:rsidRPr="0000669E">
        <w:rPr>
          <w:rFonts w:ascii="標楷體" w:eastAsia="標楷體" w:hAnsi="標楷體" w:hint="eastAsia"/>
          <w:bCs/>
          <w:szCs w:val="24"/>
        </w:rPr>
        <w:t>各</w:t>
      </w:r>
      <w:r w:rsidR="009A54FE" w:rsidRPr="009D11AD">
        <w:rPr>
          <w:rFonts w:ascii="標楷體" w:eastAsia="標楷體" w:hAnsi="標楷體" w:hint="eastAsia"/>
          <w:szCs w:val="24"/>
        </w:rPr>
        <w:t>機關</w:t>
      </w:r>
      <w:r w:rsidR="009A54FE" w:rsidRPr="009D11AD">
        <w:rPr>
          <w:rFonts w:ascii="標楷體" w:eastAsia="標楷體" w:hAnsi="標楷體"/>
          <w:szCs w:val="24"/>
        </w:rPr>
        <w:t>辦理</w:t>
      </w:r>
      <w:r w:rsidR="009A54FE" w:rsidRPr="009D11AD">
        <w:rPr>
          <w:rFonts w:ascii="標楷體" w:eastAsia="標楷體" w:hAnsi="標楷體" w:hint="eastAsia"/>
          <w:szCs w:val="24"/>
        </w:rPr>
        <w:t>111年度</w:t>
      </w:r>
      <w:r w:rsidR="009A54FE" w:rsidRPr="009D11AD">
        <w:rPr>
          <w:rFonts w:ascii="標楷體" w:eastAsia="標楷體" w:hAnsi="標楷體"/>
          <w:szCs w:val="24"/>
        </w:rPr>
        <w:t>政策及業務宣導</w:t>
      </w:r>
      <w:r w:rsidR="009A54FE" w:rsidRPr="009D11AD">
        <w:rPr>
          <w:rFonts w:ascii="標楷體" w:eastAsia="標楷體" w:hAnsi="標楷體" w:hint="eastAsia"/>
          <w:bCs/>
          <w:szCs w:val="24"/>
        </w:rPr>
        <w:t>情形</w:t>
      </w:r>
      <w:r w:rsidRPr="009D11AD">
        <w:rPr>
          <w:rFonts w:ascii="標楷體" w:eastAsia="標楷體" w:hAnsi="標楷體" w:hint="eastAsia"/>
          <w:bCs/>
          <w:szCs w:val="24"/>
        </w:rPr>
        <w:t>（</w:t>
      </w:r>
      <w:r w:rsidRPr="00CE57F9">
        <w:rPr>
          <w:rFonts w:ascii="標楷體" w:eastAsia="標楷體" w:hAnsi="標楷體" w:hint="eastAsia"/>
          <w:bCs/>
          <w:szCs w:val="24"/>
        </w:rPr>
        <w:t>表</w:t>
      </w:r>
      <w:r w:rsidRPr="00CE57F9">
        <w:rPr>
          <w:rFonts w:ascii="標楷體" w:eastAsia="標楷體" w:hAnsi="標楷體"/>
          <w:bCs/>
          <w:szCs w:val="24"/>
        </w:rPr>
        <w:t>1</w:t>
      </w:r>
      <w:r w:rsidRPr="00CE57F9">
        <w:rPr>
          <w:rFonts w:ascii="標楷體" w:eastAsia="標楷體" w:hAnsi="標楷體" w:hint="eastAsia"/>
          <w:bCs/>
          <w:szCs w:val="24"/>
        </w:rPr>
        <w:t>3</w:t>
      </w:r>
      <w:r w:rsidRPr="009D11AD">
        <w:rPr>
          <w:rFonts w:ascii="標楷體" w:eastAsia="標楷體" w:hAnsi="標楷體" w:hint="eastAsia"/>
          <w:bCs/>
          <w:szCs w:val="24"/>
        </w:rPr>
        <w:t>）</w:t>
      </w:r>
      <w:r w:rsidR="009A54FE" w:rsidRPr="009D11AD">
        <w:rPr>
          <w:rFonts w:ascii="標楷體" w:eastAsia="標楷體" w:hAnsi="標楷體" w:hint="eastAsia"/>
          <w:bCs/>
          <w:szCs w:val="24"/>
        </w:rPr>
        <w:t>，</w:t>
      </w:r>
      <w:r w:rsidR="009A54FE" w:rsidRPr="009D11AD">
        <w:rPr>
          <w:rFonts w:ascii="標楷體" w:eastAsia="標楷體" w:hAnsi="標楷體" w:hint="eastAsia"/>
          <w:szCs w:val="24"/>
        </w:rPr>
        <w:t>核有</w:t>
      </w:r>
      <w:r w:rsidR="009A54FE" w:rsidRPr="009D11AD">
        <w:rPr>
          <w:rFonts w:ascii="標楷體" w:eastAsia="標楷體" w:hAnsi="標楷體" w:hint="eastAsia"/>
          <w:bCs/>
          <w:szCs w:val="24"/>
        </w:rPr>
        <w:t>：（1</w:t>
      </w:r>
      <w:r w:rsidR="009A54FE" w:rsidRPr="009D11AD">
        <w:rPr>
          <w:rFonts w:ascii="標楷體" w:eastAsia="標楷體" w:hAnsi="標楷體"/>
          <w:bCs/>
          <w:szCs w:val="24"/>
        </w:rPr>
        <w:t>）</w:t>
      </w:r>
      <w:r w:rsidR="009A54FE" w:rsidRPr="009D11AD">
        <w:rPr>
          <w:rFonts w:ascii="標楷體" w:eastAsia="標楷體" w:hAnsi="標楷體" w:hint="eastAsia"/>
          <w:bCs/>
          <w:szCs w:val="24"/>
        </w:rPr>
        <w:t>未依</w:t>
      </w:r>
      <w:r w:rsidR="00D274C2" w:rsidRPr="009D11AD">
        <w:rPr>
          <w:rFonts w:ascii="標楷體" w:eastAsia="標楷體" w:hAnsi="標楷體" w:hint="eastAsia"/>
          <w:spacing w:val="-4"/>
          <w:szCs w:val="24"/>
        </w:rPr>
        <w:t>行政院</w:t>
      </w:r>
      <w:r w:rsidR="009A54FE" w:rsidRPr="009D11AD">
        <w:rPr>
          <w:rFonts w:ascii="標楷體" w:eastAsia="標楷體" w:hAnsi="標楷體" w:hint="eastAsia"/>
          <w:bCs/>
          <w:szCs w:val="24"/>
        </w:rPr>
        <w:t>主計總處111年7月7日函示：「除於四大媒體刊登及托播之費用應予計入外，相關影片、動畫及圖卡之製作成本、拍攝宣傳影片所租用之道具服裝及臉書宣導照片之構圖素材等內容製作經費，如其製作目的係於四大媒體辦理政策及業務宣導，則其相關成本應予計入」之規定，將相關製作成本計入媒體政策及業務宣導費；（2</w:t>
      </w:r>
      <w:r w:rsidR="009A54FE" w:rsidRPr="009D11AD">
        <w:rPr>
          <w:rFonts w:ascii="標楷體" w:eastAsia="標楷體" w:hAnsi="標楷體"/>
          <w:bCs/>
          <w:szCs w:val="24"/>
        </w:rPr>
        <w:t>）</w:t>
      </w:r>
      <w:bookmarkStart w:id="2" w:name="_Hlk134254234"/>
      <w:r w:rsidR="009A54FE" w:rsidRPr="009D11AD">
        <w:rPr>
          <w:rFonts w:ascii="標楷體" w:eastAsia="標楷體" w:hAnsi="標楷體" w:hint="eastAsia"/>
          <w:bCs/>
          <w:szCs w:val="24"/>
        </w:rPr>
        <w:t>未明確標示機關名稱或廣告，或「廣告」字體偏小，不符合比例原則</w:t>
      </w:r>
      <w:bookmarkEnd w:id="2"/>
      <w:r w:rsidR="009A54FE" w:rsidRPr="009D11AD">
        <w:rPr>
          <w:rFonts w:ascii="標楷體" w:eastAsia="標楷體" w:hAnsi="標楷體" w:hint="eastAsia"/>
          <w:bCs/>
          <w:szCs w:val="24"/>
        </w:rPr>
        <w:t>，</w:t>
      </w:r>
      <w:r w:rsidR="009A54FE" w:rsidRPr="00EF0729">
        <w:rPr>
          <w:rFonts w:ascii="標楷體" w:eastAsia="標楷體" w:hAnsi="標楷體" w:hint="eastAsia"/>
          <w:bCs/>
          <w:szCs w:val="24"/>
        </w:rPr>
        <w:t>及非透</w:t>
      </w:r>
      <w:r w:rsidR="009A54FE" w:rsidRPr="00EF0729">
        <w:rPr>
          <w:rFonts w:ascii="標楷體" w:eastAsia="標楷體" w:hAnsi="標楷體" w:hint="eastAsia"/>
          <w:bCs/>
          <w:szCs w:val="24"/>
        </w:rPr>
        <w:lastRenderedPageBreak/>
        <w:t>過四大媒體辦理之宣導，未依規定明確標示機關名稱；</w:t>
      </w:r>
      <w:r w:rsidR="009A54FE" w:rsidRPr="00EF0729">
        <w:rPr>
          <w:rFonts w:ascii="標楷體" w:eastAsia="標楷體" w:hAnsi="標楷體" w:cs="Helvetica" w:hint="eastAsia"/>
          <w:kern w:val="0"/>
          <w:szCs w:val="24"/>
        </w:rPr>
        <w:t>（3</w:t>
      </w:r>
      <w:r w:rsidR="009A54FE" w:rsidRPr="00EF0729">
        <w:rPr>
          <w:rFonts w:ascii="標楷體" w:eastAsia="標楷體" w:hAnsi="標楷體" w:cs="Helvetica"/>
          <w:kern w:val="0"/>
          <w:szCs w:val="24"/>
        </w:rPr>
        <w:t>）</w:t>
      </w:r>
      <w:r w:rsidR="009A54FE" w:rsidRPr="00EF0729">
        <w:rPr>
          <w:rFonts w:ascii="標楷體" w:eastAsia="標楷體" w:hAnsi="標楷體" w:cs="Helvetica" w:hint="eastAsia"/>
          <w:kern w:val="0"/>
          <w:szCs w:val="24"/>
        </w:rPr>
        <w:t>未依規定按月於機關網站資</w:t>
      </w:r>
      <w:r w:rsidR="009A54FE" w:rsidRPr="009D11AD">
        <w:rPr>
          <w:rFonts w:ascii="標楷體" w:eastAsia="標楷體" w:hAnsi="標楷體" w:cs="Helvetica" w:hint="eastAsia"/>
          <w:kern w:val="0"/>
          <w:szCs w:val="24"/>
        </w:rPr>
        <w:t>訊公開區公布、按季彙送立法院，或未正確公告資訊，或未按季於</w:t>
      </w:r>
      <w:r w:rsidR="00D274C2" w:rsidRPr="009D11AD">
        <w:rPr>
          <w:rFonts w:ascii="標楷體" w:eastAsia="標楷體" w:hAnsi="標楷體" w:hint="eastAsia"/>
          <w:spacing w:val="-4"/>
          <w:szCs w:val="24"/>
        </w:rPr>
        <w:t>行政院</w:t>
      </w:r>
      <w:r w:rsidR="009A54FE" w:rsidRPr="009D11AD">
        <w:rPr>
          <w:rFonts w:ascii="標楷體" w:eastAsia="標楷體" w:hAnsi="標楷體" w:cs="Helvetica" w:hint="eastAsia"/>
          <w:kern w:val="0"/>
          <w:szCs w:val="24"/>
        </w:rPr>
        <w:t>主計總處「中央政府各主管機關政策宣導資訊查詢平台」網站專區公布等情事，</w:t>
      </w:r>
      <w:r w:rsidR="009A54FE" w:rsidRPr="009D11AD">
        <w:rPr>
          <w:rFonts w:ascii="標楷體" w:eastAsia="標楷體" w:hAnsi="標楷體" w:hint="eastAsia"/>
          <w:szCs w:val="24"/>
        </w:rPr>
        <w:t>允宜督促依規定辦理並研謀改善</w:t>
      </w:r>
      <w:r w:rsidR="009A54FE" w:rsidRPr="009D11AD">
        <w:rPr>
          <w:rFonts w:ascii="標楷體" w:eastAsia="標楷體" w:hAnsi="標楷體" w:hint="eastAsia"/>
          <w:bCs/>
          <w:szCs w:val="24"/>
        </w:rPr>
        <w:t>。</w:t>
      </w:r>
    </w:p>
    <w:p w14:paraId="7B04AB57" w14:textId="3AFF6018" w:rsidR="00043315" w:rsidRPr="009D11AD" w:rsidRDefault="009A54FE" w:rsidP="00DA2751">
      <w:pPr>
        <w:pStyle w:val="2"/>
        <w:overflowPunct w:val="0"/>
        <w:spacing w:beforeLines="20" w:before="72" w:afterLines="20" w:after="72" w:line="460" w:lineRule="exact"/>
        <w:ind w:left="0" w:firstLineChars="200" w:firstLine="553"/>
        <w:rPr>
          <w:rFonts w:hAnsi="標楷體"/>
          <w:color w:val="FF0000"/>
          <w:sz w:val="24"/>
          <w:szCs w:val="24"/>
        </w:rPr>
      </w:pPr>
      <w:r w:rsidRPr="00DA2751">
        <w:rPr>
          <w:rFonts w:hAnsi="標楷體" w:hint="eastAsia"/>
          <w:b/>
          <w:color w:val="000000" w:themeColor="text1"/>
          <w:spacing w:val="-2"/>
          <w:sz w:val="28"/>
          <w:szCs w:val="28"/>
        </w:rPr>
        <w:t>（十六）</w:t>
      </w:r>
      <w:r w:rsidRPr="00FF22C6">
        <w:rPr>
          <w:rFonts w:hAnsi="標楷體" w:hint="eastAsia"/>
          <w:b/>
          <w:color w:val="000000" w:themeColor="text1"/>
          <w:sz w:val="28"/>
          <w:szCs w:val="28"/>
        </w:rPr>
        <w:t xml:space="preserve">　</w:t>
      </w:r>
      <w:r w:rsidR="00A82974" w:rsidRPr="00DA2751">
        <w:rPr>
          <w:rFonts w:hAnsi="標楷體" w:hint="eastAsia"/>
          <w:b/>
          <w:color w:val="000000" w:themeColor="text1"/>
          <w:sz w:val="28"/>
          <w:szCs w:val="28"/>
        </w:rPr>
        <w:t>部分</w:t>
      </w:r>
      <w:r w:rsidRPr="00FF22C6">
        <w:rPr>
          <w:rFonts w:hAnsi="標楷體" w:hint="eastAsia"/>
          <w:b/>
          <w:color w:val="000000" w:themeColor="text1"/>
          <w:sz w:val="28"/>
          <w:szCs w:val="28"/>
        </w:rPr>
        <w:t>機關獲准撥用大面積國有土地，經管多年僅提供公眾停車使用，迄未依撥用計畫用途辦理開發，又未妥善管理致土地遭長期占用，亟待研謀改善。</w:t>
      </w:r>
    </w:p>
    <w:p w14:paraId="7BFDF42F" w14:textId="0E16D639" w:rsidR="006B7427" w:rsidRPr="00DA1A44" w:rsidRDefault="00303A52" w:rsidP="00D47C8D">
      <w:pPr>
        <w:overflowPunct w:val="0"/>
        <w:snapToGrid w:val="0"/>
        <w:spacing w:afterLines="50" w:after="180" w:line="424" w:lineRule="exact"/>
        <w:ind w:firstLineChars="200" w:firstLine="640"/>
        <w:jc w:val="both"/>
        <w:rPr>
          <w:rFonts w:ascii="標楷體" w:eastAsia="標楷體" w:hAnsi="標楷體"/>
          <w:szCs w:val="24"/>
        </w:rPr>
      </w:pPr>
      <w:r w:rsidRPr="009D11AD">
        <w:rPr>
          <w:rFonts w:ascii="標楷體" w:eastAsia="標楷體" w:hAnsi="標楷體"/>
          <w:noProof/>
          <w:snapToGrid w:val="0"/>
          <w:sz w:val="32"/>
          <w:szCs w:val="32"/>
        </w:rPr>
        <mc:AlternateContent>
          <mc:Choice Requires="wps">
            <w:drawing>
              <wp:anchor distT="45720" distB="45720" distL="114300" distR="114300" simplePos="0" relativeHeight="251643392" behindDoc="0" locked="0" layoutInCell="1" allowOverlap="1" wp14:anchorId="1E780F9A" wp14:editId="77C611F1">
                <wp:simplePos x="0" y="0"/>
                <wp:positionH relativeFrom="column">
                  <wp:posOffset>0</wp:posOffset>
                </wp:positionH>
                <wp:positionV relativeFrom="paragraph">
                  <wp:posOffset>4463415</wp:posOffset>
                </wp:positionV>
                <wp:extent cx="6271200" cy="2656800"/>
                <wp:effectExtent l="0" t="0" r="0" b="0"/>
                <wp:wrapSquare wrapText="bothSides"/>
                <wp:docPr id="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1200" cy="2656800"/>
                        </a:xfrm>
                        <a:prstGeom prst="rect">
                          <a:avLst/>
                        </a:prstGeom>
                        <a:solidFill>
                          <a:srgbClr val="FFFFFF"/>
                        </a:solidFill>
                        <a:ln w="9525">
                          <a:noFill/>
                          <a:miter lim="800000"/>
                          <a:headEnd/>
                          <a:tailEnd/>
                        </a:ln>
                      </wps:spPr>
                      <wps:txbx>
                        <w:txbxContent>
                          <w:p w14:paraId="3646B161" w14:textId="6D51BE9A" w:rsidR="00CE57F9" w:rsidRPr="00D15D1C" w:rsidRDefault="00CE57F9" w:rsidP="00303A52">
                            <w:pPr>
                              <w:pStyle w:val="a5"/>
                              <w:adjustRightInd w:val="0"/>
                              <w:snapToGrid w:val="0"/>
                              <w:spacing w:line="0" w:lineRule="atLeast"/>
                              <w:ind w:firstLine="480"/>
                              <w:jc w:val="center"/>
                              <w:rPr>
                                <w:rFonts w:hAnsi="標楷體"/>
                                <w:b/>
                                <w:snapToGrid w:val="0"/>
                                <w:kern w:val="0"/>
                              </w:rPr>
                            </w:pPr>
                            <w:r w:rsidRPr="00D15D1C">
                              <w:rPr>
                                <w:rFonts w:hAnsi="標楷體" w:hint="eastAsia"/>
                                <w:b/>
                                <w:snapToGrid w:val="0"/>
                                <w:kern w:val="0"/>
                              </w:rPr>
                              <w:t>表</w:t>
                            </w:r>
                            <w:r>
                              <w:rPr>
                                <w:rFonts w:hAnsi="標楷體" w:hint="eastAsia"/>
                                <w:b/>
                                <w:snapToGrid w:val="0"/>
                                <w:kern w:val="0"/>
                              </w:rPr>
                              <w:t>14　部分</w:t>
                            </w:r>
                            <w:r w:rsidRPr="00D15D1C">
                              <w:rPr>
                                <w:rFonts w:hAnsi="標楷體" w:hint="eastAsia"/>
                                <w:b/>
                                <w:snapToGrid w:val="0"/>
                                <w:kern w:val="0"/>
                              </w:rPr>
                              <w:t>機關獲准撥用大面積國有土地且經管</w:t>
                            </w:r>
                            <w:r w:rsidRPr="00D15D1C">
                              <w:rPr>
                                <w:rFonts w:hAnsi="標楷體" w:hint="eastAsia"/>
                                <w:b/>
                              </w:rPr>
                              <w:t>多年未依撥用計畫用途開發</w:t>
                            </w:r>
                            <w:r w:rsidRPr="00D15D1C">
                              <w:rPr>
                                <w:rFonts w:hAnsi="標楷體" w:hint="eastAsia"/>
                                <w:b/>
                                <w:snapToGrid w:val="0"/>
                                <w:kern w:val="0"/>
                              </w:rPr>
                              <w:t>情形</w:t>
                            </w:r>
                          </w:p>
                          <w:p w14:paraId="510FB9F8" w14:textId="77777777" w:rsidR="00CE57F9" w:rsidRPr="00DA2751" w:rsidRDefault="00CE57F9" w:rsidP="00303A52">
                            <w:pPr>
                              <w:pStyle w:val="a5"/>
                              <w:adjustRightInd w:val="0"/>
                              <w:snapToGrid w:val="0"/>
                              <w:spacing w:line="0" w:lineRule="atLeast"/>
                              <w:ind w:right="8" w:firstLine="440"/>
                              <w:jc w:val="right"/>
                              <w:rPr>
                                <w:rFonts w:hAnsi="標楷體"/>
                                <w:sz w:val="20"/>
                              </w:rPr>
                            </w:pPr>
                            <w:r w:rsidRPr="00DA2751">
                              <w:rPr>
                                <w:rFonts w:hAnsi="標楷體" w:hint="eastAsia"/>
                                <w:sz w:val="20"/>
                              </w:rPr>
                              <w:t>單位：平方公尺</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668"/>
                              <w:gridCol w:w="1650"/>
                              <w:gridCol w:w="1043"/>
                              <w:gridCol w:w="1417"/>
                              <w:gridCol w:w="1418"/>
                              <w:gridCol w:w="2551"/>
                            </w:tblGrid>
                            <w:tr w:rsidR="00CE57F9" w:rsidRPr="00D15D1C" w14:paraId="37EE3EA9" w14:textId="77777777" w:rsidTr="00DA2751">
                              <w:trPr>
                                <w:trHeight w:val="523"/>
                              </w:trPr>
                              <w:tc>
                                <w:tcPr>
                                  <w:tcW w:w="1668" w:type="dxa"/>
                                  <w:shd w:val="clear" w:color="auto" w:fill="auto"/>
                                  <w:vAlign w:val="center"/>
                                </w:tcPr>
                                <w:p w14:paraId="635E2FDD"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管理機關</w:t>
                                  </w:r>
                                </w:p>
                              </w:tc>
                              <w:tc>
                                <w:tcPr>
                                  <w:tcW w:w="1650" w:type="dxa"/>
                                  <w:shd w:val="clear" w:color="auto" w:fill="auto"/>
                                  <w:vAlign w:val="center"/>
                                </w:tcPr>
                                <w:p w14:paraId="2F5F2A25"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撥用土地位置</w:t>
                                  </w:r>
                                </w:p>
                              </w:tc>
                              <w:tc>
                                <w:tcPr>
                                  <w:tcW w:w="1043" w:type="dxa"/>
                                  <w:shd w:val="clear" w:color="auto" w:fill="auto"/>
                                  <w:vAlign w:val="center"/>
                                </w:tcPr>
                                <w:p w14:paraId="70E0A6C1"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撥用面積</w:t>
                                  </w:r>
                                </w:p>
                              </w:tc>
                              <w:tc>
                                <w:tcPr>
                                  <w:tcW w:w="1417" w:type="dxa"/>
                                  <w:shd w:val="clear" w:color="auto" w:fill="auto"/>
                                  <w:vAlign w:val="center"/>
                                </w:tcPr>
                                <w:p w14:paraId="756A27BB"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核准撥用日期</w:t>
                                  </w:r>
                                </w:p>
                              </w:tc>
                              <w:tc>
                                <w:tcPr>
                                  <w:tcW w:w="1418" w:type="dxa"/>
                                  <w:shd w:val="clear" w:color="auto" w:fill="auto"/>
                                  <w:vAlign w:val="center"/>
                                </w:tcPr>
                                <w:p w14:paraId="04832740"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撥用內容</w:t>
                                  </w:r>
                                </w:p>
                              </w:tc>
                              <w:tc>
                                <w:tcPr>
                                  <w:tcW w:w="2551" w:type="dxa"/>
                                  <w:shd w:val="clear" w:color="auto" w:fill="auto"/>
                                  <w:vAlign w:val="center"/>
                                </w:tcPr>
                                <w:p w14:paraId="36856E89"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辦理情形</w:t>
                                  </w:r>
                                </w:p>
                              </w:tc>
                            </w:tr>
                            <w:tr w:rsidR="00CE57F9" w:rsidRPr="00D15D1C" w14:paraId="242571AF" w14:textId="77777777" w:rsidTr="00DA2751">
                              <w:tc>
                                <w:tcPr>
                                  <w:tcW w:w="1668" w:type="dxa"/>
                                  <w:shd w:val="clear" w:color="auto" w:fill="auto"/>
                                  <w:vAlign w:val="center"/>
                                </w:tcPr>
                                <w:p w14:paraId="49E69869"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教育部國立空中大學</w:t>
                                  </w:r>
                                </w:p>
                              </w:tc>
                              <w:tc>
                                <w:tcPr>
                                  <w:tcW w:w="1650" w:type="dxa"/>
                                  <w:shd w:val="clear" w:color="auto" w:fill="auto"/>
                                  <w:vAlign w:val="center"/>
                                </w:tcPr>
                                <w:p w14:paraId="2E71C4C5"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桃園市中壢區平寮段620地號1筆</w:t>
                                  </w:r>
                                </w:p>
                              </w:tc>
                              <w:tc>
                                <w:tcPr>
                                  <w:tcW w:w="1043" w:type="dxa"/>
                                  <w:shd w:val="clear" w:color="auto" w:fill="auto"/>
                                  <w:vAlign w:val="center"/>
                                </w:tcPr>
                                <w:p w14:paraId="5D967E20" w14:textId="77777777" w:rsidR="00CE57F9" w:rsidRPr="00D15D1C" w:rsidRDefault="00CE57F9" w:rsidP="00DA2751">
                                  <w:pPr>
                                    <w:pStyle w:val="a5"/>
                                    <w:adjustRightInd w:val="0"/>
                                    <w:snapToGrid w:val="0"/>
                                    <w:spacing w:line="240" w:lineRule="exact"/>
                                    <w:jc w:val="right"/>
                                    <w:rPr>
                                      <w:rFonts w:hAnsi="標楷體"/>
                                      <w:sz w:val="20"/>
                                    </w:rPr>
                                  </w:pPr>
                                  <w:r w:rsidRPr="00D15D1C">
                                    <w:rPr>
                                      <w:rFonts w:hAnsi="標楷體"/>
                                      <w:sz w:val="20"/>
                                    </w:rPr>
                                    <w:t>3,316</w:t>
                                  </w:r>
                                </w:p>
                              </w:tc>
                              <w:tc>
                                <w:tcPr>
                                  <w:tcW w:w="1417" w:type="dxa"/>
                                  <w:shd w:val="clear" w:color="auto" w:fill="auto"/>
                                  <w:vAlign w:val="center"/>
                                </w:tcPr>
                                <w:p w14:paraId="7171732E"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96.03.07</w:t>
                                  </w:r>
                                </w:p>
                              </w:tc>
                              <w:tc>
                                <w:tcPr>
                                  <w:tcW w:w="1418" w:type="dxa"/>
                                  <w:shd w:val="clear" w:color="auto" w:fill="auto"/>
                                  <w:vAlign w:val="center"/>
                                </w:tcPr>
                                <w:p w14:paraId="285C9895"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興建桃園學習指導中心建築基地</w:t>
                                  </w:r>
                                </w:p>
                              </w:tc>
                              <w:tc>
                                <w:tcPr>
                                  <w:tcW w:w="2551" w:type="dxa"/>
                                  <w:shd w:val="clear" w:color="auto" w:fill="auto"/>
                                  <w:vAlign w:val="center"/>
                                </w:tcPr>
                                <w:p w14:paraId="03566320"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逾核准撥用日期16年，仍未按照原撥用計畫用途辦理開發</w:t>
                                  </w:r>
                                </w:p>
                              </w:tc>
                            </w:tr>
                            <w:tr w:rsidR="00CE57F9" w:rsidRPr="00D15D1C" w14:paraId="4ADAE8F2" w14:textId="77777777" w:rsidTr="00DA2751">
                              <w:tc>
                                <w:tcPr>
                                  <w:tcW w:w="1668" w:type="dxa"/>
                                  <w:shd w:val="clear" w:color="auto" w:fill="auto"/>
                                  <w:vAlign w:val="center"/>
                                </w:tcPr>
                                <w:p w14:paraId="4B86FCBF"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法務部臺灣高等檢察署臺中檢察分署及臺灣臺中地方檢察署</w:t>
                                  </w:r>
                                </w:p>
                              </w:tc>
                              <w:tc>
                                <w:tcPr>
                                  <w:tcW w:w="1650" w:type="dxa"/>
                                  <w:shd w:val="clear" w:color="auto" w:fill="auto"/>
                                  <w:vAlign w:val="center"/>
                                </w:tcPr>
                                <w:p w14:paraId="149B11BE"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臺中市西區三民七小段3-11地號等3筆</w:t>
                                  </w:r>
                                </w:p>
                              </w:tc>
                              <w:tc>
                                <w:tcPr>
                                  <w:tcW w:w="1043" w:type="dxa"/>
                                  <w:shd w:val="clear" w:color="auto" w:fill="auto"/>
                                  <w:vAlign w:val="center"/>
                                </w:tcPr>
                                <w:p w14:paraId="1C045E26" w14:textId="77777777" w:rsidR="00CE57F9" w:rsidRPr="00D15D1C" w:rsidRDefault="00CE57F9" w:rsidP="00DA2751">
                                  <w:pPr>
                                    <w:pStyle w:val="a5"/>
                                    <w:adjustRightInd w:val="0"/>
                                    <w:snapToGrid w:val="0"/>
                                    <w:spacing w:line="240" w:lineRule="exact"/>
                                    <w:jc w:val="right"/>
                                    <w:rPr>
                                      <w:rFonts w:hAnsi="標楷體"/>
                                      <w:sz w:val="20"/>
                                    </w:rPr>
                                  </w:pPr>
                                  <w:r w:rsidRPr="00D15D1C">
                                    <w:rPr>
                                      <w:rFonts w:hAnsi="標楷體" w:hint="eastAsia"/>
                                      <w:sz w:val="20"/>
                                    </w:rPr>
                                    <w:t>13,273</w:t>
                                  </w:r>
                                </w:p>
                              </w:tc>
                              <w:tc>
                                <w:tcPr>
                                  <w:tcW w:w="1417" w:type="dxa"/>
                                  <w:shd w:val="clear" w:color="auto" w:fill="auto"/>
                                  <w:vAlign w:val="center"/>
                                </w:tcPr>
                                <w:p w14:paraId="6E9C8D27"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84.07.25</w:t>
                                  </w:r>
                                </w:p>
                              </w:tc>
                              <w:tc>
                                <w:tcPr>
                                  <w:tcW w:w="1418" w:type="dxa"/>
                                  <w:shd w:val="clear" w:color="auto" w:fill="auto"/>
                                  <w:vAlign w:val="center"/>
                                </w:tcPr>
                                <w:p w14:paraId="06DFF799"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擴遷建辦公廳舍建築基地</w:t>
                                  </w:r>
                                </w:p>
                              </w:tc>
                              <w:tc>
                                <w:tcPr>
                                  <w:tcW w:w="2551" w:type="dxa"/>
                                  <w:shd w:val="clear" w:color="auto" w:fill="auto"/>
                                  <w:vAlign w:val="center"/>
                                </w:tcPr>
                                <w:p w14:paraId="592A67BF"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逾核准撥用日期28年，仍未按照原撥用計畫用途辦理開發</w:t>
                                  </w:r>
                                </w:p>
                              </w:tc>
                            </w:tr>
                            <w:tr w:rsidR="00CE57F9" w:rsidRPr="00D15D1C" w14:paraId="46BB2E1A" w14:textId="77777777" w:rsidTr="00DA2751">
                              <w:tc>
                                <w:tcPr>
                                  <w:tcW w:w="1668" w:type="dxa"/>
                                  <w:shd w:val="clear" w:color="auto" w:fill="auto"/>
                                  <w:vAlign w:val="center"/>
                                </w:tcPr>
                                <w:p w14:paraId="4B276E98"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法務部行政執行署彰化分署</w:t>
                                  </w:r>
                                </w:p>
                              </w:tc>
                              <w:tc>
                                <w:tcPr>
                                  <w:tcW w:w="1650" w:type="dxa"/>
                                  <w:shd w:val="clear" w:color="auto" w:fill="auto"/>
                                  <w:vAlign w:val="center"/>
                                </w:tcPr>
                                <w:p w14:paraId="42CA9F86"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彰化縣彰化市大埔段316地號1筆</w:t>
                                  </w:r>
                                </w:p>
                              </w:tc>
                              <w:tc>
                                <w:tcPr>
                                  <w:tcW w:w="1043" w:type="dxa"/>
                                  <w:shd w:val="clear" w:color="auto" w:fill="auto"/>
                                  <w:vAlign w:val="center"/>
                                </w:tcPr>
                                <w:p w14:paraId="7256BD81" w14:textId="77777777" w:rsidR="00CE57F9" w:rsidRPr="00D15D1C" w:rsidRDefault="00CE57F9" w:rsidP="00DA2751">
                                  <w:pPr>
                                    <w:pStyle w:val="a5"/>
                                    <w:adjustRightInd w:val="0"/>
                                    <w:snapToGrid w:val="0"/>
                                    <w:spacing w:line="240" w:lineRule="exact"/>
                                    <w:jc w:val="right"/>
                                    <w:rPr>
                                      <w:rFonts w:hAnsi="標楷體"/>
                                      <w:sz w:val="20"/>
                                    </w:rPr>
                                  </w:pPr>
                                  <w:r w:rsidRPr="00D15D1C">
                                    <w:rPr>
                                      <w:rFonts w:hAnsi="標楷體"/>
                                      <w:sz w:val="20"/>
                                    </w:rPr>
                                    <w:t>2,409</w:t>
                                  </w:r>
                                </w:p>
                              </w:tc>
                              <w:tc>
                                <w:tcPr>
                                  <w:tcW w:w="1417" w:type="dxa"/>
                                  <w:shd w:val="clear" w:color="auto" w:fill="auto"/>
                                  <w:vAlign w:val="center"/>
                                </w:tcPr>
                                <w:p w14:paraId="04B0F84D"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98.03.18</w:t>
                                  </w:r>
                                </w:p>
                              </w:tc>
                              <w:tc>
                                <w:tcPr>
                                  <w:tcW w:w="1418" w:type="dxa"/>
                                  <w:shd w:val="clear" w:color="auto" w:fill="auto"/>
                                  <w:vAlign w:val="center"/>
                                </w:tcPr>
                                <w:p w14:paraId="14324DF5"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興建辦公廳舍建築基地</w:t>
                                  </w:r>
                                </w:p>
                              </w:tc>
                              <w:tc>
                                <w:tcPr>
                                  <w:tcW w:w="2551" w:type="dxa"/>
                                  <w:shd w:val="clear" w:color="auto" w:fill="auto"/>
                                  <w:vAlign w:val="center"/>
                                </w:tcPr>
                                <w:p w14:paraId="68E57B61"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逾核准撥用日期14年，仍未按照原撥用計畫用途辦理開發，俟另案場址新建廳舍竣工後，始辦理廢止撥用</w:t>
                                  </w:r>
                                </w:p>
                              </w:tc>
                            </w:tr>
                          </w:tbl>
                          <w:p w14:paraId="776C3DE8" w14:textId="77777777" w:rsidR="00CE57F9" w:rsidRPr="00D15D1C" w:rsidRDefault="00CE57F9" w:rsidP="00721C5E">
                            <w:pPr>
                              <w:adjustRightInd w:val="0"/>
                              <w:snapToGrid w:val="0"/>
                              <w:spacing w:afterLines="50" w:after="180" w:line="240" w:lineRule="atLeast"/>
                              <w:ind w:leftChars="-20" w:left="-48"/>
                              <w:jc w:val="both"/>
                              <w:rPr>
                                <w:rFonts w:ascii="標楷體" w:eastAsia="標楷體" w:hAnsi="標楷體"/>
                                <w:snapToGrid w:val="0"/>
                                <w:sz w:val="18"/>
                                <w:szCs w:val="18"/>
                              </w:rPr>
                            </w:pPr>
                            <w:r w:rsidRPr="00D15D1C">
                              <w:rPr>
                                <w:rFonts w:ascii="標楷體" w:eastAsia="標楷體" w:hAnsi="標楷體" w:hint="eastAsia"/>
                                <w:snapToGrid w:val="0"/>
                                <w:sz w:val="18"/>
                                <w:szCs w:val="18"/>
                              </w:rPr>
                              <w:t>資料來源：整理自教育部等機關提供資料。</w:t>
                            </w:r>
                          </w:p>
                          <w:p w14:paraId="41D5E862" w14:textId="77777777" w:rsidR="00CE57F9" w:rsidRDefault="00CE57F9"/>
                          <w:p w14:paraId="56322C09" w14:textId="1F8D68AE" w:rsidR="00CE57F9" w:rsidRPr="00D15D1C" w:rsidRDefault="00CE57F9">
                            <w:pPr>
                              <w:pStyle w:val="a5"/>
                              <w:adjustRightInd w:val="0"/>
                              <w:snapToGrid w:val="0"/>
                              <w:spacing w:line="0" w:lineRule="atLeast"/>
                              <w:ind w:firstLine="480"/>
                              <w:jc w:val="center"/>
                              <w:rPr>
                                <w:rFonts w:hAnsi="標楷體"/>
                                <w:b/>
                                <w:snapToGrid w:val="0"/>
                                <w:kern w:val="0"/>
                              </w:rPr>
                            </w:pPr>
                          </w:p>
                          <w:p w14:paraId="5DD034A7" w14:textId="77777777" w:rsidR="00CE57F9" w:rsidRPr="00DA2751" w:rsidRDefault="00CE57F9" w:rsidP="00DA2751">
                            <w:pPr>
                              <w:pStyle w:val="a5"/>
                              <w:adjustRightInd w:val="0"/>
                              <w:snapToGrid w:val="0"/>
                              <w:spacing w:line="0" w:lineRule="atLeast"/>
                              <w:ind w:right="8" w:firstLine="440"/>
                              <w:jc w:val="center"/>
                              <w:rPr>
                                <w:rFonts w:hAnsi="標楷體"/>
                                <w:sz w:val="20"/>
                              </w:rPr>
                            </w:pPr>
                            <w:r w:rsidRPr="00DA2751">
                              <w:rPr>
                                <w:rFonts w:hAnsi="標楷體" w:hint="eastAsia"/>
                                <w:sz w:val="20"/>
                              </w:rPr>
                              <w:t>單位：平方公尺</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668"/>
                              <w:gridCol w:w="1650"/>
                              <w:gridCol w:w="1043"/>
                              <w:gridCol w:w="1417"/>
                              <w:gridCol w:w="1418"/>
                              <w:gridCol w:w="2551"/>
                            </w:tblGrid>
                            <w:tr w:rsidR="00CE57F9" w:rsidRPr="00D15D1C" w14:paraId="0715AB04" w14:textId="77777777" w:rsidTr="00DA2751">
                              <w:trPr>
                                <w:trHeight w:val="523"/>
                              </w:trPr>
                              <w:tc>
                                <w:tcPr>
                                  <w:tcW w:w="1668" w:type="dxa"/>
                                  <w:shd w:val="clear" w:color="auto" w:fill="auto"/>
                                </w:tcPr>
                                <w:p w14:paraId="1780CD47"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管理機關</w:t>
                                  </w:r>
                                </w:p>
                              </w:tc>
                              <w:tc>
                                <w:tcPr>
                                  <w:tcW w:w="1650" w:type="dxa"/>
                                  <w:shd w:val="clear" w:color="auto" w:fill="auto"/>
                                </w:tcPr>
                                <w:p w14:paraId="434FD1C4"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撥用土地位置</w:t>
                                  </w:r>
                                </w:p>
                              </w:tc>
                              <w:tc>
                                <w:tcPr>
                                  <w:tcW w:w="1043" w:type="dxa"/>
                                  <w:shd w:val="clear" w:color="auto" w:fill="auto"/>
                                </w:tcPr>
                                <w:p w14:paraId="682F3626"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撥用面積</w:t>
                                  </w:r>
                                </w:p>
                              </w:tc>
                              <w:tc>
                                <w:tcPr>
                                  <w:tcW w:w="1417" w:type="dxa"/>
                                  <w:shd w:val="clear" w:color="auto" w:fill="auto"/>
                                </w:tcPr>
                                <w:p w14:paraId="763D49DC"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核准撥用日期</w:t>
                                  </w:r>
                                </w:p>
                              </w:tc>
                              <w:tc>
                                <w:tcPr>
                                  <w:tcW w:w="1418" w:type="dxa"/>
                                  <w:shd w:val="clear" w:color="auto" w:fill="auto"/>
                                </w:tcPr>
                                <w:p w14:paraId="28477901"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撥用內容</w:t>
                                  </w:r>
                                </w:p>
                              </w:tc>
                              <w:tc>
                                <w:tcPr>
                                  <w:tcW w:w="2551" w:type="dxa"/>
                                  <w:shd w:val="clear" w:color="auto" w:fill="auto"/>
                                </w:tcPr>
                                <w:p w14:paraId="58F9ED69"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辦理情形</w:t>
                                  </w:r>
                                </w:p>
                              </w:tc>
                            </w:tr>
                            <w:tr w:rsidR="00CE57F9" w:rsidRPr="00D15D1C" w14:paraId="6F787F27" w14:textId="77777777" w:rsidTr="00DA2751">
                              <w:tc>
                                <w:tcPr>
                                  <w:tcW w:w="1668" w:type="dxa"/>
                                  <w:shd w:val="clear" w:color="auto" w:fill="auto"/>
                                  <w:vAlign w:val="center"/>
                                </w:tcPr>
                                <w:p w14:paraId="654E7212"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教育部國立空中大學</w:t>
                                  </w:r>
                                </w:p>
                              </w:tc>
                              <w:tc>
                                <w:tcPr>
                                  <w:tcW w:w="1650" w:type="dxa"/>
                                  <w:shd w:val="clear" w:color="auto" w:fill="auto"/>
                                  <w:vAlign w:val="center"/>
                                </w:tcPr>
                                <w:p w14:paraId="0D7B1088"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桃園市中壢區平寮段620地號1筆</w:t>
                                  </w:r>
                                </w:p>
                              </w:tc>
                              <w:tc>
                                <w:tcPr>
                                  <w:tcW w:w="1043" w:type="dxa"/>
                                  <w:shd w:val="clear" w:color="auto" w:fill="auto"/>
                                  <w:vAlign w:val="center"/>
                                </w:tcPr>
                                <w:p w14:paraId="4535EBC7"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sz w:val="20"/>
                                    </w:rPr>
                                    <w:t>3,316</w:t>
                                  </w:r>
                                </w:p>
                              </w:tc>
                              <w:tc>
                                <w:tcPr>
                                  <w:tcW w:w="1417" w:type="dxa"/>
                                  <w:shd w:val="clear" w:color="auto" w:fill="auto"/>
                                  <w:vAlign w:val="center"/>
                                </w:tcPr>
                                <w:p w14:paraId="40A2F7E0"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96.03.07</w:t>
                                  </w:r>
                                </w:p>
                              </w:tc>
                              <w:tc>
                                <w:tcPr>
                                  <w:tcW w:w="1418" w:type="dxa"/>
                                  <w:shd w:val="clear" w:color="auto" w:fill="auto"/>
                                  <w:vAlign w:val="center"/>
                                </w:tcPr>
                                <w:p w14:paraId="470C2A43"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興建桃園學習指導中心建築基地</w:t>
                                  </w:r>
                                </w:p>
                              </w:tc>
                              <w:tc>
                                <w:tcPr>
                                  <w:tcW w:w="2551" w:type="dxa"/>
                                  <w:shd w:val="clear" w:color="auto" w:fill="auto"/>
                                  <w:vAlign w:val="center"/>
                                </w:tcPr>
                                <w:p w14:paraId="38BE16AB"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逾核准撥用日期16年，仍未按照原撥用計畫用途辦理開發</w:t>
                                  </w:r>
                                </w:p>
                              </w:tc>
                            </w:tr>
                            <w:tr w:rsidR="00CE57F9" w:rsidRPr="00D15D1C" w14:paraId="4D773454" w14:textId="77777777" w:rsidTr="00DA2751">
                              <w:tc>
                                <w:tcPr>
                                  <w:tcW w:w="1668" w:type="dxa"/>
                                  <w:shd w:val="clear" w:color="auto" w:fill="auto"/>
                                  <w:vAlign w:val="center"/>
                                </w:tcPr>
                                <w:p w14:paraId="7CB2DD9F"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法務部臺灣高等檢察署臺中檢察分署及臺灣臺中地方檢察署</w:t>
                                  </w:r>
                                </w:p>
                              </w:tc>
                              <w:tc>
                                <w:tcPr>
                                  <w:tcW w:w="1650" w:type="dxa"/>
                                  <w:shd w:val="clear" w:color="auto" w:fill="auto"/>
                                  <w:vAlign w:val="center"/>
                                </w:tcPr>
                                <w:p w14:paraId="74ED10AC"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臺中市西區三民七小段3-11地號等3筆</w:t>
                                  </w:r>
                                </w:p>
                              </w:tc>
                              <w:tc>
                                <w:tcPr>
                                  <w:tcW w:w="1043" w:type="dxa"/>
                                  <w:shd w:val="clear" w:color="auto" w:fill="auto"/>
                                  <w:vAlign w:val="center"/>
                                </w:tcPr>
                                <w:p w14:paraId="45A596B0"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13,273</w:t>
                                  </w:r>
                                </w:p>
                              </w:tc>
                              <w:tc>
                                <w:tcPr>
                                  <w:tcW w:w="1417" w:type="dxa"/>
                                  <w:shd w:val="clear" w:color="auto" w:fill="auto"/>
                                  <w:vAlign w:val="center"/>
                                </w:tcPr>
                                <w:p w14:paraId="7C92AFAE"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84.07.25</w:t>
                                  </w:r>
                                </w:p>
                              </w:tc>
                              <w:tc>
                                <w:tcPr>
                                  <w:tcW w:w="1418" w:type="dxa"/>
                                  <w:shd w:val="clear" w:color="auto" w:fill="auto"/>
                                  <w:vAlign w:val="center"/>
                                </w:tcPr>
                                <w:p w14:paraId="226AACEF"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擴遷建辦公廳舍建築基地</w:t>
                                  </w:r>
                                </w:p>
                              </w:tc>
                              <w:tc>
                                <w:tcPr>
                                  <w:tcW w:w="2551" w:type="dxa"/>
                                  <w:shd w:val="clear" w:color="auto" w:fill="auto"/>
                                  <w:vAlign w:val="center"/>
                                </w:tcPr>
                                <w:p w14:paraId="71791713"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逾核准撥用日期28年，仍未按照原撥用計畫用途辦理開發</w:t>
                                  </w:r>
                                </w:p>
                              </w:tc>
                            </w:tr>
                            <w:tr w:rsidR="00CE57F9" w:rsidRPr="00D15D1C" w14:paraId="42E5FE70" w14:textId="77777777" w:rsidTr="00DA2751">
                              <w:tc>
                                <w:tcPr>
                                  <w:tcW w:w="1668" w:type="dxa"/>
                                  <w:shd w:val="clear" w:color="auto" w:fill="auto"/>
                                  <w:vAlign w:val="center"/>
                                </w:tcPr>
                                <w:p w14:paraId="711F613D"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法務部行政執行署彰化分署</w:t>
                                  </w:r>
                                </w:p>
                              </w:tc>
                              <w:tc>
                                <w:tcPr>
                                  <w:tcW w:w="1650" w:type="dxa"/>
                                  <w:shd w:val="clear" w:color="auto" w:fill="auto"/>
                                  <w:vAlign w:val="center"/>
                                </w:tcPr>
                                <w:p w14:paraId="5BE2627C"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彰化縣彰化市大埔段316地號1筆</w:t>
                                  </w:r>
                                </w:p>
                              </w:tc>
                              <w:tc>
                                <w:tcPr>
                                  <w:tcW w:w="1043" w:type="dxa"/>
                                  <w:shd w:val="clear" w:color="auto" w:fill="auto"/>
                                  <w:vAlign w:val="center"/>
                                </w:tcPr>
                                <w:p w14:paraId="16E91CAB"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sz w:val="20"/>
                                    </w:rPr>
                                    <w:t>2,409</w:t>
                                  </w:r>
                                </w:p>
                              </w:tc>
                              <w:tc>
                                <w:tcPr>
                                  <w:tcW w:w="1417" w:type="dxa"/>
                                  <w:shd w:val="clear" w:color="auto" w:fill="auto"/>
                                  <w:vAlign w:val="center"/>
                                </w:tcPr>
                                <w:p w14:paraId="07FD9C00"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98.03.18</w:t>
                                  </w:r>
                                </w:p>
                              </w:tc>
                              <w:tc>
                                <w:tcPr>
                                  <w:tcW w:w="1418" w:type="dxa"/>
                                  <w:shd w:val="clear" w:color="auto" w:fill="auto"/>
                                  <w:vAlign w:val="center"/>
                                </w:tcPr>
                                <w:p w14:paraId="2756513E"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興建辦公廳舍建築基地</w:t>
                                  </w:r>
                                </w:p>
                              </w:tc>
                              <w:tc>
                                <w:tcPr>
                                  <w:tcW w:w="2551" w:type="dxa"/>
                                  <w:shd w:val="clear" w:color="auto" w:fill="auto"/>
                                  <w:vAlign w:val="center"/>
                                </w:tcPr>
                                <w:p w14:paraId="35777591"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逾核准撥用日期14年，仍未按照原撥用計畫用途辦理開發，俟另案場址新建廳舍竣工後，始辦理廢止撥用</w:t>
                                  </w:r>
                                </w:p>
                              </w:tc>
                            </w:tr>
                          </w:tbl>
                          <w:p w14:paraId="4A0532B5" w14:textId="77777777" w:rsidR="00CE57F9" w:rsidRPr="00D15D1C" w:rsidRDefault="00CE57F9" w:rsidP="00DA2751">
                            <w:pPr>
                              <w:adjustRightInd w:val="0"/>
                              <w:snapToGrid w:val="0"/>
                              <w:spacing w:afterLines="50" w:after="180" w:line="240" w:lineRule="atLeast"/>
                              <w:ind w:leftChars="-59" w:left="-14" w:hangingChars="71" w:hanging="128"/>
                              <w:jc w:val="center"/>
                              <w:rPr>
                                <w:rFonts w:ascii="標楷體" w:eastAsia="標楷體" w:hAnsi="標楷體"/>
                                <w:snapToGrid w:val="0"/>
                                <w:sz w:val="18"/>
                                <w:szCs w:val="18"/>
                              </w:rPr>
                            </w:pPr>
                            <w:r w:rsidRPr="00D15D1C">
                              <w:rPr>
                                <w:rFonts w:ascii="標楷體" w:eastAsia="標楷體" w:hAnsi="標楷體" w:hint="eastAsia"/>
                                <w:snapToGrid w:val="0"/>
                                <w:sz w:val="18"/>
                                <w:szCs w:val="18"/>
                              </w:rPr>
                              <w:t>資料來源：整理自教育部等機關提供資料。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780F9A" id="_x0000_s1048" type="#_x0000_t202" style="position:absolute;left:0;text-align:left;margin-left:0;margin-top:351.45pt;width:493.8pt;height:209.2pt;z-index:251643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" stroked="f">
                <v:textbox>
                  <w:txbxContent>
                    <w:p w14:paraId="3646B161" w14:textId="6D51BE9A" w:rsidR="00CE57F9" w:rsidRPr="00D15D1C" w:rsidRDefault="00CE57F9" w:rsidP="00303A52">
                      <w:pPr>
                        <w:pStyle w:val="a5"/>
                        <w:adjustRightInd w:val="0"/>
                        <w:snapToGrid w:val="0"/>
                        <w:spacing w:line="0" w:lineRule="atLeast"/>
                        <w:ind w:firstLine="480"/>
                        <w:jc w:val="center"/>
                        <w:rPr>
                          <w:rFonts w:hAnsi="標楷體"/>
                          <w:b/>
                          <w:snapToGrid w:val="0"/>
                          <w:kern w:val="0"/>
                        </w:rPr>
                      </w:pPr>
                      <w:r w:rsidRPr="00D15D1C">
                        <w:rPr>
                          <w:rFonts w:hAnsi="標楷體" w:hint="eastAsia"/>
                          <w:b/>
                          <w:snapToGrid w:val="0"/>
                          <w:kern w:val="0"/>
                        </w:rPr>
                        <w:t>表</w:t>
                      </w:r>
                      <w:r>
                        <w:rPr>
                          <w:rFonts w:hAnsi="標楷體" w:hint="eastAsia"/>
                          <w:b/>
                          <w:snapToGrid w:val="0"/>
                          <w:kern w:val="0"/>
                        </w:rPr>
                        <w:t>14　部分</w:t>
                      </w:r>
                      <w:r w:rsidRPr="00D15D1C">
                        <w:rPr>
                          <w:rFonts w:hAnsi="標楷體" w:hint="eastAsia"/>
                          <w:b/>
                          <w:snapToGrid w:val="0"/>
                          <w:kern w:val="0"/>
                        </w:rPr>
                        <w:t>機關獲准撥用大面積國有土地且經管</w:t>
                      </w:r>
                      <w:r w:rsidRPr="00D15D1C">
                        <w:rPr>
                          <w:rFonts w:hAnsi="標楷體" w:hint="eastAsia"/>
                          <w:b/>
                        </w:rPr>
                        <w:t>多年未依撥用計畫用途開發</w:t>
                      </w:r>
                      <w:r w:rsidRPr="00D15D1C">
                        <w:rPr>
                          <w:rFonts w:hAnsi="標楷體" w:hint="eastAsia"/>
                          <w:b/>
                          <w:snapToGrid w:val="0"/>
                          <w:kern w:val="0"/>
                        </w:rPr>
                        <w:t>情形</w:t>
                      </w:r>
                    </w:p>
                    <w:p w14:paraId="510FB9F8" w14:textId="77777777" w:rsidR="00CE57F9" w:rsidRPr="00DA2751" w:rsidRDefault="00CE57F9" w:rsidP="00303A52">
                      <w:pPr>
                        <w:pStyle w:val="a5"/>
                        <w:adjustRightInd w:val="0"/>
                        <w:snapToGrid w:val="0"/>
                        <w:spacing w:line="0" w:lineRule="atLeast"/>
                        <w:ind w:right="8" w:firstLine="440"/>
                        <w:jc w:val="right"/>
                        <w:rPr>
                          <w:rFonts w:hAnsi="標楷體"/>
                          <w:sz w:val="20"/>
                        </w:rPr>
                      </w:pPr>
                      <w:r w:rsidRPr="00DA2751">
                        <w:rPr>
                          <w:rFonts w:hAnsi="標楷體" w:hint="eastAsia"/>
                          <w:sz w:val="20"/>
                        </w:rPr>
                        <w:t>單位：平方公尺</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668"/>
                        <w:gridCol w:w="1650"/>
                        <w:gridCol w:w="1043"/>
                        <w:gridCol w:w="1417"/>
                        <w:gridCol w:w="1418"/>
                        <w:gridCol w:w="2551"/>
                      </w:tblGrid>
                      <w:tr w:rsidR="00CE57F9" w:rsidRPr="00D15D1C" w14:paraId="37EE3EA9" w14:textId="77777777" w:rsidTr="00DA2751">
                        <w:trPr>
                          <w:trHeight w:val="523"/>
                        </w:trPr>
                        <w:tc>
                          <w:tcPr>
                            <w:tcW w:w="1668" w:type="dxa"/>
                            <w:shd w:val="clear" w:color="auto" w:fill="auto"/>
                            <w:vAlign w:val="center"/>
                          </w:tcPr>
                          <w:p w14:paraId="635E2FDD"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管理機關</w:t>
                            </w:r>
                          </w:p>
                        </w:tc>
                        <w:tc>
                          <w:tcPr>
                            <w:tcW w:w="1650" w:type="dxa"/>
                            <w:shd w:val="clear" w:color="auto" w:fill="auto"/>
                            <w:vAlign w:val="center"/>
                          </w:tcPr>
                          <w:p w14:paraId="2F5F2A25"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撥用土地位置</w:t>
                            </w:r>
                          </w:p>
                        </w:tc>
                        <w:tc>
                          <w:tcPr>
                            <w:tcW w:w="1043" w:type="dxa"/>
                            <w:shd w:val="clear" w:color="auto" w:fill="auto"/>
                            <w:vAlign w:val="center"/>
                          </w:tcPr>
                          <w:p w14:paraId="70E0A6C1"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撥用面積</w:t>
                            </w:r>
                          </w:p>
                        </w:tc>
                        <w:tc>
                          <w:tcPr>
                            <w:tcW w:w="1417" w:type="dxa"/>
                            <w:shd w:val="clear" w:color="auto" w:fill="auto"/>
                            <w:vAlign w:val="center"/>
                          </w:tcPr>
                          <w:p w14:paraId="756A27BB"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核准撥用日期</w:t>
                            </w:r>
                          </w:p>
                        </w:tc>
                        <w:tc>
                          <w:tcPr>
                            <w:tcW w:w="1418" w:type="dxa"/>
                            <w:shd w:val="clear" w:color="auto" w:fill="auto"/>
                            <w:vAlign w:val="center"/>
                          </w:tcPr>
                          <w:p w14:paraId="04832740"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撥用內容</w:t>
                            </w:r>
                          </w:p>
                        </w:tc>
                        <w:tc>
                          <w:tcPr>
                            <w:tcW w:w="2551" w:type="dxa"/>
                            <w:shd w:val="clear" w:color="auto" w:fill="auto"/>
                            <w:vAlign w:val="center"/>
                          </w:tcPr>
                          <w:p w14:paraId="36856E89"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辦理情形</w:t>
                            </w:r>
                          </w:p>
                        </w:tc>
                      </w:tr>
                      <w:tr w:rsidR="00CE57F9" w:rsidRPr="00D15D1C" w14:paraId="242571AF" w14:textId="77777777" w:rsidTr="00DA2751">
                        <w:tc>
                          <w:tcPr>
                            <w:tcW w:w="1668" w:type="dxa"/>
                            <w:shd w:val="clear" w:color="auto" w:fill="auto"/>
                            <w:vAlign w:val="center"/>
                          </w:tcPr>
                          <w:p w14:paraId="49E69869"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教育部國立空中大學</w:t>
                            </w:r>
                          </w:p>
                        </w:tc>
                        <w:tc>
                          <w:tcPr>
                            <w:tcW w:w="1650" w:type="dxa"/>
                            <w:shd w:val="clear" w:color="auto" w:fill="auto"/>
                            <w:vAlign w:val="center"/>
                          </w:tcPr>
                          <w:p w14:paraId="2E71C4C5"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桃園市中壢區平寮段620地號1筆</w:t>
                            </w:r>
                          </w:p>
                        </w:tc>
                        <w:tc>
                          <w:tcPr>
                            <w:tcW w:w="1043" w:type="dxa"/>
                            <w:shd w:val="clear" w:color="auto" w:fill="auto"/>
                            <w:vAlign w:val="center"/>
                          </w:tcPr>
                          <w:p w14:paraId="5D967E20" w14:textId="77777777" w:rsidR="00CE57F9" w:rsidRPr="00D15D1C" w:rsidRDefault="00CE57F9" w:rsidP="00DA2751">
                            <w:pPr>
                              <w:pStyle w:val="a5"/>
                              <w:adjustRightInd w:val="0"/>
                              <w:snapToGrid w:val="0"/>
                              <w:spacing w:line="240" w:lineRule="exact"/>
                              <w:jc w:val="right"/>
                              <w:rPr>
                                <w:rFonts w:hAnsi="標楷體"/>
                                <w:sz w:val="20"/>
                              </w:rPr>
                            </w:pPr>
                            <w:r w:rsidRPr="00D15D1C">
                              <w:rPr>
                                <w:rFonts w:hAnsi="標楷體"/>
                                <w:sz w:val="20"/>
                              </w:rPr>
                              <w:t>3,316</w:t>
                            </w:r>
                          </w:p>
                        </w:tc>
                        <w:tc>
                          <w:tcPr>
                            <w:tcW w:w="1417" w:type="dxa"/>
                            <w:shd w:val="clear" w:color="auto" w:fill="auto"/>
                            <w:vAlign w:val="center"/>
                          </w:tcPr>
                          <w:p w14:paraId="7171732E"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96.03.07</w:t>
                            </w:r>
                          </w:p>
                        </w:tc>
                        <w:tc>
                          <w:tcPr>
                            <w:tcW w:w="1418" w:type="dxa"/>
                            <w:shd w:val="clear" w:color="auto" w:fill="auto"/>
                            <w:vAlign w:val="center"/>
                          </w:tcPr>
                          <w:p w14:paraId="285C9895"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興建桃園學習指導中心建築基地</w:t>
                            </w:r>
                          </w:p>
                        </w:tc>
                        <w:tc>
                          <w:tcPr>
                            <w:tcW w:w="2551" w:type="dxa"/>
                            <w:shd w:val="clear" w:color="auto" w:fill="auto"/>
                            <w:vAlign w:val="center"/>
                          </w:tcPr>
                          <w:p w14:paraId="03566320"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逾核准撥用日期16年，仍未按照原撥用計畫用途辦理開發</w:t>
                            </w:r>
                          </w:p>
                        </w:tc>
                      </w:tr>
                      <w:tr w:rsidR="00CE57F9" w:rsidRPr="00D15D1C" w14:paraId="4ADAE8F2" w14:textId="77777777" w:rsidTr="00DA2751">
                        <w:tc>
                          <w:tcPr>
                            <w:tcW w:w="1668" w:type="dxa"/>
                            <w:shd w:val="clear" w:color="auto" w:fill="auto"/>
                            <w:vAlign w:val="center"/>
                          </w:tcPr>
                          <w:p w14:paraId="4B86FCBF"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法務部臺灣高等檢察署臺中檢察分署及臺灣臺中地方檢察署</w:t>
                            </w:r>
                          </w:p>
                        </w:tc>
                        <w:tc>
                          <w:tcPr>
                            <w:tcW w:w="1650" w:type="dxa"/>
                            <w:shd w:val="clear" w:color="auto" w:fill="auto"/>
                            <w:vAlign w:val="center"/>
                          </w:tcPr>
                          <w:p w14:paraId="149B11BE"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臺中市西區三民七小段3-11地號等3筆</w:t>
                            </w:r>
                          </w:p>
                        </w:tc>
                        <w:tc>
                          <w:tcPr>
                            <w:tcW w:w="1043" w:type="dxa"/>
                            <w:shd w:val="clear" w:color="auto" w:fill="auto"/>
                            <w:vAlign w:val="center"/>
                          </w:tcPr>
                          <w:p w14:paraId="1C045E26" w14:textId="77777777" w:rsidR="00CE57F9" w:rsidRPr="00D15D1C" w:rsidRDefault="00CE57F9" w:rsidP="00DA2751">
                            <w:pPr>
                              <w:pStyle w:val="a5"/>
                              <w:adjustRightInd w:val="0"/>
                              <w:snapToGrid w:val="0"/>
                              <w:spacing w:line="240" w:lineRule="exact"/>
                              <w:jc w:val="right"/>
                              <w:rPr>
                                <w:rFonts w:hAnsi="標楷體"/>
                                <w:sz w:val="20"/>
                              </w:rPr>
                            </w:pPr>
                            <w:r w:rsidRPr="00D15D1C">
                              <w:rPr>
                                <w:rFonts w:hAnsi="標楷體" w:hint="eastAsia"/>
                                <w:sz w:val="20"/>
                              </w:rPr>
                              <w:t>13,273</w:t>
                            </w:r>
                          </w:p>
                        </w:tc>
                        <w:tc>
                          <w:tcPr>
                            <w:tcW w:w="1417" w:type="dxa"/>
                            <w:shd w:val="clear" w:color="auto" w:fill="auto"/>
                            <w:vAlign w:val="center"/>
                          </w:tcPr>
                          <w:p w14:paraId="6E9C8D27"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84.07.25</w:t>
                            </w:r>
                          </w:p>
                        </w:tc>
                        <w:tc>
                          <w:tcPr>
                            <w:tcW w:w="1418" w:type="dxa"/>
                            <w:shd w:val="clear" w:color="auto" w:fill="auto"/>
                            <w:vAlign w:val="center"/>
                          </w:tcPr>
                          <w:p w14:paraId="06DFF799"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擴遷建辦公廳舍建築基地</w:t>
                            </w:r>
                          </w:p>
                        </w:tc>
                        <w:tc>
                          <w:tcPr>
                            <w:tcW w:w="2551" w:type="dxa"/>
                            <w:shd w:val="clear" w:color="auto" w:fill="auto"/>
                            <w:vAlign w:val="center"/>
                          </w:tcPr>
                          <w:p w14:paraId="592A67BF"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逾核准撥用日期28年，仍未按照原撥用計畫用途辦理開發</w:t>
                            </w:r>
                          </w:p>
                        </w:tc>
                      </w:tr>
                      <w:tr w:rsidR="00CE57F9" w:rsidRPr="00D15D1C" w14:paraId="46BB2E1A" w14:textId="77777777" w:rsidTr="00DA2751">
                        <w:tc>
                          <w:tcPr>
                            <w:tcW w:w="1668" w:type="dxa"/>
                            <w:shd w:val="clear" w:color="auto" w:fill="auto"/>
                            <w:vAlign w:val="center"/>
                          </w:tcPr>
                          <w:p w14:paraId="4B276E98"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法務部行政執行署彰化分署</w:t>
                            </w:r>
                          </w:p>
                        </w:tc>
                        <w:tc>
                          <w:tcPr>
                            <w:tcW w:w="1650" w:type="dxa"/>
                            <w:shd w:val="clear" w:color="auto" w:fill="auto"/>
                            <w:vAlign w:val="center"/>
                          </w:tcPr>
                          <w:p w14:paraId="42CA9F86"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彰化縣彰化市大埔段316地號1筆</w:t>
                            </w:r>
                          </w:p>
                        </w:tc>
                        <w:tc>
                          <w:tcPr>
                            <w:tcW w:w="1043" w:type="dxa"/>
                            <w:shd w:val="clear" w:color="auto" w:fill="auto"/>
                            <w:vAlign w:val="center"/>
                          </w:tcPr>
                          <w:p w14:paraId="7256BD81" w14:textId="77777777" w:rsidR="00CE57F9" w:rsidRPr="00D15D1C" w:rsidRDefault="00CE57F9" w:rsidP="00DA2751">
                            <w:pPr>
                              <w:pStyle w:val="a5"/>
                              <w:adjustRightInd w:val="0"/>
                              <w:snapToGrid w:val="0"/>
                              <w:spacing w:line="240" w:lineRule="exact"/>
                              <w:jc w:val="right"/>
                              <w:rPr>
                                <w:rFonts w:hAnsi="標楷體"/>
                                <w:sz w:val="20"/>
                              </w:rPr>
                            </w:pPr>
                            <w:r w:rsidRPr="00D15D1C">
                              <w:rPr>
                                <w:rFonts w:hAnsi="標楷體"/>
                                <w:sz w:val="20"/>
                              </w:rPr>
                              <w:t>2,409</w:t>
                            </w:r>
                          </w:p>
                        </w:tc>
                        <w:tc>
                          <w:tcPr>
                            <w:tcW w:w="1417" w:type="dxa"/>
                            <w:shd w:val="clear" w:color="auto" w:fill="auto"/>
                            <w:vAlign w:val="center"/>
                          </w:tcPr>
                          <w:p w14:paraId="04B0F84D"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98.03.18</w:t>
                            </w:r>
                          </w:p>
                        </w:tc>
                        <w:tc>
                          <w:tcPr>
                            <w:tcW w:w="1418" w:type="dxa"/>
                            <w:shd w:val="clear" w:color="auto" w:fill="auto"/>
                            <w:vAlign w:val="center"/>
                          </w:tcPr>
                          <w:p w14:paraId="14324DF5"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興建辦公廳舍建築基地</w:t>
                            </w:r>
                          </w:p>
                        </w:tc>
                        <w:tc>
                          <w:tcPr>
                            <w:tcW w:w="2551" w:type="dxa"/>
                            <w:shd w:val="clear" w:color="auto" w:fill="auto"/>
                            <w:vAlign w:val="center"/>
                          </w:tcPr>
                          <w:p w14:paraId="68E57B61" w14:textId="77777777" w:rsidR="00CE57F9" w:rsidRPr="00D15D1C" w:rsidRDefault="00CE57F9" w:rsidP="00DA2751">
                            <w:pPr>
                              <w:pStyle w:val="a5"/>
                              <w:adjustRightInd w:val="0"/>
                              <w:snapToGrid w:val="0"/>
                              <w:spacing w:line="240" w:lineRule="exact"/>
                              <w:rPr>
                                <w:rFonts w:hAnsi="標楷體"/>
                                <w:sz w:val="20"/>
                              </w:rPr>
                            </w:pPr>
                            <w:r w:rsidRPr="00D15D1C">
                              <w:rPr>
                                <w:rFonts w:hAnsi="標楷體" w:hint="eastAsia"/>
                                <w:sz w:val="20"/>
                              </w:rPr>
                              <w:t>逾核准撥用日期14年，仍未按照原撥用計畫用途辦理開發，俟另案場址新建廳舍竣工後，始辦理廢止撥用</w:t>
                            </w:r>
                          </w:p>
                        </w:tc>
                      </w:tr>
                    </w:tbl>
                    <w:p w14:paraId="776C3DE8" w14:textId="77777777" w:rsidR="00CE57F9" w:rsidRPr="00D15D1C" w:rsidRDefault="00CE57F9" w:rsidP="00721C5E">
                      <w:pPr>
                        <w:adjustRightInd w:val="0"/>
                        <w:snapToGrid w:val="0"/>
                        <w:spacing w:afterLines="50" w:after="180" w:line="240" w:lineRule="atLeast"/>
                        <w:ind w:leftChars="-20" w:left="-48"/>
                        <w:jc w:val="both"/>
                        <w:rPr>
                          <w:rFonts w:ascii="標楷體" w:eastAsia="標楷體" w:hAnsi="標楷體"/>
                          <w:snapToGrid w:val="0"/>
                          <w:sz w:val="18"/>
                          <w:szCs w:val="18"/>
                        </w:rPr>
                      </w:pPr>
                      <w:r w:rsidRPr="00D15D1C">
                        <w:rPr>
                          <w:rFonts w:ascii="標楷體" w:eastAsia="標楷體" w:hAnsi="標楷體" w:hint="eastAsia"/>
                          <w:snapToGrid w:val="0"/>
                          <w:sz w:val="18"/>
                          <w:szCs w:val="18"/>
                        </w:rPr>
                        <w:t>資料來源：整理自教育部等機關提供資料。</w:t>
                      </w:r>
                    </w:p>
                    <w:p w14:paraId="41D5E862" w14:textId="77777777" w:rsidR="00CE57F9" w:rsidRDefault="00CE57F9"/>
                    <w:p w14:paraId="56322C09" w14:textId="1F8D68AE" w:rsidR="00CE57F9" w:rsidRPr="00D15D1C" w:rsidRDefault="00CE57F9">
                      <w:pPr>
                        <w:pStyle w:val="a5"/>
                        <w:adjustRightInd w:val="0"/>
                        <w:snapToGrid w:val="0"/>
                        <w:spacing w:line="0" w:lineRule="atLeast"/>
                        <w:ind w:firstLine="480"/>
                        <w:jc w:val="center"/>
                        <w:rPr>
                          <w:rFonts w:hAnsi="標楷體"/>
                          <w:b/>
                          <w:snapToGrid w:val="0"/>
                          <w:kern w:val="0"/>
                        </w:rPr>
                      </w:pPr>
                    </w:p>
                    <w:p w14:paraId="5DD034A7" w14:textId="77777777" w:rsidR="00CE57F9" w:rsidRPr="00DA2751" w:rsidRDefault="00CE57F9" w:rsidP="00DA2751">
                      <w:pPr>
                        <w:pStyle w:val="a5"/>
                        <w:adjustRightInd w:val="0"/>
                        <w:snapToGrid w:val="0"/>
                        <w:spacing w:line="0" w:lineRule="atLeast"/>
                        <w:ind w:right="8" w:firstLine="440"/>
                        <w:jc w:val="center"/>
                        <w:rPr>
                          <w:rFonts w:hAnsi="標楷體"/>
                          <w:sz w:val="20"/>
                        </w:rPr>
                      </w:pPr>
                      <w:r w:rsidRPr="00DA2751">
                        <w:rPr>
                          <w:rFonts w:hAnsi="標楷體" w:hint="eastAsia"/>
                          <w:sz w:val="20"/>
                        </w:rPr>
                        <w:t>單位：平方公尺</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668"/>
                        <w:gridCol w:w="1650"/>
                        <w:gridCol w:w="1043"/>
                        <w:gridCol w:w="1417"/>
                        <w:gridCol w:w="1418"/>
                        <w:gridCol w:w="2551"/>
                      </w:tblGrid>
                      <w:tr w:rsidR="00CE57F9" w:rsidRPr="00D15D1C" w14:paraId="0715AB04" w14:textId="77777777" w:rsidTr="00DA2751">
                        <w:trPr>
                          <w:trHeight w:val="523"/>
                        </w:trPr>
                        <w:tc>
                          <w:tcPr>
                            <w:tcW w:w="1668" w:type="dxa"/>
                            <w:shd w:val="clear" w:color="auto" w:fill="auto"/>
                          </w:tcPr>
                          <w:p w14:paraId="1780CD47"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管理機關</w:t>
                            </w:r>
                          </w:p>
                        </w:tc>
                        <w:tc>
                          <w:tcPr>
                            <w:tcW w:w="1650" w:type="dxa"/>
                            <w:shd w:val="clear" w:color="auto" w:fill="auto"/>
                          </w:tcPr>
                          <w:p w14:paraId="434FD1C4"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撥用土地位置</w:t>
                            </w:r>
                          </w:p>
                        </w:tc>
                        <w:tc>
                          <w:tcPr>
                            <w:tcW w:w="1043" w:type="dxa"/>
                            <w:shd w:val="clear" w:color="auto" w:fill="auto"/>
                          </w:tcPr>
                          <w:p w14:paraId="682F3626"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撥用面積</w:t>
                            </w:r>
                          </w:p>
                        </w:tc>
                        <w:tc>
                          <w:tcPr>
                            <w:tcW w:w="1417" w:type="dxa"/>
                            <w:shd w:val="clear" w:color="auto" w:fill="auto"/>
                          </w:tcPr>
                          <w:p w14:paraId="763D49DC"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核准撥用日期</w:t>
                            </w:r>
                          </w:p>
                        </w:tc>
                        <w:tc>
                          <w:tcPr>
                            <w:tcW w:w="1418" w:type="dxa"/>
                            <w:shd w:val="clear" w:color="auto" w:fill="auto"/>
                          </w:tcPr>
                          <w:p w14:paraId="28477901"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撥用內容</w:t>
                            </w:r>
                          </w:p>
                        </w:tc>
                        <w:tc>
                          <w:tcPr>
                            <w:tcW w:w="2551" w:type="dxa"/>
                            <w:shd w:val="clear" w:color="auto" w:fill="auto"/>
                          </w:tcPr>
                          <w:p w14:paraId="58F9ED69" w14:textId="77777777" w:rsidR="00CE57F9" w:rsidRPr="00D15D1C" w:rsidRDefault="00CE57F9" w:rsidP="00DA2751">
                            <w:pPr>
                              <w:pStyle w:val="a5"/>
                              <w:snapToGrid w:val="0"/>
                              <w:spacing w:line="240" w:lineRule="exact"/>
                              <w:jc w:val="center"/>
                              <w:rPr>
                                <w:rFonts w:hAnsi="標楷體"/>
                                <w:sz w:val="20"/>
                              </w:rPr>
                            </w:pPr>
                            <w:r w:rsidRPr="00D15D1C">
                              <w:rPr>
                                <w:rFonts w:hAnsi="標楷體" w:hint="eastAsia"/>
                                <w:sz w:val="20"/>
                              </w:rPr>
                              <w:t>辦理情形</w:t>
                            </w:r>
                          </w:p>
                        </w:tc>
                      </w:tr>
                      <w:tr w:rsidR="00CE57F9" w:rsidRPr="00D15D1C" w14:paraId="6F787F27" w14:textId="77777777" w:rsidTr="00DA2751">
                        <w:tc>
                          <w:tcPr>
                            <w:tcW w:w="1668" w:type="dxa"/>
                            <w:shd w:val="clear" w:color="auto" w:fill="auto"/>
                            <w:vAlign w:val="center"/>
                          </w:tcPr>
                          <w:p w14:paraId="654E7212"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教育部國立空中大學</w:t>
                            </w:r>
                          </w:p>
                        </w:tc>
                        <w:tc>
                          <w:tcPr>
                            <w:tcW w:w="1650" w:type="dxa"/>
                            <w:shd w:val="clear" w:color="auto" w:fill="auto"/>
                            <w:vAlign w:val="center"/>
                          </w:tcPr>
                          <w:p w14:paraId="0D7B1088"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桃園市中壢區平寮段620地號1筆</w:t>
                            </w:r>
                          </w:p>
                        </w:tc>
                        <w:tc>
                          <w:tcPr>
                            <w:tcW w:w="1043" w:type="dxa"/>
                            <w:shd w:val="clear" w:color="auto" w:fill="auto"/>
                            <w:vAlign w:val="center"/>
                          </w:tcPr>
                          <w:p w14:paraId="4535EBC7"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sz w:val="20"/>
                              </w:rPr>
                              <w:t>3,316</w:t>
                            </w:r>
                          </w:p>
                        </w:tc>
                        <w:tc>
                          <w:tcPr>
                            <w:tcW w:w="1417" w:type="dxa"/>
                            <w:shd w:val="clear" w:color="auto" w:fill="auto"/>
                            <w:vAlign w:val="center"/>
                          </w:tcPr>
                          <w:p w14:paraId="40A2F7E0"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96.03.07</w:t>
                            </w:r>
                          </w:p>
                        </w:tc>
                        <w:tc>
                          <w:tcPr>
                            <w:tcW w:w="1418" w:type="dxa"/>
                            <w:shd w:val="clear" w:color="auto" w:fill="auto"/>
                            <w:vAlign w:val="center"/>
                          </w:tcPr>
                          <w:p w14:paraId="470C2A43"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興建桃園學習指導中心建築基地</w:t>
                            </w:r>
                          </w:p>
                        </w:tc>
                        <w:tc>
                          <w:tcPr>
                            <w:tcW w:w="2551" w:type="dxa"/>
                            <w:shd w:val="clear" w:color="auto" w:fill="auto"/>
                            <w:vAlign w:val="center"/>
                          </w:tcPr>
                          <w:p w14:paraId="38BE16AB"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逾核准撥用日期16年，仍未按照原撥用計畫用途辦理開發</w:t>
                            </w:r>
                          </w:p>
                        </w:tc>
                      </w:tr>
                      <w:tr w:rsidR="00CE57F9" w:rsidRPr="00D15D1C" w14:paraId="4D773454" w14:textId="77777777" w:rsidTr="00DA2751">
                        <w:tc>
                          <w:tcPr>
                            <w:tcW w:w="1668" w:type="dxa"/>
                            <w:shd w:val="clear" w:color="auto" w:fill="auto"/>
                            <w:vAlign w:val="center"/>
                          </w:tcPr>
                          <w:p w14:paraId="7CB2DD9F"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法務部臺灣高等檢察署臺中檢察分署及臺灣臺中地方檢察署</w:t>
                            </w:r>
                          </w:p>
                        </w:tc>
                        <w:tc>
                          <w:tcPr>
                            <w:tcW w:w="1650" w:type="dxa"/>
                            <w:shd w:val="clear" w:color="auto" w:fill="auto"/>
                            <w:vAlign w:val="center"/>
                          </w:tcPr>
                          <w:p w14:paraId="74ED10AC"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臺中市西區三民七小段3-11地號等3筆</w:t>
                            </w:r>
                          </w:p>
                        </w:tc>
                        <w:tc>
                          <w:tcPr>
                            <w:tcW w:w="1043" w:type="dxa"/>
                            <w:shd w:val="clear" w:color="auto" w:fill="auto"/>
                            <w:vAlign w:val="center"/>
                          </w:tcPr>
                          <w:p w14:paraId="45A596B0"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13,273</w:t>
                            </w:r>
                          </w:p>
                        </w:tc>
                        <w:tc>
                          <w:tcPr>
                            <w:tcW w:w="1417" w:type="dxa"/>
                            <w:shd w:val="clear" w:color="auto" w:fill="auto"/>
                            <w:vAlign w:val="center"/>
                          </w:tcPr>
                          <w:p w14:paraId="7C92AFAE"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84.07.25</w:t>
                            </w:r>
                          </w:p>
                        </w:tc>
                        <w:tc>
                          <w:tcPr>
                            <w:tcW w:w="1418" w:type="dxa"/>
                            <w:shd w:val="clear" w:color="auto" w:fill="auto"/>
                            <w:vAlign w:val="center"/>
                          </w:tcPr>
                          <w:p w14:paraId="226AACEF"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擴遷建辦公廳舍建築基地</w:t>
                            </w:r>
                          </w:p>
                        </w:tc>
                        <w:tc>
                          <w:tcPr>
                            <w:tcW w:w="2551" w:type="dxa"/>
                            <w:shd w:val="clear" w:color="auto" w:fill="auto"/>
                            <w:vAlign w:val="center"/>
                          </w:tcPr>
                          <w:p w14:paraId="71791713"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逾核准撥用日期28年，仍未按照原撥用計畫用途辦理開發</w:t>
                            </w:r>
                          </w:p>
                        </w:tc>
                      </w:tr>
                      <w:tr w:rsidR="00CE57F9" w:rsidRPr="00D15D1C" w14:paraId="42E5FE70" w14:textId="77777777" w:rsidTr="00DA2751">
                        <w:tc>
                          <w:tcPr>
                            <w:tcW w:w="1668" w:type="dxa"/>
                            <w:shd w:val="clear" w:color="auto" w:fill="auto"/>
                            <w:vAlign w:val="center"/>
                          </w:tcPr>
                          <w:p w14:paraId="711F613D"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法務部行政執行署彰化分署</w:t>
                            </w:r>
                          </w:p>
                        </w:tc>
                        <w:tc>
                          <w:tcPr>
                            <w:tcW w:w="1650" w:type="dxa"/>
                            <w:shd w:val="clear" w:color="auto" w:fill="auto"/>
                            <w:vAlign w:val="center"/>
                          </w:tcPr>
                          <w:p w14:paraId="5BE2627C"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彰化縣彰化市大埔段316地號1筆</w:t>
                            </w:r>
                          </w:p>
                        </w:tc>
                        <w:tc>
                          <w:tcPr>
                            <w:tcW w:w="1043" w:type="dxa"/>
                            <w:shd w:val="clear" w:color="auto" w:fill="auto"/>
                            <w:vAlign w:val="center"/>
                          </w:tcPr>
                          <w:p w14:paraId="16E91CAB"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sz w:val="20"/>
                              </w:rPr>
                              <w:t>2,409</w:t>
                            </w:r>
                          </w:p>
                        </w:tc>
                        <w:tc>
                          <w:tcPr>
                            <w:tcW w:w="1417" w:type="dxa"/>
                            <w:shd w:val="clear" w:color="auto" w:fill="auto"/>
                            <w:vAlign w:val="center"/>
                          </w:tcPr>
                          <w:p w14:paraId="07FD9C00"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98.03.18</w:t>
                            </w:r>
                          </w:p>
                        </w:tc>
                        <w:tc>
                          <w:tcPr>
                            <w:tcW w:w="1418" w:type="dxa"/>
                            <w:shd w:val="clear" w:color="auto" w:fill="auto"/>
                            <w:vAlign w:val="center"/>
                          </w:tcPr>
                          <w:p w14:paraId="2756513E"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興建辦公廳舍建築基地</w:t>
                            </w:r>
                          </w:p>
                        </w:tc>
                        <w:tc>
                          <w:tcPr>
                            <w:tcW w:w="2551" w:type="dxa"/>
                            <w:shd w:val="clear" w:color="auto" w:fill="auto"/>
                            <w:vAlign w:val="center"/>
                          </w:tcPr>
                          <w:p w14:paraId="35777591" w14:textId="77777777" w:rsidR="00CE57F9" w:rsidRPr="00D15D1C" w:rsidRDefault="00CE57F9" w:rsidP="00DA2751">
                            <w:pPr>
                              <w:pStyle w:val="a5"/>
                              <w:adjustRightInd w:val="0"/>
                              <w:snapToGrid w:val="0"/>
                              <w:spacing w:line="240" w:lineRule="exact"/>
                              <w:jc w:val="center"/>
                              <w:rPr>
                                <w:rFonts w:hAnsi="標楷體"/>
                                <w:sz w:val="20"/>
                              </w:rPr>
                            </w:pPr>
                            <w:r w:rsidRPr="00D15D1C">
                              <w:rPr>
                                <w:rFonts w:hAnsi="標楷體" w:hint="eastAsia"/>
                                <w:sz w:val="20"/>
                              </w:rPr>
                              <w:t>逾核准撥用日期14年，仍未按照原撥用計畫用途辦理開發，俟另案場址新建廳舍竣工後，始辦理廢止撥用</w:t>
                            </w:r>
                          </w:p>
                        </w:tc>
                      </w:tr>
                    </w:tbl>
                    <w:p w14:paraId="4A0532B5" w14:textId="77777777" w:rsidR="00CE57F9" w:rsidRPr="00D15D1C" w:rsidRDefault="00CE57F9" w:rsidP="00DA2751">
                      <w:pPr>
                        <w:adjustRightInd w:val="0"/>
                        <w:snapToGrid w:val="0"/>
                        <w:spacing w:afterLines="50" w:after="180" w:line="240" w:lineRule="atLeast"/>
                        <w:ind w:leftChars="-59" w:left="-14" w:hangingChars="71" w:hanging="128"/>
                        <w:jc w:val="center"/>
                        <w:rPr>
                          <w:rFonts w:ascii="標楷體" w:eastAsia="標楷體" w:hAnsi="標楷體"/>
                          <w:snapToGrid w:val="0"/>
                          <w:sz w:val="18"/>
                          <w:szCs w:val="18"/>
                        </w:rPr>
                      </w:pPr>
                      <w:r w:rsidRPr="00D15D1C">
                        <w:rPr>
                          <w:rFonts w:ascii="標楷體" w:eastAsia="標楷體" w:hAnsi="標楷體" w:hint="eastAsia"/>
                          <w:snapToGrid w:val="0"/>
                          <w:sz w:val="18"/>
                          <w:szCs w:val="18"/>
                        </w:rPr>
                        <w:t>資料來源：整理自教育部等機關提供資料。</w:t>
                      </w:r>
                    </w:p>
                  </w:txbxContent>
                </v:textbox>
                <w10:wrap type="square"/>
              </v:shape>
            </w:pict>
          </mc:Fallback>
        </mc:AlternateContent>
      </w:r>
      <w:r w:rsidR="009A54FE" w:rsidRPr="009D11AD">
        <w:rPr>
          <w:rFonts w:ascii="標楷體" w:eastAsia="標楷體" w:hAnsi="標楷體" w:hint="eastAsia"/>
          <w:szCs w:val="24"/>
        </w:rPr>
        <w:t>依國有財產法第39條規定：「非公用財產經撥為公用後，遇有下列情事之一者，應由財政部查明隨時收回，交財政部國有財產局接管。……：一、用途廢止時。二、變更原定用途時。三、於原定用途外，擅供收益使用時。四、擅自讓由他人使用時。五、建地空置逾一年，尚未開始建築時。」國有不動產撥用要點第13點第1項規定：「撥用機關撥用國有不動產後有國產法第39條規定情事者，應申辦廢止撥用。……。」</w:t>
      </w:r>
      <w:r w:rsidR="00D27D77" w:rsidRPr="00346BDD">
        <w:rPr>
          <w:rFonts w:ascii="標楷體" w:eastAsia="標楷體" w:hAnsi="標楷體" w:hint="eastAsia"/>
          <w:szCs w:val="24"/>
        </w:rPr>
        <w:t>經查行政院所屬機關獲准撥用大面積國有土地且經管多年情形，核有：教育部國立空中大學經管桃園市中壢區平寮段</w:t>
      </w:r>
      <w:r w:rsidR="00D27D77" w:rsidRPr="00346BDD">
        <w:rPr>
          <w:rFonts w:ascii="標楷體" w:eastAsia="標楷體" w:hAnsi="標楷體"/>
          <w:szCs w:val="24"/>
        </w:rPr>
        <w:t>620地號1筆土地（面積約3,316平方公尺，撥用用途係作為興建桃園學習指導中心建築基地），</w:t>
      </w:r>
      <w:r w:rsidR="007A75D8" w:rsidRPr="00346BDD">
        <w:rPr>
          <w:rFonts w:ascii="標楷體" w:eastAsia="標楷體" w:hAnsi="標楷體" w:hint="eastAsia"/>
          <w:szCs w:val="24"/>
        </w:rPr>
        <w:t>暨</w:t>
      </w:r>
      <w:r w:rsidR="00D27D77" w:rsidRPr="00346BDD">
        <w:rPr>
          <w:rFonts w:ascii="標楷體" w:eastAsia="標楷體" w:hAnsi="標楷體"/>
          <w:szCs w:val="24"/>
        </w:rPr>
        <w:t>法務部臺灣高等檢察署臺中檢察分署及臺灣臺中地方檢察署經管貴和街大型洽公停車場（坐落臺中市西區三民七小段3-11地號等3筆土地，面積約1萬3,273平方公尺，撥用用途係作為該2機關擴遷建辦公廳舍建築基地），分別撥用已長達16</w:t>
      </w:r>
      <w:r w:rsidR="00E8578E" w:rsidRPr="00346BDD">
        <w:rPr>
          <w:rFonts w:ascii="標楷體" w:eastAsia="標楷體" w:hAnsi="標楷體" w:hint="eastAsia"/>
          <w:szCs w:val="24"/>
        </w:rPr>
        <w:t>年</w:t>
      </w:r>
      <w:r w:rsidR="00D27D77" w:rsidRPr="00346BDD">
        <w:rPr>
          <w:rFonts w:ascii="標楷體" w:eastAsia="標楷體" w:hAnsi="標楷體"/>
          <w:szCs w:val="24"/>
        </w:rPr>
        <w:t>及20年，仍未按照原撥用計畫用途辦理開發，而係長年將撥用場址作為民眾停車使用；復因未妥善管理，以致長</w:t>
      </w:r>
      <w:r w:rsidR="00D27D77" w:rsidRPr="00346BDD">
        <w:rPr>
          <w:rFonts w:ascii="標楷體" w:eastAsia="標楷體" w:hAnsi="標楷體" w:hint="eastAsia"/>
          <w:szCs w:val="24"/>
        </w:rPr>
        <w:t>期遭民眾違規占用停放，甚至出現多輛無牌及廢棄汽車或大型垃圾任意棄置之情形；法務部行政執行署彰化分署經管彰化縣彰化市大埔段</w:t>
      </w:r>
      <w:r w:rsidR="00D27D77" w:rsidRPr="00346BDD">
        <w:rPr>
          <w:rFonts w:ascii="標楷體" w:eastAsia="標楷體" w:hAnsi="標楷體"/>
          <w:szCs w:val="24"/>
        </w:rPr>
        <w:t>316地號土地（面積約2,409平方公尺，撥用用途係作為彰化分署新建辦公廳舍建築基地），原為委外民營收費停車場，自98年3月撥用後，彰化分署復於另案場址興建辦公廳舍，又預計另案場址新建廳舍竣工後，始辦理廢止撥用；於此期間，該分署將原場址轉作為未收費</w:t>
      </w:r>
      <w:r w:rsidR="00D27D77" w:rsidRPr="00EF0729">
        <w:rPr>
          <w:rFonts w:ascii="標楷體" w:eastAsia="標楷體" w:hAnsi="標楷體"/>
          <w:szCs w:val="24"/>
        </w:rPr>
        <w:t>停車場使用，亦未建立管理機制（</w:t>
      </w:r>
      <w:r w:rsidR="00D27D77" w:rsidRPr="00EF0729">
        <w:rPr>
          <w:rFonts w:ascii="標楷體" w:eastAsia="標楷體" w:hAnsi="標楷體" w:hint="eastAsia"/>
          <w:szCs w:val="24"/>
        </w:rPr>
        <w:t>表</w:t>
      </w:r>
      <w:r w:rsidR="00D27D77" w:rsidRPr="00EF0729">
        <w:rPr>
          <w:rFonts w:ascii="標楷體" w:eastAsia="標楷體" w:hAnsi="標楷體"/>
          <w:szCs w:val="24"/>
        </w:rPr>
        <w:t>14</w:t>
      </w:r>
      <w:r w:rsidR="00A82974" w:rsidRPr="00EF0729">
        <w:rPr>
          <w:rFonts w:ascii="標楷體" w:eastAsia="標楷體" w:hAnsi="標楷體" w:hint="eastAsia"/>
          <w:szCs w:val="24"/>
        </w:rPr>
        <w:t>），</w:t>
      </w:r>
      <w:r w:rsidR="00D27D77" w:rsidRPr="00EF0729">
        <w:rPr>
          <w:rFonts w:ascii="標楷體" w:eastAsia="標楷體" w:hAnsi="標楷體" w:hint="eastAsia"/>
          <w:szCs w:val="24"/>
        </w:rPr>
        <w:t>經函請行政院督促檢討改善，據復：財政部已通函各</w:t>
      </w:r>
      <w:r w:rsidR="00D27D77" w:rsidRPr="00346BDD">
        <w:rPr>
          <w:rFonts w:ascii="標楷體" w:eastAsia="標楷體" w:hAnsi="標楷體" w:hint="eastAsia"/>
          <w:szCs w:val="24"/>
        </w:rPr>
        <w:lastRenderedPageBreak/>
        <w:t>級政府本主管機關權責，確實督導所屬全面清查經管國有公用不動產，用途廢止應申請變更為非公用財產或廢止撥用，並限期辦理及予以列管；管理機關應覈實辦理財產自我書面檢核，主管機關確實複核及辦理實地訪查，發現缺失，</w:t>
      </w:r>
      <w:r w:rsidR="00192078" w:rsidRPr="00346BDD">
        <w:rPr>
          <w:rFonts w:ascii="標楷體" w:eastAsia="標楷體" w:hAnsi="標楷體" w:hint="eastAsia"/>
          <w:szCs w:val="24"/>
        </w:rPr>
        <w:t>及</w:t>
      </w:r>
      <w:r w:rsidR="00D27D77" w:rsidRPr="00346BDD">
        <w:rPr>
          <w:rFonts w:ascii="標楷體" w:eastAsia="標楷體" w:hAnsi="標楷體" w:hint="eastAsia"/>
          <w:szCs w:val="24"/>
        </w:rPr>
        <w:t>時督導改正，以維護國產權益</w:t>
      </w:r>
      <w:r w:rsidR="009A54FE" w:rsidRPr="00346BDD">
        <w:rPr>
          <w:rFonts w:ascii="標楷體" w:eastAsia="標楷體" w:hAnsi="標楷體" w:hint="eastAsia"/>
          <w:szCs w:val="24"/>
        </w:rPr>
        <w:t>。</w:t>
      </w:r>
    </w:p>
    <w:p w14:paraId="2A67C4E9" w14:textId="3EBCA283" w:rsidR="00A33733" w:rsidRPr="009D11AD" w:rsidRDefault="005C3916" w:rsidP="00DA2751">
      <w:pPr>
        <w:overflowPunct w:val="0"/>
        <w:snapToGrid w:val="0"/>
        <w:spacing w:beforeLines="20" w:before="72" w:afterLines="20" w:after="72" w:line="460" w:lineRule="exact"/>
        <w:ind w:firstLineChars="200" w:firstLine="561"/>
        <w:jc w:val="both"/>
        <w:rPr>
          <w:rFonts w:ascii="標楷體" w:eastAsia="標楷體" w:hAnsi="標楷體"/>
          <w:szCs w:val="24"/>
        </w:rPr>
      </w:pPr>
      <w:r w:rsidRPr="009D11AD">
        <w:rPr>
          <w:rFonts w:ascii="標楷體" w:eastAsia="標楷體" w:hAnsi="標楷體" w:hint="eastAsia"/>
          <w:b/>
          <w:color w:val="000000" w:themeColor="text1"/>
          <w:sz w:val="28"/>
          <w:szCs w:val="28"/>
        </w:rPr>
        <w:t>（十七</w:t>
      </w:r>
      <w:r w:rsidR="00A75DAE" w:rsidRPr="009D11AD">
        <w:rPr>
          <w:rFonts w:ascii="標楷體" w:eastAsia="標楷體" w:hAnsi="標楷體" w:hint="eastAsia"/>
          <w:b/>
          <w:color w:val="000000" w:themeColor="text1"/>
          <w:sz w:val="28"/>
          <w:szCs w:val="28"/>
        </w:rPr>
        <w:t>）　政府推動營建剩餘土石方及營建事業廢棄物管理與再利用，有助減少天然砂石開採，促進營建資源循環，惟土石方與廢棄物認定標準未臻明確，產源至最終使用欠缺全程流向管理，去化管道受限或遭排擠，致棄置事件頻傳，亟待協調相關部會，完備管控及去化機制，促進資源有效利用。</w:t>
      </w:r>
    </w:p>
    <w:p w14:paraId="0EF7FF1B" w14:textId="2453A063" w:rsidR="006D103B" w:rsidRPr="009D11AD" w:rsidRDefault="004B39A0" w:rsidP="00DA2751">
      <w:pPr>
        <w:overflowPunct w:val="0"/>
        <w:snapToGrid w:val="0"/>
        <w:spacing w:afterLines="50" w:after="180" w:line="460" w:lineRule="exact"/>
        <w:ind w:firstLineChars="200" w:firstLine="480"/>
        <w:jc w:val="both"/>
        <w:textDirection w:val="lrTbV"/>
        <w:rPr>
          <w:rFonts w:ascii="標楷體" w:eastAsia="標楷體" w:hAnsi="標楷體"/>
          <w:szCs w:val="24"/>
        </w:rPr>
      </w:pPr>
      <w:r w:rsidRPr="009D11AD">
        <w:rPr>
          <w:rFonts w:ascii="標楷體" w:eastAsia="標楷體" w:hAnsi="標楷體" w:hint="eastAsia"/>
          <w:b/>
          <w:noProof/>
          <w:kern w:val="0"/>
          <w:szCs w:val="32"/>
        </w:rPr>
        <mc:AlternateContent>
          <mc:Choice Requires="wpg">
            <w:drawing>
              <wp:anchor distT="0" distB="0" distL="114300" distR="114300" simplePos="0" relativeHeight="251662848" behindDoc="0" locked="0" layoutInCell="1" allowOverlap="1" wp14:anchorId="38207B08" wp14:editId="1310ED7E">
                <wp:simplePos x="0" y="0"/>
                <wp:positionH relativeFrom="margin">
                  <wp:posOffset>50965</wp:posOffset>
                </wp:positionH>
                <wp:positionV relativeFrom="paragraph">
                  <wp:posOffset>1614080</wp:posOffset>
                </wp:positionV>
                <wp:extent cx="6176010" cy="2758440"/>
                <wp:effectExtent l="19050" t="0" r="15240" b="3810"/>
                <wp:wrapSquare wrapText="bothSides"/>
                <wp:docPr id="253" name="群組 253"/>
                <wp:cNvGraphicFramePr/>
                <a:graphic xmlns:a="http://schemas.openxmlformats.org/drawingml/2006/main">
                  <a:graphicData uri="http://schemas.microsoft.com/office/word/2010/wordprocessingGroup">
                    <wpg:wgp>
                      <wpg:cNvGrpSpPr/>
                      <wpg:grpSpPr>
                        <a:xfrm>
                          <a:off x="0" y="0"/>
                          <a:ext cx="6176010" cy="2758440"/>
                          <a:chOff x="0" y="0"/>
                          <a:chExt cx="5508625" cy="2758440"/>
                        </a:xfrm>
                      </wpg:grpSpPr>
                      <wpg:grpSp>
                        <wpg:cNvPr id="254" name="群組 254"/>
                        <wpg:cNvGrpSpPr>
                          <a:grpSpLocks/>
                        </wpg:cNvGrpSpPr>
                        <wpg:grpSpPr bwMode="auto">
                          <a:xfrm>
                            <a:off x="0" y="365760"/>
                            <a:ext cx="5508625" cy="2172335"/>
                            <a:chOff x="0" y="-45701"/>
                            <a:chExt cx="6379210" cy="2714536"/>
                          </a:xfrm>
                        </wpg:grpSpPr>
                        <wps:wsp>
                          <wps:cNvPr id="255" name="直線接點 97"/>
                          <wps:cNvCnPr>
                            <a:cxnSpLocks noChangeShapeType="1"/>
                          </wps:cNvCnPr>
                          <wps:spPr bwMode="auto">
                            <a:xfrm>
                              <a:off x="3131220" y="1133475"/>
                              <a:ext cx="0" cy="90170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56" name="直線接點 101"/>
                          <wps:cNvCnPr>
                            <a:cxnSpLocks noChangeShapeType="1"/>
                          </wps:cNvCnPr>
                          <wps:spPr bwMode="auto">
                            <a:xfrm>
                              <a:off x="3014415" y="1914525"/>
                              <a:ext cx="66040" cy="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57" name="直線接點 102"/>
                          <wps:cNvCnPr>
                            <a:cxnSpLocks noChangeShapeType="1"/>
                          </wps:cNvCnPr>
                          <wps:spPr bwMode="auto">
                            <a:xfrm>
                              <a:off x="3012405" y="1209675"/>
                              <a:ext cx="66040" cy="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58" name="直線接點 103"/>
                          <wps:cNvCnPr>
                            <a:cxnSpLocks noChangeShapeType="1"/>
                          </wps:cNvCnPr>
                          <wps:spPr bwMode="auto">
                            <a:xfrm>
                              <a:off x="3076575" y="1543050"/>
                              <a:ext cx="54000" cy="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59" name="直線接點 107"/>
                          <wps:cNvCnPr>
                            <a:cxnSpLocks noChangeShapeType="1"/>
                          </wps:cNvCnPr>
                          <wps:spPr bwMode="auto">
                            <a:xfrm>
                              <a:off x="1949625" y="1562100"/>
                              <a:ext cx="82800" cy="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0" name="直線接點 113"/>
                          <wps:cNvCnPr>
                            <a:cxnSpLocks noChangeShapeType="1"/>
                          </wps:cNvCnPr>
                          <wps:spPr bwMode="auto">
                            <a:xfrm>
                              <a:off x="762000" y="923925"/>
                              <a:ext cx="115200"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g:grpSp>
                          <wpg:cNvPr id="261" name="群組 37"/>
                          <wpg:cNvGrpSpPr>
                            <a:grpSpLocks/>
                          </wpg:cNvGrpSpPr>
                          <wpg:grpSpPr bwMode="auto">
                            <a:xfrm>
                              <a:off x="0" y="714375"/>
                              <a:ext cx="760730" cy="429895"/>
                              <a:chOff x="0" y="0"/>
                              <a:chExt cx="760781" cy="429895"/>
                            </a:xfrm>
                          </wpg:grpSpPr>
                          <wps:wsp>
                            <wps:cNvPr id="262" name="AutoShape 577"/>
                            <wps:cNvSpPr>
                              <a:spLocks noChangeArrowheads="1"/>
                            </wps:cNvSpPr>
                            <wps:spPr bwMode="auto">
                              <a:xfrm>
                                <a:off x="0" y="0"/>
                                <a:ext cx="760781" cy="429895"/>
                              </a:xfrm>
                              <a:prstGeom prst="flowChartPreparation">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263" name="文字方塊 2"/>
                            <wps:cNvSpPr txBox="1">
                              <a:spLocks noChangeArrowheads="1"/>
                            </wps:cNvSpPr>
                            <wps:spPr bwMode="auto">
                              <a:xfrm>
                                <a:off x="51207" y="109728"/>
                                <a:ext cx="643331" cy="236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4BB8ED" w14:textId="77777777" w:rsidR="00CE57F9" w:rsidRPr="006D103B" w:rsidRDefault="00CE57F9" w:rsidP="004B39A0">
                                  <w:pPr>
                                    <w:adjustRightInd w:val="0"/>
                                    <w:snapToGrid w:val="0"/>
                                    <w:jc w:val="center"/>
                                    <w:rPr>
                                      <w:rFonts w:ascii="標楷體" w:eastAsia="標楷體" w:hAnsi="標楷體"/>
                                      <w:b/>
                                      <w:sz w:val="20"/>
                                    </w:rPr>
                                  </w:pPr>
                                  <w:r w:rsidRPr="006D103B">
                                    <w:rPr>
                                      <w:rFonts w:ascii="標楷體" w:eastAsia="標楷體" w:hAnsi="標楷體" w:hint="eastAsia"/>
                                      <w:b/>
                                      <w:sz w:val="20"/>
                                    </w:rPr>
                                    <w:t>營建工程</w:t>
                                  </w:r>
                                </w:p>
                              </w:txbxContent>
                            </wps:txbx>
                            <wps:bodyPr rot="0" vert="horz" wrap="square" lIns="0" tIns="0" rIns="0" bIns="0" anchor="t" anchorCtr="0" upright="1">
                              <a:noAutofit/>
                            </wps:bodyPr>
                          </wps:wsp>
                        </wpg:grpSp>
                        <wpg:grpSp>
                          <wpg:cNvPr id="264" name="群組 40"/>
                          <wpg:cNvGrpSpPr>
                            <a:grpSpLocks/>
                          </wpg:cNvGrpSpPr>
                          <wpg:grpSpPr bwMode="auto">
                            <a:xfrm>
                              <a:off x="962025" y="76200"/>
                              <a:ext cx="972820" cy="541020"/>
                              <a:chOff x="0" y="0"/>
                              <a:chExt cx="972922" cy="541325"/>
                            </a:xfrm>
                          </wpg:grpSpPr>
                          <wps:wsp>
                            <wps:cNvPr id="265" name="橢圓 39"/>
                            <wps:cNvSpPr>
                              <a:spLocks noChangeArrowheads="1"/>
                            </wps:cNvSpPr>
                            <wps:spPr bwMode="auto">
                              <a:xfrm>
                                <a:off x="0" y="0"/>
                                <a:ext cx="972922" cy="541325"/>
                              </a:xfrm>
                              <a:prstGeom prst="ellipse">
                                <a:avLst/>
                              </a:prstGeom>
                              <a:solidFill>
                                <a:schemeClr val="bg1">
                                  <a:lumMod val="95000"/>
                                </a:schemeClr>
                              </a:solidFill>
                              <a:ln w="12700" algn="ctr">
                                <a:solidFill>
                                  <a:srgbClr val="000000"/>
                                </a:solidFill>
                                <a:miter lim="800000"/>
                                <a:headEnd/>
                                <a:tailEnd/>
                              </a:ln>
                            </wps:spPr>
                            <wps:bodyPr rot="0" vert="horz" wrap="square" lIns="91440" tIns="45720" rIns="91440" bIns="45720" anchor="ctr" anchorCtr="0" upright="1">
                              <a:noAutofit/>
                            </wps:bodyPr>
                          </wps:wsp>
                          <wps:wsp>
                            <wps:cNvPr id="266" name="文字方塊 2"/>
                            <wps:cNvSpPr txBox="1">
                              <a:spLocks noChangeArrowheads="1"/>
                            </wps:cNvSpPr>
                            <wps:spPr bwMode="auto">
                              <a:xfrm>
                                <a:off x="58522" y="29261"/>
                                <a:ext cx="856920" cy="3950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024A77" w14:textId="77777777" w:rsidR="00CE57F9" w:rsidRPr="006D103B" w:rsidRDefault="00CE57F9" w:rsidP="004B39A0">
                                  <w:pPr>
                                    <w:adjustRightInd w:val="0"/>
                                    <w:snapToGrid w:val="0"/>
                                    <w:jc w:val="center"/>
                                    <w:rPr>
                                      <w:rFonts w:ascii="標楷體" w:eastAsia="標楷體" w:hAnsi="標楷體"/>
                                      <w:b/>
                                      <w:sz w:val="20"/>
                                    </w:rPr>
                                  </w:pPr>
                                  <w:r w:rsidRPr="006D103B">
                                    <w:rPr>
                                      <w:rFonts w:ascii="標楷體" w:eastAsia="標楷體" w:hAnsi="標楷體" w:hint="eastAsia"/>
                                      <w:b/>
                                      <w:sz w:val="20"/>
                                    </w:rPr>
                                    <w:t>營建</w:t>
                                  </w:r>
                                  <w:r w:rsidRPr="006D103B">
                                    <w:rPr>
                                      <w:rFonts w:ascii="標楷體" w:eastAsia="標楷體" w:hAnsi="標楷體"/>
                                      <w:b/>
                                      <w:sz w:val="20"/>
                                    </w:rPr>
                                    <w:br/>
                                  </w:r>
                                  <w:r w:rsidRPr="006D103B">
                                    <w:rPr>
                                      <w:rFonts w:ascii="標楷體" w:eastAsia="標楷體" w:hAnsi="標楷體" w:hint="eastAsia"/>
                                      <w:b/>
                                      <w:sz w:val="20"/>
                                    </w:rPr>
                                    <w:t>剩餘土石方</w:t>
                                  </w:r>
                                </w:p>
                              </w:txbxContent>
                            </wps:txbx>
                            <wps:bodyPr rot="0" vert="horz" wrap="square" lIns="0" tIns="0" rIns="0" bIns="0" anchor="t" anchorCtr="0" upright="1">
                              <a:noAutofit/>
                            </wps:bodyPr>
                          </wps:wsp>
                        </wpg:grpSp>
                        <wpg:grpSp>
                          <wpg:cNvPr id="267" name="群組 41"/>
                          <wpg:cNvGrpSpPr>
                            <a:grpSpLocks/>
                          </wpg:cNvGrpSpPr>
                          <wpg:grpSpPr bwMode="auto">
                            <a:xfrm>
                              <a:off x="971550" y="1285875"/>
                              <a:ext cx="972820" cy="541020"/>
                              <a:chOff x="0" y="0"/>
                              <a:chExt cx="972922" cy="541325"/>
                            </a:xfrm>
                          </wpg:grpSpPr>
                          <wps:wsp>
                            <wps:cNvPr id="268" name="橢圓 43"/>
                            <wps:cNvSpPr>
                              <a:spLocks noChangeArrowheads="1"/>
                            </wps:cNvSpPr>
                            <wps:spPr bwMode="auto">
                              <a:xfrm>
                                <a:off x="0" y="0"/>
                                <a:ext cx="972922" cy="541325"/>
                              </a:xfrm>
                              <a:prstGeom prst="ellipse">
                                <a:avLst/>
                              </a:prstGeom>
                              <a:solidFill>
                                <a:schemeClr val="bg1">
                                  <a:lumMod val="85000"/>
                                </a:schemeClr>
                              </a:solidFill>
                              <a:ln w="12700" algn="ctr">
                                <a:solidFill>
                                  <a:srgbClr val="000000"/>
                                </a:solidFill>
                                <a:miter lim="800000"/>
                                <a:headEnd/>
                                <a:tailEnd/>
                              </a:ln>
                            </wps:spPr>
                            <wps:bodyPr rot="0" vert="horz" wrap="square" lIns="91440" tIns="45720" rIns="91440" bIns="45720" anchor="ctr" anchorCtr="0" upright="1">
                              <a:noAutofit/>
                            </wps:bodyPr>
                          </wps:wsp>
                          <wps:wsp>
                            <wps:cNvPr id="269" name="文字方塊 2"/>
                            <wps:cNvSpPr txBox="1">
                              <a:spLocks noChangeArrowheads="1"/>
                            </wps:cNvSpPr>
                            <wps:spPr bwMode="auto">
                              <a:xfrm>
                                <a:off x="58522" y="29261"/>
                                <a:ext cx="856920" cy="3950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EFA66D" w14:textId="77777777" w:rsidR="00CE57F9" w:rsidRPr="006D103B" w:rsidRDefault="00CE57F9" w:rsidP="004B39A0">
                                  <w:pPr>
                                    <w:adjustRightInd w:val="0"/>
                                    <w:snapToGrid w:val="0"/>
                                    <w:jc w:val="center"/>
                                    <w:rPr>
                                      <w:rFonts w:ascii="標楷體" w:eastAsia="標楷體" w:hAnsi="標楷體"/>
                                      <w:b/>
                                      <w:sz w:val="20"/>
                                    </w:rPr>
                                  </w:pPr>
                                  <w:r w:rsidRPr="006D103B">
                                    <w:rPr>
                                      <w:rFonts w:ascii="標楷體" w:eastAsia="標楷體" w:hAnsi="標楷體" w:hint="eastAsia"/>
                                      <w:b/>
                                      <w:sz w:val="20"/>
                                    </w:rPr>
                                    <w:t>營建</w:t>
                                  </w:r>
                                  <w:r w:rsidRPr="006D103B">
                                    <w:rPr>
                                      <w:rFonts w:ascii="標楷體" w:eastAsia="標楷體" w:hAnsi="標楷體"/>
                                      <w:b/>
                                      <w:sz w:val="20"/>
                                    </w:rPr>
                                    <w:br/>
                                  </w:r>
                                  <w:r w:rsidRPr="006D103B">
                                    <w:rPr>
                                      <w:rFonts w:ascii="標楷體" w:eastAsia="標楷體" w:hAnsi="標楷體" w:hint="eastAsia"/>
                                      <w:b/>
                                      <w:sz w:val="20"/>
                                    </w:rPr>
                                    <w:t>事業廢棄物</w:t>
                                  </w:r>
                                </w:p>
                              </w:txbxContent>
                            </wps:txbx>
                            <wps:bodyPr rot="0" vert="horz" wrap="square" lIns="0" tIns="0" rIns="0" bIns="0" anchor="t" anchorCtr="0" upright="1">
                              <a:noAutofit/>
                            </wps:bodyPr>
                          </wps:wsp>
                        </wpg:grpSp>
                        <wpg:grpSp>
                          <wpg:cNvPr id="270" name="群組 44"/>
                          <wpg:cNvGrpSpPr>
                            <a:grpSpLocks/>
                          </wpg:cNvGrpSpPr>
                          <wpg:grpSpPr bwMode="auto">
                            <a:xfrm>
                              <a:off x="3228975" y="923925"/>
                              <a:ext cx="592455" cy="409575"/>
                              <a:chOff x="0" y="0"/>
                              <a:chExt cx="972922" cy="541325"/>
                            </a:xfrm>
                          </wpg:grpSpPr>
                          <wps:wsp>
                            <wps:cNvPr id="271" name="橢圓 46"/>
                            <wps:cNvSpPr>
                              <a:spLocks noChangeArrowheads="1"/>
                            </wps:cNvSpPr>
                            <wps:spPr bwMode="auto">
                              <a:xfrm>
                                <a:off x="0" y="0"/>
                                <a:ext cx="972922" cy="541325"/>
                              </a:xfrm>
                              <a:prstGeom prst="ellipse">
                                <a:avLst/>
                              </a:prstGeom>
                              <a:solidFill>
                                <a:schemeClr val="bg1">
                                  <a:lumMod val="95000"/>
                                </a:schemeClr>
                              </a:solidFill>
                              <a:ln w="12700" algn="ctr">
                                <a:solidFill>
                                  <a:srgbClr val="000000"/>
                                </a:solidFill>
                                <a:miter lim="800000"/>
                                <a:headEnd/>
                                <a:tailEnd/>
                              </a:ln>
                            </wps:spPr>
                            <wps:bodyPr rot="0" vert="horz" wrap="square" lIns="91440" tIns="45720" rIns="91440" bIns="45720" anchor="ctr" anchorCtr="0" upright="1">
                              <a:noAutofit/>
                            </wps:bodyPr>
                          </wps:wsp>
                          <wps:wsp>
                            <wps:cNvPr id="272" name="文字方塊 2"/>
                            <wps:cNvSpPr txBox="1">
                              <a:spLocks noChangeArrowheads="1"/>
                            </wps:cNvSpPr>
                            <wps:spPr bwMode="auto">
                              <a:xfrm>
                                <a:off x="58522" y="116259"/>
                                <a:ext cx="856920" cy="3950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D06C5A"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土石方</w:t>
                                  </w:r>
                                </w:p>
                              </w:txbxContent>
                            </wps:txbx>
                            <wps:bodyPr rot="0" vert="horz" wrap="square" lIns="0" tIns="0" rIns="0" bIns="0" anchor="t" anchorCtr="0" upright="1">
                              <a:noAutofit/>
                            </wps:bodyPr>
                          </wps:wsp>
                        </wpg:grpSp>
                        <wpg:grpSp>
                          <wpg:cNvPr id="273" name="群組 47"/>
                          <wpg:cNvGrpSpPr>
                            <a:grpSpLocks/>
                          </wpg:cNvGrpSpPr>
                          <wpg:grpSpPr bwMode="auto">
                            <a:xfrm>
                              <a:off x="3228975" y="1819275"/>
                              <a:ext cx="592455" cy="409575"/>
                              <a:chOff x="0" y="0"/>
                              <a:chExt cx="972922" cy="541325"/>
                            </a:xfrm>
                          </wpg:grpSpPr>
                          <wps:wsp>
                            <wps:cNvPr id="274" name="橢圓 49"/>
                            <wps:cNvSpPr>
                              <a:spLocks noChangeArrowheads="1"/>
                            </wps:cNvSpPr>
                            <wps:spPr bwMode="auto">
                              <a:xfrm>
                                <a:off x="0" y="0"/>
                                <a:ext cx="972922" cy="541325"/>
                              </a:xfrm>
                              <a:prstGeom prst="ellipse">
                                <a:avLst/>
                              </a:prstGeom>
                              <a:solidFill>
                                <a:schemeClr val="bg1">
                                  <a:lumMod val="85000"/>
                                </a:schemeClr>
                              </a:solidFill>
                              <a:ln w="12700" algn="ctr">
                                <a:solidFill>
                                  <a:srgbClr val="000000"/>
                                </a:solidFill>
                                <a:miter lim="800000"/>
                                <a:headEnd/>
                                <a:tailEnd/>
                              </a:ln>
                            </wps:spPr>
                            <wps:bodyPr rot="0" vert="horz" wrap="square" lIns="91440" tIns="45720" rIns="91440" bIns="45720" anchor="ctr" anchorCtr="0" upright="1">
                              <a:noAutofit/>
                            </wps:bodyPr>
                          </wps:wsp>
                          <wps:wsp>
                            <wps:cNvPr id="275" name="文字方塊 2"/>
                            <wps:cNvSpPr txBox="1">
                              <a:spLocks noChangeArrowheads="1"/>
                            </wps:cNvSpPr>
                            <wps:spPr bwMode="auto">
                              <a:xfrm>
                                <a:off x="58522" y="116259"/>
                                <a:ext cx="856920" cy="3950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9A0D9"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廢棄物</w:t>
                                  </w:r>
                                </w:p>
                              </w:txbxContent>
                            </wps:txbx>
                            <wps:bodyPr rot="0" vert="horz" wrap="square" lIns="0" tIns="0" rIns="0" bIns="0" anchor="t" anchorCtr="0" upright="1">
                              <a:noAutofit/>
                            </wps:bodyPr>
                          </wps:wsp>
                        </wpg:grpSp>
                        <wpg:grpSp>
                          <wpg:cNvPr id="276" name="群組 51"/>
                          <wpg:cNvGrpSpPr>
                            <a:grpSpLocks/>
                          </wpg:cNvGrpSpPr>
                          <wpg:grpSpPr bwMode="auto">
                            <a:xfrm>
                              <a:off x="2124075" y="1666875"/>
                              <a:ext cx="886460" cy="489585"/>
                              <a:chOff x="0" y="0"/>
                              <a:chExt cx="987552" cy="263348"/>
                            </a:xfrm>
                          </wpg:grpSpPr>
                          <wps:wsp>
                            <wps:cNvPr id="277" name="圓角矩形 50"/>
                            <wps:cNvSpPr>
                              <a:spLocks noChangeArrowheads="1"/>
                            </wps:cNvSpPr>
                            <wps:spPr bwMode="auto">
                              <a:xfrm>
                                <a:off x="0" y="0"/>
                                <a:ext cx="987552" cy="263348"/>
                              </a:xfrm>
                              <a:prstGeom prst="roundRect">
                                <a:avLst>
                                  <a:gd name="adj" fmla="val 16667"/>
                                </a:avLst>
                              </a:prstGeom>
                              <a:solidFill>
                                <a:schemeClr val="bg1">
                                  <a:lumMod val="85000"/>
                                </a:schemeClr>
                              </a:solidFill>
                              <a:ln w="12700" algn="ctr">
                                <a:solidFill>
                                  <a:srgbClr val="000000"/>
                                </a:solidFill>
                                <a:miter lim="800000"/>
                                <a:headEnd/>
                                <a:tailEnd/>
                              </a:ln>
                            </wps:spPr>
                            <wps:bodyPr rot="0" vert="horz" wrap="square" lIns="91440" tIns="45720" rIns="91440" bIns="45720" anchor="ctr" anchorCtr="0" upright="1">
                              <a:noAutofit/>
                            </wps:bodyPr>
                          </wps:wsp>
                          <wps:wsp>
                            <wps:cNvPr id="278" name="文字方塊 2"/>
                            <wps:cNvSpPr txBox="1">
                              <a:spLocks noChangeArrowheads="1"/>
                            </wps:cNvSpPr>
                            <wps:spPr bwMode="auto">
                              <a:xfrm>
                                <a:off x="7315" y="21946"/>
                                <a:ext cx="959333" cy="2263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6BB03" w14:textId="77777777" w:rsidR="00CE57F9"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處理</w:t>
                                  </w:r>
                                  <w:r w:rsidRPr="006D103B">
                                    <w:rPr>
                                      <w:rFonts w:ascii="標楷體" w:eastAsia="標楷體" w:hAnsi="標楷體"/>
                                      <w:sz w:val="20"/>
                                    </w:rPr>
                                    <w:t>/再利用</w:t>
                                  </w:r>
                                </w:p>
                                <w:p w14:paraId="7AFC6ABD" w14:textId="0263126E"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sz w:val="20"/>
                                    </w:rPr>
                                    <w:t>機構</w:t>
                                  </w:r>
                                </w:p>
                              </w:txbxContent>
                            </wps:txbx>
                            <wps:bodyPr rot="0" vert="horz" wrap="square" lIns="0" tIns="0" rIns="0" bIns="0" anchor="t" anchorCtr="0" upright="1">
                              <a:noAutofit/>
                            </wps:bodyPr>
                          </wps:wsp>
                        </wpg:grpSp>
                        <wpg:grpSp>
                          <wpg:cNvPr id="279" name="群組 52"/>
                          <wpg:cNvGrpSpPr>
                            <a:grpSpLocks/>
                          </wpg:cNvGrpSpPr>
                          <wpg:grpSpPr bwMode="auto">
                            <a:xfrm>
                              <a:off x="2124075" y="1085850"/>
                              <a:ext cx="882650" cy="248285"/>
                              <a:chOff x="0" y="0"/>
                              <a:chExt cx="987552" cy="263348"/>
                            </a:xfrm>
                          </wpg:grpSpPr>
                          <wps:wsp>
                            <wps:cNvPr id="280" name="圓角矩形 54"/>
                            <wps:cNvSpPr>
                              <a:spLocks noChangeArrowheads="1"/>
                            </wps:cNvSpPr>
                            <wps:spPr bwMode="auto">
                              <a:xfrm>
                                <a:off x="0" y="0"/>
                                <a:ext cx="987552" cy="263348"/>
                              </a:xfrm>
                              <a:prstGeom prst="roundRect">
                                <a:avLst>
                                  <a:gd name="adj" fmla="val 16667"/>
                                </a:avLst>
                              </a:prstGeom>
                              <a:solidFill>
                                <a:schemeClr val="bg1">
                                  <a:lumMod val="95000"/>
                                </a:schemeClr>
                              </a:solidFill>
                              <a:ln w="12700" algn="ctr">
                                <a:solidFill>
                                  <a:srgbClr val="000000"/>
                                </a:solidFill>
                                <a:miter lim="800000"/>
                                <a:headEnd/>
                                <a:tailEnd/>
                              </a:ln>
                            </wps:spPr>
                            <wps:bodyPr rot="0" vert="horz" wrap="square" lIns="91440" tIns="45720" rIns="91440" bIns="45720" anchor="ctr" anchorCtr="0" upright="1">
                              <a:noAutofit/>
                            </wps:bodyPr>
                          </wps:wsp>
                          <wps:wsp>
                            <wps:cNvPr id="281" name="文字方塊 2"/>
                            <wps:cNvSpPr txBox="1">
                              <a:spLocks noChangeArrowheads="1"/>
                            </wps:cNvSpPr>
                            <wps:spPr bwMode="auto">
                              <a:xfrm>
                                <a:off x="7315" y="21946"/>
                                <a:ext cx="959333" cy="226314"/>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97C08F"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簡易分類場</w:t>
                                  </w:r>
                                </w:p>
                              </w:txbxContent>
                            </wps:txbx>
                            <wps:bodyPr rot="0" vert="horz" wrap="square" lIns="0" tIns="0" rIns="0" bIns="0" anchor="t" anchorCtr="0" upright="1">
                              <a:noAutofit/>
                            </wps:bodyPr>
                          </wps:wsp>
                        </wpg:grpSp>
                        <wpg:grpSp>
                          <wpg:cNvPr id="282" name="群組 55"/>
                          <wpg:cNvGrpSpPr>
                            <a:grpSpLocks/>
                          </wpg:cNvGrpSpPr>
                          <wpg:grpSpPr bwMode="auto">
                            <a:xfrm>
                              <a:off x="3990975" y="1285875"/>
                              <a:ext cx="1052830" cy="460858"/>
                              <a:chOff x="0" y="0"/>
                              <a:chExt cx="972922" cy="541325"/>
                            </a:xfrm>
                          </wpg:grpSpPr>
                          <wps:wsp>
                            <wps:cNvPr id="283" name="橢圓 57"/>
                            <wps:cNvSpPr>
                              <a:spLocks noChangeArrowheads="1"/>
                            </wps:cNvSpPr>
                            <wps:spPr bwMode="auto">
                              <a:xfrm>
                                <a:off x="0" y="0"/>
                                <a:ext cx="972922" cy="541325"/>
                              </a:xfrm>
                              <a:prstGeom prst="ellipse">
                                <a:avLst/>
                              </a:prstGeom>
                              <a:solidFill>
                                <a:schemeClr val="bg1">
                                  <a:lumMod val="85000"/>
                                </a:schemeClr>
                              </a:solidFill>
                              <a:ln w="12700" algn="ctr">
                                <a:solidFill>
                                  <a:srgbClr val="000000"/>
                                </a:solidFill>
                                <a:miter lim="800000"/>
                                <a:headEnd/>
                                <a:tailEnd/>
                              </a:ln>
                            </wps:spPr>
                            <wps:bodyPr rot="0" vert="horz" wrap="square" lIns="91440" tIns="45720" rIns="91440" bIns="45720" anchor="ctr" anchorCtr="0" upright="1">
                              <a:noAutofit/>
                            </wps:bodyPr>
                          </wps:wsp>
                          <wps:wsp>
                            <wps:cNvPr id="284" name="文字方塊 2"/>
                            <wps:cNvSpPr txBox="1">
                              <a:spLocks noChangeArrowheads="1"/>
                            </wps:cNvSpPr>
                            <wps:spPr bwMode="auto">
                              <a:xfrm>
                                <a:off x="58522" y="42633"/>
                                <a:ext cx="856920" cy="455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C2F702"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金屬、</w:t>
                                  </w:r>
                                  <w:r w:rsidRPr="006D103B">
                                    <w:rPr>
                                      <w:rFonts w:ascii="標楷體" w:eastAsia="標楷體" w:hAnsi="標楷體"/>
                                      <w:sz w:val="20"/>
                                    </w:rPr>
                                    <w:t>玻璃</w:t>
                                  </w:r>
                                  <w:r w:rsidRPr="006D103B">
                                    <w:rPr>
                                      <w:rFonts w:ascii="標楷體" w:eastAsia="標楷體" w:hAnsi="標楷體"/>
                                      <w:sz w:val="20"/>
                                    </w:rPr>
                                    <w:br/>
                                    <w:t>等資源物</w:t>
                                  </w:r>
                                </w:p>
                              </w:txbxContent>
                            </wps:txbx>
                            <wps:bodyPr rot="0" vert="horz" wrap="square" lIns="0" tIns="0" rIns="0" bIns="0" anchor="t" anchorCtr="0" upright="1">
                              <a:noAutofit/>
                            </wps:bodyPr>
                          </wps:wsp>
                        </wpg:grpSp>
                        <wpg:grpSp>
                          <wpg:cNvPr id="285" name="群組 58"/>
                          <wpg:cNvGrpSpPr>
                            <a:grpSpLocks/>
                          </wpg:cNvGrpSpPr>
                          <wpg:grpSpPr bwMode="auto">
                            <a:xfrm>
                              <a:off x="3990975" y="1783185"/>
                              <a:ext cx="1052830" cy="467995"/>
                              <a:chOff x="0" y="-8694"/>
                              <a:chExt cx="972922" cy="541325"/>
                            </a:xfrm>
                          </wpg:grpSpPr>
                          <wps:wsp>
                            <wps:cNvPr id="286" name="橢圓 60"/>
                            <wps:cNvSpPr>
                              <a:spLocks noChangeArrowheads="1"/>
                            </wps:cNvSpPr>
                            <wps:spPr bwMode="auto">
                              <a:xfrm>
                                <a:off x="0" y="-8694"/>
                                <a:ext cx="972922" cy="541325"/>
                              </a:xfrm>
                              <a:prstGeom prst="ellipse">
                                <a:avLst/>
                              </a:prstGeom>
                              <a:solidFill>
                                <a:schemeClr val="bg1">
                                  <a:lumMod val="85000"/>
                                </a:schemeClr>
                              </a:solidFill>
                              <a:ln w="12700" algn="ctr">
                                <a:solidFill>
                                  <a:srgbClr val="000000"/>
                                </a:solidFill>
                                <a:miter lim="800000"/>
                                <a:headEnd/>
                                <a:tailEnd/>
                              </a:ln>
                            </wps:spPr>
                            <wps:bodyPr rot="0" vert="horz" wrap="square" lIns="91440" tIns="45720" rIns="91440" bIns="45720" anchor="ctr" anchorCtr="0" upright="1">
                              <a:noAutofit/>
                            </wps:bodyPr>
                          </wps:wsp>
                          <wps:wsp>
                            <wps:cNvPr id="287" name="文字方塊 2"/>
                            <wps:cNvSpPr txBox="1">
                              <a:spLocks noChangeArrowheads="1"/>
                            </wps:cNvSpPr>
                            <wps:spPr bwMode="auto">
                              <a:xfrm>
                                <a:off x="58522" y="45768"/>
                                <a:ext cx="856920" cy="447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ABF07"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木材、塑膠</w:t>
                                  </w:r>
                                  <w:r w:rsidRPr="006D103B">
                                    <w:rPr>
                                      <w:rFonts w:ascii="標楷體" w:eastAsia="標楷體" w:hAnsi="標楷體"/>
                                      <w:sz w:val="20"/>
                                    </w:rPr>
                                    <w:br/>
                                    <w:t>等</w:t>
                                  </w:r>
                                  <w:r w:rsidRPr="006D103B">
                                    <w:rPr>
                                      <w:rFonts w:ascii="標楷體" w:eastAsia="標楷體" w:hAnsi="標楷體" w:hint="eastAsia"/>
                                      <w:sz w:val="20"/>
                                    </w:rPr>
                                    <w:t>可燃</w:t>
                                  </w:r>
                                  <w:r w:rsidRPr="006D103B">
                                    <w:rPr>
                                      <w:rFonts w:ascii="標楷體" w:eastAsia="標楷體" w:hAnsi="標楷體"/>
                                      <w:sz w:val="20"/>
                                    </w:rPr>
                                    <w:t>物</w:t>
                                  </w:r>
                                </w:p>
                              </w:txbxContent>
                            </wps:txbx>
                            <wps:bodyPr rot="0" vert="horz" wrap="square" lIns="0" tIns="0" rIns="0" bIns="0" anchor="t" anchorCtr="0" upright="1">
                              <a:noAutofit/>
                            </wps:bodyPr>
                          </wps:wsp>
                        </wpg:grpSp>
                        <wpg:grpSp>
                          <wpg:cNvPr id="288" name="群組 61"/>
                          <wpg:cNvGrpSpPr>
                            <a:grpSpLocks/>
                          </wpg:cNvGrpSpPr>
                          <wpg:grpSpPr bwMode="auto">
                            <a:xfrm>
                              <a:off x="3990975" y="2281485"/>
                              <a:ext cx="1052830" cy="387350"/>
                              <a:chOff x="0" y="7002"/>
                              <a:chExt cx="972922" cy="541325"/>
                            </a:xfrm>
                          </wpg:grpSpPr>
                          <wps:wsp>
                            <wps:cNvPr id="289" name="橢圓 63"/>
                            <wps:cNvSpPr>
                              <a:spLocks noChangeArrowheads="1"/>
                            </wps:cNvSpPr>
                            <wps:spPr bwMode="auto">
                              <a:xfrm>
                                <a:off x="0" y="7002"/>
                                <a:ext cx="972922" cy="541325"/>
                              </a:xfrm>
                              <a:prstGeom prst="ellipse">
                                <a:avLst/>
                              </a:prstGeom>
                              <a:solidFill>
                                <a:schemeClr val="bg1">
                                  <a:lumMod val="85000"/>
                                </a:schemeClr>
                              </a:solidFill>
                              <a:ln w="12700" algn="ctr">
                                <a:solidFill>
                                  <a:srgbClr val="000000"/>
                                </a:solidFill>
                                <a:miter lim="800000"/>
                                <a:headEnd/>
                                <a:tailEnd/>
                              </a:ln>
                            </wps:spPr>
                            <wps:bodyPr rot="0" vert="horz" wrap="square" lIns="91440" tIns="45720" rIns="91440" bIns="45720" anchor="ctr" anchorCtr="0" upright="1">
                              <a:noAutofit/>
                            </wps:bodyPr>
                          </wps:wsp>
                          <wps:wsp>
                            <wps:cNvPr id="290" name="文字方塊 2"/>
                            <wps:cNvSpPr txBox="1">
                              <a:spLocks noChangeArrowheads="1"/>
                            </wps:cNvSpPr>
                            <wps:spPr bwMode="auto">
                              <a:xfrm>
                                <a:off x="58490" y="129612"/>
                                <a:ext cx="856920" cy="3333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CF24F8"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不可燃物</w:t>
                                  </w:r>
                                </w:p>
                              </w:txbxContent>
                            </wps:txbx>
                            <wps:bodyPr rot="0" vert="horz" wrap="square" lIns="0" tIns="0" rIns="0" bIns="0" anchor="t" anchorCtr="0" upright="1">
                              <a:noAutofit/>
                            </wps:bodyPr>
                          </wps:wsp>
                        </wpg:grpSp>
                        <wps:wsp>
                          <wps:cNvPr id="291" name="文字方塊 2"/>
                          <wps:cNvSpPr txBox="1">
                            <a:spLocks noChangeArrowheads="1"/>
                          </wps:cNvSpPr>
                          <wps:spPr bwMode="auto">
                            <a:xfrm>
                              <a:off x="5267325" y="247650"/>
                              <a:ext cx="1111885" cy="213360"/>
                            </a:xfrm>
                            <a:prstGeom prst="rect">
                              <a:avLst/>
                            </a:prstGeom>
                            <a:solidFill>
                              <a:schemeClr val="bg1">
                                <a:lumMod val="95000"/>
                              </a:schemeClr>
                            </a:solidFill>
                            <a:ln w="9525">
                              <a:solidFill>
                                <a:srgbClr val="000000"/>
                              </a:solidFill>
                              <a:miter lim="800000"/>
                              <a:headEnd/>
                              <a:tailEnd/>
                            </a:ln>
                          </wps:spPr>
                          <wps:txbx>
                            <w:txbxContent>
                              <w:p w14:paraId="30CA0521"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建材使用端</w:t>
                                </w:r>
                              </w:p>
                            </w:txbxContent>
                          </wps:txbx>
                          <wps:bodyPr rot="0" vert="horz" wrap="square" lIns="0" tIns="0" rIns="0" bIns="0" anchor="t" anchorCtr="0" upright="1">
                            <a:noAutofit/>
                          </wps:bodyPr>
                        </wps:wsp>
                        <wps:wsp>
                          <wps:cNvPr id="292" name="文字方塊 2"/>
                          <wps:cNvSpPr txBox="1">
                            <a:spLocks noChangeArrowheads="1"/>
                          </wps:cNvSpPr>
                          <wps:spPr bwMode="auto">
                            <a:xfrm>
                              <a:off x="5257800" y="495300"/>
                              <a:ext cx="1111885" cy="213360"/>
                            </a:xfrm>
                            <a:prstGeom prst="rect">
                              <a:avLst/>
                            </a:prstGeom>
                            <a:solidFill>
                              <a:schemeClr val="bg1">
                                <a:lumMod val="95000"/>
                              </a:schemeClr>
                            </a:solidFill>
                            <a:ln w="9525">
                              <a:solidFill>
                                <a:srgbClr val="000000"/>
                              </a:solidFill>
                              <a:miter lim="800000"/>
                              <a:headEnd/>
                              <a:tailEnd/>
                            </a:ln>
                          </wps:spPr>
                          <wps:txbx>
                            <w:txbxContent>
                              <w:p w14:paraId="51337DF5"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港區填築</w:t>
                                </w:r>
                              </w:p>
                            </w:txbxContent>
                          </wps:txbx>
                          <wps:bodyPr rot="0" vert="horz" wrap="square" lIns="0" tIns="0" rIns="0" bIns="0" anchor="t" anchorCtr="0" upright="1">
                            <a:noAutofit/>
                          </wps:bodyPr>
                        </wps:wsp>
                        <wps:wsp>
                          <wps:cNvPr id="293" name="文字方塊 2"/>
                          <wps:cNvSpPr txBox="1">
                            <a:spLocks noChangeArrowheads="1"/>
                          </wps:cNvSpPr>
                          <wps:spPr bwMode="auto">
                            <a:xfrm>
                              <a:off x="5257800" y="742950"/>
                              <a:ext cx="1111885" cy="213360"/>
                            </a:xfrm>
                            <a:prstGeom prst="rect">
                              <a:avLst/>
                            </a:prstGeom>
                            <a:solidFill>
                              <a:schemeClr val="bg1">
                                <a:lumMod val="95000"/>
                              </a:schemeClr>
                            </a:solidFill>
                            <a:ln w="9525">
                              <a:solidFill>
                                <a:srgbClr val="000000"/>
                              </a:solidFill>
                              <a:miter lim="800000"/>
                              <a:headEnd/>
                              <a:tailEnd/>
                            </a:ln>
                          </wps:spPr>
                          <wps:txbx>
                            <w:txbxContent>
                              <w:p w14:paraId="3F73F7F8"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最終填埋</w:t>
                                </w:r>
                              </w:p>
                            </w:txbxContent>
                          </wps:txbx>
                          <wps:bodyPr rot="0" vert="horz" wrap="square" lIns="0" tIns="0" rIns="0" bIns="0" anchor="t" anchorCtr="0" upright="1">
                            <a:noAutofit/>
                          </wps:bodyPr>
                        </wps:wsp>
                        <wps:wsp>
                          <wps:cNvPr id="294" name="文字方塊 2"/>
                          <wps:cNvSpPr txBox="1">
                            <a:spLocks noChangeArrowheads="1"/>
                          </wps:cNvSpPr>
                          <wps:spPr bwMode="auto">
                            <a:xfrm>
                              <a:off x="5257800" y="1905000"/>
                              <a:ext cx="1111885" cy="213360"/>
                            </a:xfrm>
                            <a:prstGeom prst="rect">
                              <a:avLst/>
                            </a:prstGeom>
                            <a:solidFill>
                              <a:schemeClr val="bg1">
                                <a:lumMod val="85000"/>
                              </a:schemeClr>
                            </a:solidFill>
                            <a:ln w="9525">
                              <a:solidFill>
                                <a:srgbClr val="000000"/>
                              </a:solidFill>
                              <a:miter lim="800000"/>
                              <a:headEnd/>
                              <a:tailEnd/>
                            </a:ln>
                          </wps:spPr>
                          <wps:txbx>
                            <w:txbxContent>
                              <w:p w14:paraId="5EFCC85F"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焚化、</w:t>
                                </w:r>
                                <w:r w:rsidRPr="006D103B">
                                  <w:rPr>
                                    <w:rFonts w:ascii="標楷體" w:eastAsia="標楷體" w:hAnsi="標楷體"/>
                                    <w:sz w:val="20"/>
                                  </w:rPr>
                                  <w:t>鍋爐燃料</w:t>
                                </w:r>
                              </w:p>
                            </w:txbxContent>
                          </wps:txbx>
                          <wps:bodyPr rot="0" vert="horz" wrap="square" lIns="0" tIns="0" rIns="0" bIns="0" anchor="t" anchorCtr="0" upright="1">
                            <a:noAutofit/>
                          </wps:bodyPr>
                        </wps:wsp>
                        <wps:wsp>
                          <wps:cNvPr id="295" name="文字方塊 2"/>
                          <wps:cNvSpPr txBox="1">
                            <a:spLocks noChangeArrowheads="1"/>
                          </wps:cNvSpPr>
                          <wps:spPr bwMode="auto">
                            <a:xfrm>
                              <a:off x="5257800" y="1409700"/>
                              <a:ext cx="1111885" cy="213360"/>
                            </a:xfrm>
                            <a:prstGeom prst="rect">
                              <a:avLst/>
                            </a:prstGeom>
                            <a:solidFill>
                              <a:schemeClr val="bg1">
                                <a:lumMod val="85000"/>
                              </a:schemeClr>
                            </a:solidFill>
                            <a:ln w="9525">
                              <a:solidFill>
                                <a:srgbClr val="000000"/>
                              </a:solidFill>
                              <a:miter lim="800000"/>
                              <a:headEnd/>
                              <a:tailEnd/>
                            </a:ln>
                          </wps:spPr>
                          <wps:txbx>
                            <w:txbxContent>
                              <w:p w14:paraId="229FD834"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再利用</w:t>
                                </w:r>
                              </w:p>
                            </w:txbxContent>
                          </wps:txbx>
                          <wps:bodyPr rot="0" vert="horz" wrap="square" lIns="0" tIns="0" rIns="0" bIns="0" anchor="t" anchorCtr="0" upright="1">
                            <a:noAutofit/>
                          </wps:bodyPr>
                        </wps:wsp>
                        <wps:wsp>
                          <wps:cNvPr id="296" name="文字方塊 2"/>
                          <wps:cNvSpPr txBox="1">
                            <a:spLocks noChangeArrowheads="1"/>
                          </wps:cNvSpPr>
                          <wps:spPr bwMode="auto">
                            <a:xfrm>
                              <a:off x="5257800" y="2352675"/>
                              <a:ext cx="1111885" cy="213360"/>
                            </a:xfrm>
                            <a:prstGeom prst="rect">
                              <a:avLst/>
                            </a:prstGeom>
                            <a:solidFill>
                              <a:schemeClr val="bg1">
                                <a:lumMod val="85000"/>
                              </a:schemeClr>
                            </a:solidFill>
                            <a:ln w="9525">
                              <a:solidFill>
                                <a:srgbClr val="000000"/>
                              </a:solidFill>
                              <a:miter lim="800000"/>
                              <a:headEnd/>
                              <a:tailEnd/>
                            </a:ln>
                          </wps:spPr>
                          <wps:txbx>
                            <w:txbxContent>
                              <w:p w14:paraId="693607BF"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最終掩埋</w:t>
                                </w:r>
                              </w:p>
                            </w:txbxContent>
                          </wps:txbx>
                          <wps:bodyPr rot="0" vert="horz" wrap="square" lIns="0" tIns="0" rIns="0" bIns="0" anchor="t" anchorCtr="0" upright="1">
                            <a:noAutofit/>
                          </wps:bodyPr>
                        </wps:wsp>
                        <wps:wsp>
                          <wps:cNvPr id="297" name="文字方塊 2"/>
                          <wps:cNvSpPr txBox="1">
                            <a:spLocks noChangeArrowheads="1"/>
                          </wps:cNvSpPr>
                          <wps:spPr bwMode="auto">
                            <a:xfrm>
                              <a:off x="5267325" y="0"/>
                              <a:ext cx="1111885" cy="213360"/>
                            </a:xfrm>
                            <a:prstGeom prst="rect">
                              <a:avLst/>
                            </a:prstGeom>
                            <a:solidFill>
                              <a:schemeClr val="bg1">
                                <a:lumMod val="95000"/>
                              </a:schemeClr>
                            </a:solidFill>
                            <a:ln w="9525">
                              <a:solidFill>
                                <a:srgbClr val="000000"/>
                              </a:solidFill>
                              <a:miter lim="800000"/>
                              <a:headEnd/>
                              <a:tailEnd/>
                            </a:ln>
                          </wps:spPr>
                          <wps:txbx>
                            <w:txbxContent>
                              <w:p w14:paraId="58D427D1"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工程端</w:t>
                                </w:r>
                              </w:p>
                            </w:txbxContent>
                          </wps:txbx>
                          <wps:bodyPr rot="0" vert="horz" wrap="square" lIns="0" tIns="0" rIns="0" bIns="0" anchor="t" anchorCtr="0" upright="1">
                            <a:noAutofit/>
                          </wps:bodyPr>
                        </wps:wsp>
                        <wpg:grpSp>
                          <wpg:cNvPr id="298" name="群組 72"/>
                          <wpg:cNvGrpSpPr>
                            <a:grpSpLocks/>
                          </wpg:cNvGrpSpPr>
                          <wpg:grpSpPr bwMode="auto">
                            <a:xfrm>
                              <a:off x="4076700" y="114300"/>
                              <a:ext cx="987425" cy="460375"/>
                              <a:chOff x="0" y="0"/>
                              <a:chExt cx="987552" cy="263348"/>
                            </a:xfrm>
                          </wpg:grpSpPr>
                          <wps:wsp>
                            <wps:cNvPr id="299" name="圓角矩形 74"/>
                            <wps:cNvSpPr>
                              <a:spLocks noChangeArrowheads="1"/>
                            </wps:cNvSpPr>
                            <wps:spPr bwMode="auto">
                              <a:xfrm>
                                <a:off x="0" y="0"/>
                                <a:ext cx="987552" cy="263348"/>
                              </a:xfrm>
                              <a:prstGeom prst="roundRect">
                                <a:avLst>
                                  <a:gd name="adj" fmla="val 16667"/>
                                </a:avLst>
                              </a:prstGeom>
                              <a:solidFill>
                                <a:schemeClr val="bg1">
                                  <a:lumMod val="95000"/>
                                </a:schemeClr>
                              </a:solidFill>
                              <a:ln w="12700" algn="ctr">
                                <a:solidFill>
                                  <a:srgbClr val="000000"/>
                                </a:solidFill>
                                <a:miter lim="800000"/>
                                <a:headEnd/>
                                <a:tailEnd/>
                              </a:ln>
                            </wps:spPr>
                            <wps:bodyPr rot="0" vert="horz" wrap="square" lIns="91440" tIns="45720" rIns="91440" bIns="45720" anchor="ctr" anchorCtr="0" upright="1">
                              <a:noAutofit/>
                            </wps:bodyPr>
                          </wps:wsp>
                          <wps:wsp>
                            <wps:cNvPr id="300" name="文字方塊 2"/>
                            <wps:cNvSpPr txBox="1">
                              <a:spLocks noChangeArrowheads="1"/>
                            </wps:cNvSpPr>
                            <wps:spPr bwMode="auto">
                              <a:xfrm>
                                <a:off x="7315" y="21946"/>
                                <a:ext cx="959333" cy="2263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085950"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土資場及收容處理場所</w:t>
                                  </w:r>
                                </w:p>
                              </w:txbxContent>
                            </wps:txbx>
                            <wps:bodyPr rot="0" vert="horz" wrap="square" lIns="0" tIns="0" rIns="0" bIns="0" anchor="t" anchorCtr="0" upright="1">
                              <a:noAutofit/>
                            </wps:bodyPr>
                          </wps:wsp>
                        </wpg:grpSp>
                        <wps:wsp>
                          <wps:cNvPr id="301" name="文字方塊 2"/>
                          <wps:cNvSpPr txBox="1">
                            <a:spLocks noChangeArrowheads="1"/>
                          </wps:cNvSpPr>
                          <wps:spPr bwMode="auto">
                            <a:xfrm>
                              <a:off x="1962022" y="-45701"/>
                              <a:ext cx="2080895" cy="388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572A7B" w14:textId="77777777" w:rsidR="00CE57F9" w:rsidRPr="006D103B" w:rsidRDefault="00CE57F9" w:rsidP="004B39A0">
                                <w:pPr>
                                  <w:adjustRightInd w:val="0"/>
                                  <w:snapToGrid w:val="0"/>
                                  <w:spacing w:line="240" w:lineRule="atLeast"/>
                                  <w:rPr>
                                    <w:rFonts w:ascii="標楷體" w:eastAsia="標楷體" w:hAnsi="標楷體"/>
                                    <w:sz w:val="18"/>
                                  </w:rPr>
                                </w:pPr>
                                <w:r w:rsidRPr="006D103B">
                                  <w:rPr>
                                    <w:rFonts w:ascii="標楷體" w:eastAsia="標楷體" w:hAnsi="標楷體" w:hint="eastAsia"/>
                                    <w:sz w:val="18"/>
                                  </w:rPr>
                                  <w:t>依「營建剩餘土石方</w:t>
                                </w:r>
                                <w:r w:rsidRPr="006D103B">
                                  <w:rPr>
                                    <w:rFonts w:ascii="標楷體" w:eastAsia="標楷體" w:hAnsi="標楷體"/>
                                    <w:sz w:val="18"/>
                                  </w:rPr>
                                  <w:t>處理方案</w:t>
                                </w:r>
                                <w:r w:rsidRPr="006D103B">
                                  <w:rPr>
                                    <w:rFonts w:ascii="標楷體" w:eastAsia="標楷體" w:hAnsi="標楷體" w:hint="eastAsia"/>
                                    <w:sz w:val="18"/>
                                  </w:rPr>
                                  <w:t>」</w:t>
                                </w:r>
                              </w:p>
                              <w:p w14:paraId="0805710D" w14:textId="77777777" w:rsidR="00CE57F9" w:rsidRPr="006D103B" w:rsidRDefault="00CE57F9" w:rsidP="004B39A0">
                                <w:pPr>
                                  <w:adjustRightInd w:val="0"/>
                                  <w:snapToGrid w:val="0"/>
                                  <w:spacing w:line="240" w:lineRule="atLeast"/>
                                  <w:rPr>
                                    <w:rFonts w:ascii="標楷體" w:eastAsia="標楷體" w:hAnsi="標楷體"/>
                                    <w:sz w:val="18"/>
                                  </w:rPr>
                                </w:pPr>
                                <w:r w:rsidRPr="006D103B">
                                  <w:rPr>
                                    <w:rFonts w:ascii="標楷體" w:eastAsia="標楷體" w:hAnsi="標楷體" w:hint="eastAsia"/>
                                    <w:sz w:val="18"/>
                                  </w:rPr>
                                  <w:t>辦理</w:t>
                                </w:r>
                              </w:p>
                            </w:txbxContent>
                          </wps:txbx>
                          <wps:bodyPr rot="0" vert="horz" wrap="square" lIns="0" tIns="0" rIns="0" bIns="0" anchor="ctr" anchorCtr="0" upright="1">
                            <a:noAutofit/>
                          </wps:bodyPr>
                        </wps:wsp>
                        <wps:wsp>
                          <wps:cNvPr id="302" name="文字方塊 2"/>
                          <wps:cNvSpPr txBox="1">
                            <a:spLocks noChangeArrowheads="1"/>
                          </wps:cNvSpPr>
                          <wps:spPr bwMode="auto">
                            <a:xfrm>
                              <a:off x="850773" y="1847362"/>
                              <a:ext cx="1216274" cy="40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CEB453" w14:textId="77777777" w:rsidR="00CE57F9" w:rsidRPr="006D103B" w:rsidRDefault="00CE57F9" w:rsidP="004B39A0">
                                <w:pPr>
                                  <w:adjustRightInd w:val="0"/>
                                  <w:snapToGrid w:val="0"/>
                                  <w:rPr>
                                    <w:rFonts w:ascii="標楷體" w:eastAsia="標楷體" w:hAnsi="標楷體"/>
                                    <w:sz w:val="18"/>
                                  </w:rPr>
                                </w:pPr>
                                <w:r w:rsidRPr="006D103B">
                                  <w:rPr>
                                    <w:rFonts w:ascii="標楷體" w:eastAsia="標楷體" w:hAnsi="標楷體" w:hint="eastAsia"/>
                                    <w:sz w:val="18"/>
                                  </w:rPr>
                                  <w:t>依「廢棄物清理法」</w:t>
                                </w:r>
                                <w:r w:rsidRPr="006D103B">
                                  <w:rPr>
                                    <w:rFonts w:ascii="標楷體" w:eastAsia="標楷體" w:hAnsi="標楷體"/>
                                    <w:sz w:val="18"/>
                                  </w:rPr>
                                  <w:br/>
                                </w:r>
                                <w:r w:rsidRPr="006D103B">
                                  <w:rPr>
                                    <w:rFonts w:ascii="標楷體" w:eastAsia="標楷體" w:hAnsi="標楷體" w:hint="eastAsia"/>
                                    <w:sz w:val="18"/>
                                  </w:rPr>
                                  <w:t>辦理</w:t>
                                </w:r>
                              </w:p>
                            </w:txbxContent>
                          </wps:txbx>
                          <wps:bodyPr rot="0" vert="horz" wrap="square" lIns="0" tIns="0" rIns="0" bIns="0" anchor="ctr" anchorCtr="0" upright="1">
                            <a:noAutofit/>
                          </wps:bodyPr>
                        </wps:wsp>
                        <wps:wsp>
                          <wps:cNvPr id="303" name="文字方塊 2"/>
                          <wps:cNvSpPr txBox="1">
                            <a:spLocks noChangeArrowheads="1"/>
                          </wps:cNvSpPr>
                          <wps:spPr bwMode="auto">
                            <a:xfrm>
                              <a:off x="1019109" y="780944"/>
                              <a:ext cx="1013184"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E8A6C3" w14:textId="77777777" w:rsidR="00CE57F9" w:rsidRPr="006D103B" w:rsidRDefault="00CE57F9" w:rsidP="004B39A0">
                                <w:pPr>
                                  <w:adjustRightInd w:val="0"/>
                                  <w:snapToGrid w:val="0"/>
                                  <w:spacing w:line="240" w:lineRule="atLeast"/>
                                  <w:rPr>
                                    <w:rFonts w:ascii="標楷體" w:eastAsia="標楷體" w:hAnsi="標楷體"/>
                                    <w:b/>
                                    <w:sz w:val="18"/>
                                  </w:rPr>
                                </w:pPr>
                                <w:r w:rsidRPr="006D103B">
                                  <w:rPr>
                                    <w:rFonts w:ascii="標楷體" w:eastAsia="標楷體" w:hAnsi="標楷體" w:hint="eastAsia"/>
                                    <w:b/>
                                    <w:sz w:val="18"/>
                                  </w:rPr>
                                  <w:t>土石方與廢棄物</w:t>
                                </w:r>
                              </w:p>
                            </w:txbxContent>
                          </wps:txbx>
                          <wps:bodyPr rot="0" vert="horz" wrap="square" lIns="0" tIns="0" rIns="0" bIns="0" anchor="ctr" anchorCtr="0" upright="1">
                            <a:noAutofit/>
                          </wps:bodyPr>
                        </wps:wsp>
                        <wps:wsp>
                          <wps:cNvPr id="304" name="文字方塊 2"/>
                          <wps:cNvSpPr txBox="1">
                            <a:spLocks noChangeArrowheads="1"/>
                          </wps:cNvSpPr>
                          <wps:spPr bwMode="auto">
                            <a:xfrm>
                              <a:off x="3962400" y="561975"/>
                              <a:ext cx="566420" cy="237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525776" w14:textId="77777777" w:rsidR="00CE57F9" w:rsidRPr="006D103B" w:rsidRDefault="00CE57F9" w:rsidP="004B39A0">
                                <w:pPr>
                                  <w:rPr>
                                    <w:rFonts w:ascii="標楷體" w:eastAsia="標楷體" w:hAnsi="標楷體"/>
                                    <w:b/>
                                    <w:sz w:val="18"/>
                                  </w:rPr>
                                </w:pPr>
                                <w:r w:rsidRPr="006D103B">
                                  <w:rPr>
                                    <w:rFonts w:ascii="標楷體" w:eastAsia="標楷體" w:hAnsi="標楷體" w:hint="eastAsia"/>
                                    <w:b/>
                                    <w:sz w:val="18"/>
                                  </w:rPr>
                                  <w:t>允收標準</w:t>
                                </w:r>
                              </w:p>
                            </w:txbxContent>
                          </wps:txbx>
                          <wps:bodyPr rot="0" vert="horz" wrap="square" lIns="0" tIns="0" rIns="0" bIns="0" anchor="ctr" anchorCtr="0" upright="1">
                            <a:noAutofit/>
                          </wps:bodyPr>
                        </wps:wsp>
                        <wps:wsp>
                          <wps:cNvPr id="305" name="直線接點 78"/>
                          <wps:cNvCnPr>
                            <a:cxnSpLocks noChangeShapeType="1"/>
                          </wps:cNvCnPr>
                          <wps:spPr bwMode="auto">
                            <a:xfrm>
                              <a:off x="876300" y="361950"/>
                              <a:ext cx="4641" cy="120960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06" name="直線接點 87"/>
                          <wps:cNvCnPr>
                            <a:cxnSpLocks noChangeShapeType="1"/>
                          </wps:cNvCnPr>
                          <wps:spPr bwMode="auto">
                            <a:xfrm flipH="1">
                              <a:off x="5162550" y="123825"/>
                              <a:ext cx="1905" cy="72390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08" name="直線單箭頭接點 88"/>
                          <wps:cNvCnPr>
                            <a:cxnSpLocks noChangeShapeType="1"/>
                          </wps:cNvCnPr>
                          <wps:spPr bwMode="auto">
                            <a:xfrm flipV="1">
                              <a:off x="5162550" y="123825"/>
                              <a:ext cx="99060" cy="3810"/>
                            </a:xfrm>
                            <a:prstGeom prst="straightConnector1">
                              <a:avLst/>
                            </a:prstGeom>
                            <a:noFill/>
                            <a:ln w="6350" algn="ctr">
                              <a:solidFill>
                                <a:srgbClr val="000000"/>
                              </a:solidFill>
                              <a:miter lim="800000"/>
                              <a:headEnd type="none" w="med" len="sm"/>
                              <a:tailEnd type="triangle" w="sm" len="sm"/>
                            </a:ln>
                            <a:extLst>
                              <a:ext uri="{909E8E84-426E-40DD-AFC4-6F175D3DCCD1}">
                                <a14:hiddenFill xmlns:a14="http://schemas.microsoft.com/office/drawing/2010/main">
                                  <a:noFill/>
                                </a14:hiddenFill>
                              </a:ext>
                            </a:extLst>
                          </wps:spPr>
                          <wps:bodyPr/>
                        </wps:wsp>
                        <wps:wsp>
                          <wps:cNvPr id="309" name="直線單箭頭接點 89"/>
                          <wps:cNvCnPr>
                            <a:cxnSpLocks noChangeShapeType="1"/>
                          </wps:cNvCnPr>
                          <wps:spPr bwMode="auto">
                            <a:xfrm flipV="1">
                              <a:off x="5057775" y="342900"/>
                              <a:ext cx="201295" cy="3810"/>
                            </a:xfrm>
                            <a:prstGeom prst="straightConnector1">
                              <a:avLst/>
                            </a:prstGeom>
                            <a:noFill/>
                            <a:ln w="6350" algn="ctr">
                              <a:solidFill>
                                <a:srgbClr val="000000"/>
                              </a:solidFill>
                              <a:miter lim="800000"/>
                              <a:headEnd type="none" w="med" len="sm"/>
                              <a:tailEnd type="triangle" w="sm" len="sm"/>
                            </a:ln>
                            <a:extLst>
                              <a:ext uri="{909E8E84-426E-40DD-AFC4-6F175D3DCCD1}">
                                <a14:hiddenFill xmlns:a14="http://schemas.microsoft.com/office/drawing/2010/main">
                                  <a:noFill/>
                                </a14:hiddenFill>
                              </a:ext>
                            </a:extLst>
                          </wps:spPr>
                          <wps:bodyPr/>
                        </wps:wsp>
                        <wps:wsp>
                          <wps:cNvPr id="310" name="直線單箭頭接點 90"/>
                          <wps:cNvCnPr>
                            <a:cxnSpLocks noChangeShapeType="1"/>
                          </wps:cNvCnPr>
                          <wps:spPr bwMode="auto">
                            <a:xfrm flipV="1">
                              <a:off x="5162550" y="609600"/>
                              <a:ext cx="99060" cy="3810"/>
                            </a:xfrm>
                            <a:prstGeom prst="straightConnector1">
                              <a:avLst/>
                            </a:prstGeom>
                            <a:noFill/>
                            <a:ln w="6350" algn="ctr">
                              <a:solidFill>
                                <a:srgbClr val="000000"/>
                              </a:solidFill>
                              <a:miter lim="800000"/>
                              <a:headEnd type="none" w="med" len="sm"/>
                              <a:tailEnd type="triangle" w="sm" len="sm"/>
                            </a:ln>
                            <a:extLst>
                              <a:ext uri="{909E8E84-426E-40DD-AFC4-6F175D3DCCD1}">
                                <a14:hiddenFill xmlns:a14="http://schemas.microsoft.com/office/drawing/2010/main">
                                  <a:noFill/>
                                </a14:hiddenFill>
                              </a:ext>
                            </a:extLst>
                          </wps:spPr>
                          <wps:bodyPr/>
                        </wps:wsp>
                        <wps:wsp>
                          <wps:cNvPr id="311" name="直線單箭頭接點 91"/>
                          <wps:cNvCnPr>
                            <a:cxnSpLocks noChangeShapeType="1"/>
                          </wps:cNvCnPr>
                          <wps:spPr bwMode="auto">
                            <a:xfrm flipV="1">
                              <a:off x="3886200" y="1504950"/>
                              <a:ext cx="99060" cy="3810"/>
                            </a:xfrm>
                            <a:prstGeom prst="straightConnector1">
                              <a:avLst/>
                            </a:prstGeom>
                            <a:noFill/>
                            <a:ln w="6350" algn="ctr">
                              <a:solidFill>
                                <a:srgbClr val="000000"/>
                              </a:solidFill>
                              <a:miter lim="800000"/>
                              <a:headEnd type="none" w="med" len="sm"/>
                              <a:tailEnd type="triangle" w="sm" len="sm"/>
                            </a:ln>
                            <a:extLst>
                              <a:ext uri="{909E8E84-426E-40DD-AFC4-6F175D3DCCD1}">
                                <a14:hiddenFill xmlns:a14="http://schemas.microsoft.com/office/drawing/2010/main">
                                  <a:noFill/>
                                </a14:hiddenFill>
                              </a:ext>
                            </a:extLst>
                          </wps:spPr>
                          <wps:bodyPr/>
                        </wps:wsp>
                        <wps:wsp>
                          <wps:cNvPr id="312" name="直線接點 92"/>
                          <wps:cNvCnPr>
                            <a:cxnSpLocks noChangeShapeType="1"/>
                          </wps:cNvCnPr>
                          <wps:spPr bwMode="auto">
                            <a:xfrm>
                              <a:off x="3890010" y="1510665"/>
                              <a:ext cx="3810" cy="96120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13" name="直線單箭頭接點 93"/>
                          <wps:cNvCnPr>
                            <a:cxnSpLocks noChangeShapeType="1"/>
                          </wps:cNvCnPr>
                          <wps:spPr bwMode="auto">
                            <a:xfrm flipV="1">
                              <a:off x="3819525" y="2019300"/>
                              <a:ext cx="180000" cy="3810"/>
                            </a:xfrm>
                            <a:prstGeom prst="straightConnector1">
                              <a:avLst/>
                            </a:prstGeom>
                            <a:noFill/>
                            <a:ln w="6350" algn="ctr">
                              <a:solidFill>
                                <a:srgbClr val="000000"/>
                              </a:solidFill>
                              <a:miter lim="800000"/>
                              <a:headEnd type="none" w="med" len="sm"/>
                              <a:tailEnd type="triangle" w="sm" len="sm"/>
                            </a:ln>
                            <a:extLst>
                              <a:ext uri="{909E8E84-426E-40DD-AFC4-6F175D3DCCD1}">
                                <a14:hiddenFill xmlns:a14="http://schemas.microsoft.com/office/drawing/2010/main">
                                  <a:noFill/>
                                </a14:hiddenFill>
                              </a:ext>
                            </a:extLst>
                          </wps:spPr>
                          <wps:bodyPr/>
                        </wps:wsp>
                        <wps:wsp>
                          <wps:cNvPr id="314" name="直線單箭頭接點 95"/>
                          <wps:cNvCnPr>
                            <a:cxnSpLocks noChangeShapeType="1"/>
                          </wps:cNvCnPr>
                          <wps:spPr bwMode="auto">
                            <a:xfrm flipV="1">
                              <a:off x="3895725" y="2466975"/>
                              <a:ext cx="99060" cy="3810"/>
                            </a:xfrm>
                            <a:prstGeom prst="straightConnector1">
                              <a:avLst/>
                            </a:prstGeom>
                            <a:noFill/>
                            <a:ln w="6350" algn="ctr">
                              <a:solidFill>
                                <a:srgbClr val="000000"/>
                              </a:solidFill>
                              <a:miter lim="800000"/>
                              <a:headEnd type="none" w="med" len="sm"/>
                              <a:tailEnd type="triangle" w="sm" len="sm"/>
                            </a:ln>
                            <a:extLst>
                              <a:ext uri="{909E8E84-426E-40DD-AFC4-6F175D3DCCD1}">
                                <a14:hiddenFill xmlns:a14="http://schemas.microsoft.com/office/drawing/2010/main">
                                  <a:noFill/>
                                </a14:hiddenFill>
                              </a:ext>
                            </a:extLst>
                          </wps:spPr>
                          <wps:bodyPr/>
                        </wps:wsp>
                        <wps:wsp>
                          <wps:cNvPr id="315" name="直線單箭頭接點 98"/>
                          <wps:cNvCnPr>
                            <a:cxnSpLocks noChangeShapeType="1"/>
                          </wps:cNvCnPr>
                          <wps:spPr bwMode="auto">
                            <a:xfrm flipV="1">
                              <a:off x="3131715" y="1133475"/>
                              <a:ext cx="99060" cy="3810"/>
                            </a:xfrm>
                            <a:prstGeom prst="straightConnector1">
                              <a:avLst/>
                            </a:prstGeom>
                            <a:noFill/>
                            <a:ln w="6350" algn="ctr">
                              <a:solidFill>
                                <a:srgbClr val="000000"/>
                              </a:solidFill>
                              <a:miter lim="800000"/>
                              <a:headEnd type="none" w="med" len="sm"/>
                              <a:tailEnd type="triangle" w="sm" len="sm"/>
                            </a:ln>
                            <a:extLst>
                              <a:ext uri="{909E8E84-426E-40DD-AFC4-6F175D3DCCD1}">
                                <a14:hiddenFill xmlns:a14="http://schemas.microsoft.com/office/drawing/2010/main">
                                  <a:noFill/>
                                </a14:hiddenFill>
                              </a:ext>
                            </a:extLst>
                          </wps:spPr>
                          <wps:bodyPr/>
                        </wps:wsp>
                        <wps:wsp>
                          <wps:cNvPr id="316" name="直線單箭頭接點 99"/>
                          <wps:cNvCnPr>
                            <a:cxnSpLocks noChangeShapeType="1"/>
                          </wps:cNvCnPr>
                          <wps:spPr bwMode="auto">
                            <a:xfrm flipV="1">
                              <a:off x="3129210" y="2028825"/>
                              <a:ext cx="99060" cy="3810"/>
                            </a:xfrm>
                            <a:prstGeom prst="straightConnector1">
                              <a:avLst/>
                            </a:prstGeom>
                            <a:noFill/>
                            <a:ln w="6350" algn="ctr">
                              <a:solidFill>
                                <a:srgbClr val="000000"/>
                              </a:solidFill>
                              <a:miter lim="800000"/>
                              <a:headEnd type="none" w="med" len="sm"/>
                              <a:tailEnd type="triangle" w="sm" len="sm"/>
                            </a:ln>
                            <a:extLst>
                              <a:ext uri="{909E8E84-426E-40DD-AFC4-6F175D3DCCD1}">
                                <a14:hiddenFill xmlns:a14="http://schemas.microsoft.com/office/drawing/2010/main">
                                  <a:noFill/>
                                </a14:hiddenFill>
                              </a:ext>
                            </a:extLst>
                          </wps:spPr>
                          <wps:bodyPr/>
                        </wps:wsp>
                        <wps:wsp>
                          <wps:cNvPr id="317" name="直線接點 100"/>
                          <wps:cNvCnPr>
                            <a:cxnSpLocks noChangeShapeType="1"/>
                          </wps:cNvCnPr>
                          <wps:spPr bwMode="auto">
                            <a:xfrm>
                              <a:off x="3076575" y="1209675"/>
                              <a:ext cx="2117" cy="706966"/>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18" name="直線接點 104"/>
                          <wps:cNvCnPr>
                            <a:cxnSpLocks noChangeShapeType="1"/>
                          </wps:cNvCnPr>
                          <wps:spPr bwMode="auto">
                            <a:xfrm>
                              <a:off x="2028825" y="1219200"/>
                              <a:ext cx="1905" cy="70675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19" name="直線單箭頭接點 105"/>
                          <wps:cNvCnPr>
                            <a:cxnSpLocks noChangeShapeType="1"/>
                          </wps:cNvCnPr>
                          <wps:spPr bwMode="auto">
                            <a:xfrm flipV="1">
                              <a:off x="2028825" y="1219200"/>
                              <a:ext cx="99060" cy="3810"/>
                            </a:xfrm>
                            <a:prstGeom prst="straightConnector1">
                              <a:avLst/>
                            </a:prstGeom>
                            <a:noFill/>
                            <a:ln w="6350" algn="ctr">
                              <a:solidFill>
                                <a:srgbClr val="000000"/>
                              </a:solidFill>
                              <a:miter lim="800000"/>
                              <a:headEnd type="none" w="med" len="sm"/>
                              <a:tailEnd type="triangle" w="sm" len="sm"/>
                            </a:ln>
                            <a:extLst>
                              <a:ext uri="{909E8E84-426E-40DD-AFC4-6F175D3DCCD1}">
                                <a14:hiddenFill xmlns:a14="http://schemas.microsoft.com/office/drawing/2010/main">
                                  <a:noFill/>
                                </a14:hiddenFill>
                              </a:ext>
                            </a:extLst>
                          </wps:spPr>
                          <wps:bodyPr/>
                        </wps:wsp>
                        <wps:wsp>
                          <wps:cNvPr id="512" name="直線單箭頭接點 106"/>
                          <wps:cNvCnPr>
                            <a:cxnSpLocks noChangeShapeType="1"/>
                          </wps:cNvCnPr>
                          <wps:spPr bwMode="auto">
                            <a:xfrm flipV="1">
                              <a:off x="2028825" y="1924050"/>
                              <a:ext cx="89535" cy="3810"/>
                            </a:xfrm>
                            <a:prstGeom prst="straightConnector1">
                              <a:avLst/>
                            </a:prstGeom>
                            <a:noFill/>
                            <a:ln w="6350" algn="ctr">
                              <a:solidFill>
                                <a:srgbClr val="000000"/>
                              </a:solidFill>
                              <a:miter lim="800000"/>
                              <a:headEnd type="none" w="med" len="sm"/>
                              <a:tailEnd type="triangle" w="sm" len="sm"/>
                            </a:ln>
                            <a:extLst>
                              <a:ext uri="{909E8E84-426E-40DD-AFC4-6F175D3DCCD1}">
                                <a14:hiddenFill xmlns:a14="http://schemas.microsoft.com/office/drawing/2010/main">
                                  <a:noFill/>
                                </a14:hiddenFill>
                              </a:ext>
                            </a:extLst>
                          </wps:spPr>
                          <wps:bodyPr/>
                        </wps:wsp>
                        <wps:wsp>
                          <wps:cNvPr id="513" name="直線單箭頭接點 108"/>
                          <wps:cNvCnPr>
                            <a:cxnSpLocks noChangeShapeType="1"/>
                          </wps:cNvCnPr>
                          <wps:spPr bwMode="auto">
                            <a:xfrm flipV="1">
                              <a:off x="5162550" y="838200"/>
                              <a:ext cx="99060" cy="3810"/>
                            </a:xfrm>
                            <a:prstGeom prst="straightConnector1">
                              <a:avLst/>
                            </a:prstGeom>
                            <a:noFill/>
                            <a:ln w="6350" algn="ctr">
                              <a:solidFill>
                                <a:srgbClr val="000000"/>
                              </a:solidFill>
                              <a:miter lim="800000"/>
                              <a:headEnd type="none" w="med" len="sm"/>
                              <a:tailEnd type="triangle" w="sm" len="sm"/>
                            </a:ln>
                            <a:extLst>
                              <a:ext uri="{909E8E84-426E-40DD-AFC4-6F175D3DCCD1}">
                                <a14:hiddenFill xmlns:a14="http://schemas.microsoft.com/office/drawing/2010/main">
                                  <a:noFill/>
                                </a14:hiddenFill>
                              </a:ext>
                            </a:extLst>
                          </wps:spPr>
                          <wps:bodyPr/>
                        </wps:wsp>
                        <wps:wsp>
                          <wps:cNvPr id="514" name="直線接點 110"/>
                          <wps:cNvCnPr>
                            <a:cxnSpLocks noChangeShapeType="1"/>
                          </wps:cNvCnPr>
                          <wps:spPr bwMode="auto">
                            <a:xfrm flipH="1">
                              <a:off x="1943100" y="342900"/>
                              <a:ext cx="2124000" cy="6985"/>
                            </a:xfrm>
                            <a:prstGeom prst="line">
                              <a:avLst/>
                            </a:prstGeom>
                            <a:noFill/>
                            <a:ln w="6350" algn="ctr">
                              <a:solidFill>
                                <a:srgbClr val="000000"/>
                              </a:solidFill>
                              <a:miter lim="800000"/>
                              <a:headEnd type="triangle" w="sm" len="sm"/>
                              <a:tailEnd/>
                            </a:ln>
                            <a:extLst>
                              <a:ext uri="{909E8E84-426E-40DD-AFC4-6F175D3DCCD1}">
                                <a14:hiddenFill xmlns:a14="http://schemas.microsoft.com/office/drawing/2010/main">
                                  <a:noFill/>
                                </a14:hiddenFill>
                              </a:ext>
                            </a:extLst>
                          </wps:spPr>
                          <wps:bodyPr/>
                        </wps:wsp>
                        <wps:wsp>
                          <wps:cNvPr id="515" name="直線單箭頭接點 111"/>
                          <wps:cNvCnPr>
                            <a:cxnSpLocks noChangeShapeType="1"/>
                          </wps:cNvCnPr>
                          <wps:spPr bwMode="auto">
                            <a:xfrm flipV="1">
                              <a:off x="870585" y="354330"/>
                              <a:ext cx="99060" cy="3810"/>
                            </a:xfrm>
                            <a:prstGeom prst="straightConnector1">
                              <a:avLst/>
                            </a:prstGeom>
                            <a:noFill/>
                            <a:ln w="12700" algn="ctr">
                              <a:solidFill>
                                <a:srgbClr val="000000"/>
                              </a:solidFill>
                              <a:miter lim="800000"/>
                              <a:headEnd type="none" w="med" len="sm"/>
                              <a:tailEnd type="triangle" w="sm" len="sm"/>
                            </a:ln>
                            <a:extLst>
                              <a:ext uri="{909E8E84-426E-40DD-AFC4-6F175D3DCCD1}">
                                <a14:hiddenFill xmlns:a14="http://schemas.microsoft.com/office/drawing/2010/main">
                                  <a:noFill/>
                                </a14:hiddenFill>
                              </a:ext>
                            </a:extLst>
                          </wps:spPr>
                          <wps:bodyPr/>
                        </wps:wsp>
                        <wps:wsp>
                          <wps:cNvPr id="516" name="直線單箭頭接點 112"/>
                          <wps:cNvCnPr>
                            <a:cxnSpLocks noChangeShapeType="1"/>
                          </wps:cNvCnPr>
                          <wps:spPr bwMode="auto">
                            <a:xfrm flipV="1">
                              <a:off x="876300" y="1562100"/>
                              <a:ext cx="99060" cy="3810"/>
                            </a:xfrm>
                            <a:prstGeom prst="straightConnector1">
                              <a:avLst/>
                            </a:prstGeom>
                            <a:noFill/>
                            <a:ln w="12700" algn="ctr">
                              <a:solidFill>
                                <a:srgbClr val="000000"/>
                              </a:solidFill>
                              <a:miter lim="800000"/>
                              <a:headEnd type="none" w="med" len="sm"/>
                              <a:tailEnd type="triangle" w="sm" len="sm"/>
                            </a:ln>
                            <a:extLst>
                              <a:ext uri="{909E8E84-426E-40DD-AFC4-6F175D3DCCD1}">
                                <a14:hiddenFill xmlns:a14="http://schemas.microsoft.com/office/drawing/2010/main">
                                  <a:noFill/>
                                </a14:hiddenFill>
                              </a:ext>
                            </a:extLst>
                          </wps:spPr>
                          <wps:bodyPr/>
                        </wps:wsp>
                        <wps:wsp>
                          <wps:cNvPr id="517" name="文字方塊 2"/>
                          <wps:cNvSpPr txBox="1">
                            <a:spLocks noChangeArrowheads="1"/>
                          </wps:cNvSpPr>
                          <wps:spPr bwMode="auto">
                            <a:xfrm>
                              <a:off x="3257550" y="1409700"/>
                              <a:ext cx="566420" cy="237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F234CA" w14:textId="77777777" w:rsidR="00CE57F9" w:rsidRPr="006D103B" w:rsidRDefault="00CE57F9" w:rsidP="004B39A0">
                                <w:pPr>
                                  <w:rPr>
                                    <w:rFonts w:ascii="標楷體" w:eastAsia="標楷體" w:hAnsi="標楷體"/>
                                    <w:b/>
                                    <w:sz w:val="18"/>
                                  </w:rPr>
                                </w:pPr>
                                <w:r w:rsidRPr="006D103B">
                                  <w:rPr>
                                    <w:rFonts w:ascii="標楷體" w:eastAsia="標楷體" w:hAnsi="標楷體" w:hint="eastAsia"/>
                                    <w:b/>
                                    <w:sz w:val="18"/>
                                  </w:rPr>
                                  <w:t>出場標準</w:t>
                                </w:r>
                              </w:p>
                            </w:txbxContent>
                          </wps:txbx>
                          <wps:bodyPr rot="0" vert="horz" wrap="square" lIns="0" tIns="0" rIns="0" bIns="0" anchor="ctr" anchorCtr="0" upright="1">
                            <a:noAutofit/>
                          </wps:bodyPr>
                        </wps:wsp>
                        <wps:wsp>
                          <wps:cNvPr id="518" name="文字方塊 2"/>
                          <wps:cNvSpPr txBox="1">
                            <a:spLocks noChangeArrowheads="1"/>
                          </wps:cNvSpPr>
                          <wps:spPr bwMode="auto">
                            <a:xfrm>
                              <a:off x="1209675" y="960869"/>
                              <a:ext cx="599440" cy="233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00AF0" w14:textId="77777777" w:rsidR="00CE57F9" w:rsidRPr="006D103B" w:rsidRDefault="00CE57F9" w:rsidP="004B39A0">
                                <w:pPr>
                                  <w:adjustRightInd w:val="0"/>
                                  <w:snapToGrid w:val="0"/>
                                  <w:spacing w:line="240" w:lineRule="atLeast"/>
                                  <w:rPr>
                                    <w:rFonts w:ascii="標楷體" w:eastAsia="標楷體" w:hAnsi="標楷體"/>
                                    <w:b/>
                                    <w:sz w:val="18"/>
                                  </w:rPr>
                                </w:pPr>
                                <w:r w:rsidRPr="006D103B">
                                  <w:rPr>
                                    <w:rFonts w:ascii="標楷體" w:eastAsia="標楷體" w:hAnsi="標楷體"/>
                                    <w:b/>
                                    <w:sz w:val="18"/>
                                  </w:rPr>
                                  <w:t>分流管理</w:t>
                                </w:r>
                              </w:p>
                            </w:txbxContent>
                          </wps:txbx>
                          <wps:bodyPr rot="0" vert="horz" wrap="square" lIns="0" tIns="0" rIns="0" bIns="0" anchor="ctr" anchorCtr="0" upright="1">
                            <a:noAutofit/>
                          </wps:bodyPr>
                        </wps:wsp>
                        <wps:wsp>
                          <wps:cNvPr id="519" name="肘形接點 116"/>
                          <wps:cNvCnPr>
                            <a:cxnSpLocks noChangeShapeType="1"/>
                          </wps:cNvCnPr>
                          <wps:spPr bwMode="auto">
                            <a:xfrm flipV="1">
                              <a:off x="3829050" y="342900"/>
                              <a:ext cx="132145" cy="794262"/>
                            </a:xfrm>
                            <a:prstGeom prst="bentConnector3">
                              <a:avLst>
                                <a:gd name="adj1" fmla="val 50000"/>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520" name="橢圓形圖說文字 123"/>
                          <wps:cNvSpPr>
                            <a:spLocks noChangeArrowheads="1"/>
                          </wps:cNvSpPr>
                          <wps:spPr bwMode="auto">
                            <a:xfrm rot="16200000" flipH="1">
                              <a:off x="781050" y="847725"/>
                              <a:ext cx="207645" cy="155575"/>
                            </a:xfrm>
                            <a:prstGeom prst="wedgeEllipseCallout">
                              <a:avLst>
                                <a:gd name="adj1" fmla="val 21657"/>
                                <a:gd name="adj2" fmla="val 93315"/>
                              </a:avLst>
                            </a:prstGeom>
                            <a:noFill/>
                            <a:ln w="12700" algn="ctr">
                              <a:solidFill>
                                <a:schemeClr val="tx1"/>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14:paraId="7810860E" w14:textId="77777777" w:rsidR="00CE57F9" w:rsidRPr="006D103B" w:rsidRDefault="00CE57F9" w:rsidP="004B39A0">
                                <w:pPr>
                                  <w:jc w:val="center"/>
                                  <w:rPr>
                                    <w:rFonts w:ascii="標楷體" w:eastAsia="標楷體" w:hAnsi="標楷體"/>
                                  </w:rPr>
                                </w:pPr>
                              </w:p>
                            </w:txbxContent>
                          </wps:txbx>
                          <wps:bodyPr rot="0" vert="horz" wrap="square" lIns="91440" tIns="45720" rIns="91440" bIns="45720" anchor="ctr" anchorCtr="0" upright="1">
                            <a:noAutofit/>
                          </wps:bodyPr>
                        </wps:wsp>
                        <wps:wsp>
                          <wps:cNvPr id="521" name="橢圓形圖說文字 124"/>
                          <wps:cNvSpPr>
                            <a:spLocks noChangeArrowheads="1"/>
                          </wps:cNvSpPr>
                          <wps:spPr bwMode="auto">
                            <a:xfrm rot="16200000" flipH="1">
                              <a:off x="2981325" y="1476375"/>
                              <a:ext cx="207645" cy="155575"/>
                            </a:xfrm>
                            <a:prstGeom prst="wedgeEllipseCallout">
                              <a:avLst>
                                <a:gd name="adj1" fmla="val -12120"/>
                                <a:gd name="adj2" fmla="val 102977"/>
                              </a:avLst>
                            </a:prstGeom>
                            <a:noFill/>
                            <a:ln w="12700" algn="ctr">
                              <a:solidFill>
                                <a:schemeClr val="tx1"/>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14:paraId="2CF3C45E" w14:textId="77777777" w:rsidR="00CE57F9" w:rsidRPr="006D103B" w:rsidRDefault="00CE57F9" w:rsidP="004B39A0">
                                <w:pPr>
                                  <w:jc w:val="center"/>
                                  <w:rPr>
                                    <w:rFonts w:ascii="標楷體" w:eastAsia="標楷體" w:hAnsi="標楷體"/>
                                  </w:rPr>
                                </w:pPr>
                              </w:p>
                            </w:txbxContent>
                          </wps:txbx>
                          <wps:bodyPr rot="0" vert="horz" wrap="square" lIns="91440" tIns="45720" rIns="91440" bIns="45720" anchor="ctr" anchorCtr="0" upright="1">
                            <a:noAutofit/>
                          </wps:bodyPr>
                        </wps:wsp>
                        <wps:wsp>
                          <wps:cNvPr id="522" name="橢圓形圖說文字 125"/>
                          <wps:cNvSpPr>
                            <a:spLocks noChangeArrowheads="1"/>
                          </wps:cNvSpPr>
                          <wps:spPr bwMode="auto">
                            <a:xfrm rot="16200000" flipH="1">
                              <a:off x="3790950" y="285750"/>
                              <a:ext cx="207645" cy="155575"/>
                            </a:xfrm>
                            <a:prstGeom prst="wedgeEllipseCallout">
                              <a:avLst>
                                <a:gd name="adj1" fmla="val 79528"/>
                                <a:gd name="adj2" fmla="val 65681"/>
                              </a:avLst>
                            </a:prstGeom>
                            <a:noFill/>
                            <a:ln w="12700" algn="ctr">
                              <a:solidFill>
                                <a:schemeClr val="tx1"/>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14:paraId="1EC1189A" w14:textId="77777777" w:rsidR="00CE57F9" w:rsidRPr="006D103B" w:rsidRDefault="00CE57F9" w:rsidP="004B39A0">
                                <w:pPr>
                                  <w:jc w:val="center"/>
                                  <w:rPr>
                                    <w:rFonts w:ascii="標楷體" w:eastAsia="標楷體" w:hAnsi="標楷體"/>
                                  </w:rPr>
                                </w:pPr>
                              </w:p>
                            </w:txbxContent>
                          </wps:txbx>
                          <wps:bodyPr rot="0" vert="horz" wrap="square" lIns="91440" tIns="45720" rIns="91440" bIns="45720" anchor="ctr" anchorCtr="0" upright="1">
                            <a:noAutofit/>
                          </wps:bodyPr>
                        </wps:wsp>
                        <wps:wsp>
                          <wps:cNvPr id="523" name="直線單箭頭接點 126"/>
                          <wps:cNvCnPr>
                            <a:cxnSpLocks noChangeShapeType="1"/>
                          </wps:cNvCnPr>
                          <wps:spPr bwMode="auto">
                            <a:xfrm flipV="1">
                              <a:off x="5048250" y="1524000"/>
                              <a:ext cx="212400" cy="3810"/>
                            </a:xfrm>
                            <a:prstGeom prst="straightConnector1">
                              <a:avLst/>
                            </a:prstGeom>
                            <a:noFill/>
                            <a:ln w="6350" algn="ctr">
                              <a:solidFill>
                                <a:srgbClr val="000000"/>
                              </a:solidFill>
                              <a:miter lim="800000"/>
                              <a:headEnd type="none" w="med" len="sm"/>
                              <a:tailEnd type="triangle" w="sm" len="sm"/>
                            </a:ln>
                            <a:extLst>
                              <a:ext uri="{909E8E84-426E-40DD-AFC4-6F175D3DCCD1}">
                                <a14:hiddenFill xmlns:a14="http://schemas.microsoft.com/office/drawing/2010/main">
                                  <a:noFill/>
                                </a14:hiddenFill>
                              </a:ext>
                            </a:extLst>
                          </wps:spPr>
                          <wps:bodyPr/>
                        </wps:wsp>
                        <wps:wsp>
                          <wps:cNvPr id="524" name="直線單箭頭接點 127"/>
                          <wps:cNvCnPr>
                            <a:cxnSpLocks noChangeShapeType="1"/>
                          </wps:cNvCnPr>
                          <wps:spPr bwMode="auto">
                            <a:xfrm flipV="1">
                              <a:off x="5048250" y="2009775"/>
                              <a:ext cx="212400" cy="3810"/>
                            </a:xfrm>
                            <a:prstGeom prst="straightConnector1">
                              <a:avLst/>
                            </a:prstGeom>
                            <a:noFill/>
                            <a:ln w="6350" algn="ctr">
                              <a:solidFill>
                                <a:srgbClr val="000000"/>
                              </a:solidFill>
                              <a:miter lim="800000"/>
                              <a:headEnd type="none" w="med" len="sm"/>
                              <a:tailEnd type="triangle" w="sm" len="sm"/>
                            </a:ln>
                            <a:extLst>
                              <a:ext uri="{909E8E84-426E-40DD-AFC4-6F175D3DCCD1}">
                                <a14:hiddenFill xmlns:a14="http://schemas.microsoft.com/office/drawing/2010/main">
                                  <a:noFill/>
                                </a14:hiddenFill>
                              </a:ext>
                            </a:extLst>
                          </wps:spPr>
                          <wps:bodyPr/>
                        </wps:wsp>
                        <wps:wsp>
                          <wps:cNvPr id="525" name="直線單箭頭接點 192"/>
                          <wps:cNvCnPr>
                            <a:cxnSpLocks noChangeShapeType="1"/>
                          </wps:cNvCnPr>
                          <wps:spPr bwMode="auto">
                            <a:xfrm flipV="1">
                              <a:off x="5048250" y="2459355"/>
                              <a:ext cx="212400" cy="3810"/>
                            </a:xfrm>
                            <a:prstGeom prst="straightConnector1">
                              <a:avLst/>
                            </a:prstGeom>
                            <a:noFill/>
                            <a:ln w="6350" algn="ctr">
                              <a:solidFill>
                                <a:srgbClr val="000000"/>
                              </a:solidFill>
                              <a:miter lim="800000"/>
                              <a:headEnd type="none" w="med" len="sm"/>
                              <a:tailEnd type="triangle" w="sm" len="sm"/>
                            </a:ln>
                            <a:extLst>
                              <a:ext uri="{909E8E84-426E-40DD-AFC4-6F175D3DCCD1}">
                                <a14:hiddenFill xmlns:a14="http://schemas.microsoft.com/office/drawing/2010/main">
                                  <a:noFill/>
                                </a14:hiddenFill>
                              </a:ext>
                            </a:extLst>
                          </wps:spPr>
                          <wps:bodyPr/>
                        </wps:wsp>
                      </wpg:grpSp>
                      <wps:wsp>
                        <wps:cNvPr id="526" name="文字方塊 2"/>
                        <wps:cNvSpPr txBox="1">
                          <a:spLocks noChangeArrowheads="1"/>
                        </wps:cNvSpPr>
                        <wps:spPr bwMode="auto">
                          <a:xfrm>
                            <a:off x="1689811" y="0"/>
                            <a:ext cx="2850446" cy="329564"/>
                          </a:xfrm>
                          <a:prstGeom prst="rect">
                            <a:avLst/>
                          </a:prstGeom>
                          <a:solidFill>
                            <a:srgbClr val="FFFFFF"/>
                          </a:solidFill>
                          <a:ln w="9525">
                            <a:noFill/>
                            <a:miter lim="800000"/>
                            <a:headEnd/>
                            <a:tailEnd/>
                          </a:ln>
                        </wps:spPr>
                        <wps:txbx>
                          <w:txbxContent>
                            <w:p w14:paraId="70D9863D" w14:textId="092796A8" w:rsidR="00CE57F9" w:rsidRPr="006D103B" w:rsidRDefault="00CE57F9" w:rsidP="004B39A0">
                              <w:pPr>
                                <w:rPr>
                                  <w:rFonts w:ascii="標楷體" w:eastAsia="標楷體" w:hAnsi="標楷體"/>
                                </w:rPr>
                              </w:pPr>
                              <w:r w:rsidRPr="006D103B">
                                <w:rPr>
                                  <w:rFonts w:ascii="標楷體" w:eastAsia="標楷體" w:hAnsi="標楷體" w:hint="eastAsia"/>
                                  <w:b/>
                                  <w:kern w:val="0"/>
                                  <w:szCs w:val="24"/>
                                </w:rPr>
                                <w:t>圖</w:t>
                              </w:r>
                              <w:r>
                                <w:rPr>
                                  <w:rFonts w:ascii="標楷體" w:eastAsia="標楷體" w:hAnsi="標楷體"/>
                                  <w:b/>
                                  <w:kern w:val="0"/>
                                  <w:szCs w:val="24"/>
                                </w:rPr>
                                <w:t>7</w:t>
                              </w:r>
                              <w:r w:rsidRPr="006D103B">
                                <w:rPr>
                                  <w:rFonts w:ascii="標楷體" w:eastAsia="標楷體" w:hAnsi="標楷體" w:hint="eastAsia"/>
                                  <w:b/>
                                  <w:kern w:val="0"/>
                                  <w:szCs w:val="24"/>
                                </w:rPr>
                                <w:t xml:space="preserve">　</w:t>
                              </w:r>
                              <w:r w:rsidRPr="006D103B">
                                <w:rPr>
                                  <w:rFonts w:ascii="標楷體" w:eastAsia="標楷體" w:hAnsi="標楷體" w:hint="eastAsia"/>
                                  <w:b/>
                                  <w:snapToGrid w:val="0"/>
                                  <w:kern w:val="0"/>
                                  <w:szCs w:val="32"/>
                                </w:rPr>
                                <w:t>營建產出物管理架構</w:t>
                              </w:r>
                            </w:p>
                          </w:txbxContent>
                        </wps:txbx>
                        <wps:bodyPr rot="0" vert="horz" wrap="square" lIns="91440" tIns="45720" rIns="91440" bIns="45720" anchor="t" anchorCtr="0">
                          <a:noAutofit/>
                        </wps:bodyPr>
                      </wps:wsp>
                      <wps:wsp>
                        <wps:cNvPr id="527" name="文字方塊 2"/>
                        <wps:cNvSpPr txBox="1">
                          <a:spLocks noChangeArrowheads="1"/>
                        </wps:cNvSpPr>
                        <wps:spPr bwMode="auto">
                          <a:xfrm>
                            <a:off x="395021" y="2508886"/>
                            <a:ext cx="2188209" cy="249554"/>
                          </a:xfrm>
                          <a:prstGeom prst="rect">
                            <a:avLst/>
                          </a:prstGeom>
                          <a:solidFill>
                            <a:srgbClr val="FFFFFF"/>
                          </a:solidFill>
                          <a:ln w="9525">
                            <a:noFill/>
                            <a:miter lim="800000"/>
                            <a:headEnd/>
                            <a:tailEnd/>
                          </a:ln>
                        </wps:spPr>
                        <wps:txbx>
                          <w:txbxContent>
                            <w:p w14:paraId="63FFB823" w14:textId="77777777" w:rsidR="00CE57F9" w:rsidRPr="006D103B" w:rsidRDefault="00CE57F9" w:rsidP="004B39A0">
                              <w:pPr>
                                <w:widowControl/>
                                <w:overflowPunct w:val="0"/>
                                <w:adjustRightInd w:val="0"/>
                                <w:snapToGrid w:val="0"/>
                                <w:rPr>
                                  <w:rFonts w:ascii="標楷體" w:eastAsia="標楷體" w:hAnsi="標楷體"/>
                                  <w:snapToGrid w:val="0"/>
                                  <w:kern w:val="0"/>
                                  <w:sz w:val="22"/>
                                  <w:szCs w:val="32"/>
                                </w:rPr>
                              </w:pPr>
                              <w:r w:rsidRPr="006D103B">
                                <w:rPr>
                                  <w:rFonts w:ascii="標楷體" w:eastAsia="標楷體" w:hAnsi="標楷體" w:hint="eastAsia"/>
                                  <w:snapToGrid w:val="0"/>
                                  <w:kern w:val="0"/>
                                  <w:sz w:val="18"/>
                                  <w:szCs w:val="32"/>
                                </w:rPr>
                                <w:t>資料來源：整理自環</w:t>
                              </w:r>
                              <w:r>
                                <w:rPr>
                                  <w:rFonts w:ascii="標楷體" w:eastAsia="標楷體" w:hAnsi="標楷體" w:hint="eastAsia"/>
                                  <w:snapToGrid w:val="0"/>
                                  <w:kern w:val="0"/>
                                  <w:sz w:val="18"/>
                                  <w:szCs w:val="32"/>
                                </w:rPr>
                                <w:t>境</w:t>
                              </w:r>
                              <w:r w:rsidRPr="006D103B">
                                <w:rPr>
                                  <w:rFonts w:ascii="標楷體" w:eastAsia="標楷體" w:hAnsi="標楷體" w:hint="eastAsia"/>
                                  <w:snapToGrid w:val="0"/>
                                  <w:kern w:val="0"/>
                                  <w:sz w:val="18"/>
                                  <w:szCs w:val="32"/>
                                </w:rPr>
                                <w:t>保</w:t>
                              </w:r>
                              <w:r>
                                <w:rPr>
                                  <w:rFonts w:ascii="標楷體" w:eastAsia="標楷體" w:hAnsi="標楷體" w:hint="eastAsia"/>
                                  <w:snapToGrid w:val="0"/>
                                  <w:kern w:val="0"/>
                                  <w:sz w:val="18"/>
                                  <w:szCs w:val="32"/>
                                </w:rPr>
                                <w:t>護</w:t>
                              </w:r>
                              <w:r w:rsidRPr="006D103B">
                                <w:rPr>
                                  <w:rFonts w:ascii="標楷體" w:eastAsia="標楷體" w:hAnsi="標楷體" w:hint="eastAsia"/>
                                  <w:snapToGrid w:val="0"/>
                                  <w:kern w:val="0"/>
                                  <w:sz w:val="18"/>
                                  <w:szCs w:val="32"/>
                                </w:rPr>
                                <w:t>署提供資料。</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38207B08" id="群組 253" o:spid="_x0000_s1049" style="position:absolute;left:0;text-align:left;margin-left:4pt;margin-top:127.1pt;width:486.3pt;height:217.2pt;z-index:251662848;mso-position-horizontal-relative:margin;mso-width-relative:margin" coordsize="55086,27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">
                <v:group id="群組 254" o:spid="_x0000_s1050" style="position:absolute;top:3657;width:55086;height:21723" coordorigin=",-457" coordsize="63792,2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line id="直線接點 97" o:spid="_x0000_s1051" style="position:absolute;visibility:visible;mso-wrap-style:square" from="31312,11334" to="31312,20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" strokeweight=".5pt">
                    <v:stroke joinstyle="miter"/>
                  </v:line>
                  <v:line id="直線接點 101" o:spid="_x0000_s1052" style="position:absolute;visibility:visible;mso-wrap-style:square" from="30144,19145" to="30804,19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" strokeweight=".5pt">
                    <v:stroke joinstyle="miter"/>
                  </v:line>
                  <v:line id="直線接點 102" o:spid="_x0000_s1053" style="position:absolute;visibility:visible;mso-wrap-style:square" from="30124,12096" to="30784,12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" strokeweight=".5pt">
                    <v:stroke joinstyle="miter"/>
                  </v:line>
                  <v:line id="直線接點 103" o:spid="_x0000_s1054" style="position:absolute;visibility:visible;mso-wrap-style:square" from="30765,15430" to="31305,15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" strokeweight=".5pt">
                    <v:stroke joinstyle="miter"/>
                  </v:line>
                  <v:line id="直線接點 107" o:spid="_x0000_s1055" style="position:absolute;visibility:visible;mso-wrap-style:square" from="19496,15621" to="20324,15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" strokeweight=".5pt">
                    <v:stroke joinstyle="miter"/>
                  </v:line>
                  <v:line id="直線接點 113" o:spid="_x0000_s1056" style="position:absolute;visibility:visible;mso-wrap-style:square" from="7620,9239" to="8772,9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" strokeweight="1pt">
                    <v:stroke joinstyle="miter"/>
                  </v:line>
                  <v:group id="群組 37" o:spid="_x0000_s1057" style="position:absolute;top:7143;width:7607;height:4299" coordsize="7607,4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">
                    <v:shapetype id="_x0000_t117" coordsize="21600,21600" o:spt="117" path="m4353,l17214,r4386,10800l17214,21600r-12861,l,10800xe">
                      <v:stroke joinstyle="miter"/>
                      <v:path gradientshapeok="t" o:connecttype="rect" textboxrect="4353,0,17214,21600"/>
                    </v:shapetype>
                    <v:shape id="AutoShape 577" o:spid="_x0000_s1058" type="#_x0000_t117" style="position:absolute;width:7607;height:4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" strokeweight="1pt"/>
                    <v:shape id="_x0000_s1059" type="#_x0000_t202" style="position:absolute;left:512;top:1097;width:6433;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14:paraId="5F4BB8ED" w14:textId="77777777" w:rsidR="00CE57F9" w:rsidRPr="006D103B" w:rsidRDefault="00CE57F9" w:rsidP="004B39A0">
                            <w:pPr>
                              <w:adjustRightInd w:val="0"/>
                              <w:snapToGrid w:val="0"/>
                              <w:jc w:val="center"/>
                              <w:rPr>
                                <w:rFonts w:ascii="標楷體" w:eastAsia="標楷體" w:hAnsi="標楷體"/>
                                <w:b/>
                                <w:sz w:val="20"/>
                              </w:rPr>
                            </w:pPr>
                            <w:r w:rsidRPr="006D103B">
                              <w:rPr>
                                <w:rFonts w:ascii="標楷體" w:eastAsia="標楷體" w:hAnsi="標楷體" w:hint="eastAsia"/>
                                <w:b/>
                                <w:sz w:val="20"/>
                              </w:rPr>
                              <w:t>營建工程</w:t>
                            </w:r>
                          </w:p>
                        </w:txbxContent>
                      </v:textbox>
                    </v:shape>
                  </v:group>
                  <v:group id="群組 40" o:spid="_x0000_s1060" style="position:absolute;left:9620;top:762;width:9728;height:5410" coordsize="9729,5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v:oval id="橢圓 39" o:spid="_x0000_s1061" style="position:absolute;width:9729;height:5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" fillcolor="#f2f2f2 [3052]" strokeweight="1pt">
                      <v:stroke joinstyle="miter"/>
                    </v:oval>
                    <v:shape id="_x0000_s1062" type="#_x0000_t202" style="position:absolute;left:585;top:292;width:8569;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" filled="f" stroked="f">
                      <v:textbox inset="0,0,0,0">
                        <w:txbxContent>
                          <w:p w14:paraId="77024A77" w14:textId="77777777" w:rsidR="00CE57F9" w:rsidRPr="006D103B" w:rsidRDefault="00CE57F9" w:rsidP="004B39A0">
                            <w:pPr>
                              <w:adjustRightInd w:val="0"/>
                              <w:snapToGrid w:val="0"/>
                              <w:jc w:val="center"/>
                              <w:rPr>
                                <w:rFonts w:ascii="標楷體" w:eastAsia="標楷體" w:hAnsi="標楷體"/>
                                <w:b/>
                                <w:sz w:val="20"/>
                              </w:rPr>
                            </w:pPr>
                            <w:r w:rsidRPr="006D103B">
                              <w:rPr>
                                <w:rFonts w:ascii="標楷體" w:eastAsia="標楷體" w:hAnsi="標楷體" w:hint="eastAsia"/>
                                <w:b/>
                                <w:sz w:val="20"/>
                              </w:rPr>
                              <w:t>營建</w:t>
                            </w:r>
                            <w:r w:rsidRPr="006D103B">
                              <w:rPr>
                                <w:rFonts w:ascii="標楷體" w:eastAsia="標楷體" w:hAnsi="標楷體"/>
                                <w:b/>
                                <w:sz w:val="20"/>
                              </w:rPr>
                              <w:br/>
                            </w:r>
                            <w:r w:rsidRPr="006D103B">
                              <w:rPr>
                                <w:rFonts w:ascii="標楷體" w:eastAsia="標楷體" w:hAnsi="標楷體" w:hint="eastAsia"/>
                                <w:b/>
                                <w:sz w:val="20"/>
                              </w:rPr>
                              <w:t>剩餘土石方</w:t>
                            </w:r>
                          </w:p>
                        </w:txbxContent>
                      </v:textbox>
                    </v:shape>
                  </v:group>
                  <v:group id="群組 41" o:spid="_x0000_s1063" style="position:absolute;left:9715;top:12858;width:9728;height:5410" coordsize="9729,5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4b0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kr/B7JhwBuf4BAAD//wMAUEsBAi0AFAAGAAgAAAAhANvh9svuAAAAhQEAABMAAAAAAAAA&#10;AAAAAAAAAAAAAFtDb250ZW50X1R5cGVzXS54bWxQSwECLQAUAAYACAAAACEAWvQsW78AAAAVAQAA&#10;CwAAAAAAAAAAAAAAAAAfAQAAX3JlbHMvLnJlbHNQSwECLQAUAAYACAAAACEAwteG9MYAAADcAAAA&#10;DwAAAAAAAAAAAAAAAAAHAgAAZHJzL2Rvd25yZXYueG1sUEsFBgAAAAADAAMAtwAAAPoCAAAAAA==&#10;">
                    <v:oval id="橢圓 43" o:spid="_x0000_s1064" style="position:absolute;width:9729;height:5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" fillcolor="#d8d8d8 [2732]" strokeweight="1pt">
                      <v:stroke joinstyle="miter"/>
                    </v:oval>
                    <v:shape id="_x0000_s1065" type="#_x0000_t202" style="position:absolute;left:585;top:292;width:8569;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" filled="f" stroked="f">
                      <v:textbox inset="0,0,0,0">
                        <w:txbxContent>
                          <w:p w14:paraId="2DEFA66D" w14:textId="77777777" w:rsidR="00CE57F9" w:rsidRPr="006D103B" w:rsidRDefault="00CE57F9" w:rsidP="004B39A0">
                            <w:pPr>
                              <w:adjustRightInd w:val="0"/>
                              <w:snapToGrid w:val="0"/>
                              <w:jc w:val="center"/>
                              <w:rPr>
                                <w:rFonts w:ascii="標楷體" w:eastAsia="標楷體" w:hAnsi="標楷體"/>
                                <w:b/>
                                <w:sz w:val="20"/>
                              </w:rPr>
                            </w:pPr>
                            <w:r w:rsidRPr="006D103B">
                              <w:rPr>
                                <w:rFonts w:ascii="標楷體" w:eastAsia="標楷體" w:hAnsi="標楷體" w:hint="eastAsia"/>
                                <w:b/>
                                <w:sz w:val="20"/>
                              </w:rPr>
                              <w:t>營建</w:t>
                            </w:r>
                            <w:r w:rsidRPr="006D103B">
                              <w:rPr>
                                <w:rFonts w:ascii="標楷體" w:eastAsia="標楷體" w:hAnsi="標楷體"/>
                                <w:b/>
                                <w:sz w:val="20"/>
                              </w:rPr>
                              <w:br/>
                            </w:r>
                            <w:r w:rsidRPr="006D103B">
                              <w:rPr>
                                <w:rFonts w:ascii="標楷體" w:eastAsia="標楷體" w:hAnsi="標楷體" w:hint="eastAsia"/>
                                <w:b/>
                                <w:sz w:val="20"/>
                              </w:rPr>
                              <w:t>事業廢棄物</w:t>
                            </w:r>
                          </w:p>
                        </w:txbxContent>
                      </v:textbox>
                    </v:shape>
                  </v:group>
                  <v:group id="群組 44" o:spid="_x0000_s1066" style="position:absolute;left:32289;top:9239;width:5925;height:4096" coordsize="9729,5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">
                    <v:oval id="橢圓 46" o:spid="_x0000_s1067" style="position:absolute;width:9729;height:5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" fillcolor="#f2f2f2 [3052]" strokeweight="1pt">
                      <v:stroke joinstyle="miter"/>
                    </v:oval>
                    <v:shape id="_x0000_s1068" type="#_x0000_t202" style="position:absolute;left:585;top:1162;width:8569;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" filled="f" stroked="f">
                      <v:textbox inset="0,0,0,0">
                        <w:txbxContent>
                          <w:p w14:paraId="5DD06C5A"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土石方</w:t>
                            </w:r>
                          </w:p>
                        </w:txbxContent>
                      </v:textbox>
                    </v:shape>
                  </v:group>
                  <v:group id="群組 47" o:spid="_x0000_s1069" style="position:absolute;left:32289;top:18192;width:5925;height:4096" coordsize="9729,5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oval id="橢圓 49" o:spid="_x0000_s1070" style="position:absolute;width:9729;height:5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" fillcolor="#d8d8d8 [2732]" strokeweight="1pt">
                      <v:stroke joinstyle="miter"/>
                    </v:oval>
                    <v:shape id="_x0000_s1071" type="#_x0000_t202" style="position:absolute;left:585;top:1162;width:8569;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B2xgAAANwAAAAPAAAAZHJzL2Rvd25yZXYueG1sRI9Ba8JA&#10;FITvhf6H5RW81U0Fta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8orgdsYAAADcAAAA&#10;DwAAAAAAAAAAAAAAAAAHAgAAZHJzL2Rvd25yZXYueG1sUEsFBgAAAAADAAMAtwAAAPoCAAAAAA==&#10;" filled="f" stroked="f">
                      <v:textbox inset="0,0,0,0">
                        <w:txbxContent>
                          <w:p w14:paraId="1FD9A0D9"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廢棄物</w:t>
                            </w:r>
                          </w:p>
                        </w:txbxContent>
                      </v:textbox>
                    </v:shape>
                  </v:group>
                  <v:group id="群組 51" o:spid="_x0000_s1072" style="position:absolute;left:21240;top:16668;width:8865;height:4896" coordsize="9875,2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rWy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8pvB7JhwBuf4BAAD//wMAUEsBAi0AFAAGAAgAAAAhANvh9svuAAAAhQEAABMAAAAAAAAA&#10;AAAAAAAAAAAAAFtDb250ZW50X1R5cGVzXS54bWxQSwECLQAUAAYACAAAACEAWvQsW78AAAAVAQAA&#10;CwAAAAAAAAAAAAAAAAAfAQAAX3JlbHMvLnJlbHNQSwECLQAUAAYACAAAACEAKEK1ssYAAADcAAAA&#10;DwAAAAAAAAAAAAAAAAAHAgAAZHJzL2Rvd25yZXYueG1sUEsFBgAAAAADAAMAtwAAAPoCAAAAAA==&#10;">
                    <v:roundrect id="圓角矩形 50" o:spid="_x0000_s1073" style="position:absolute;width:9875;height:263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" fillcolor="#d8d8d8 [2732]" strokeweight="1pt">
                      <v:stroke joinstyle="miter"/>
                    </v:roundrect>
                    <v:shape id="_x0000_s1074" type="#_x0000_t202" style="position:absolute;left:73;top:219;width:9593;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14:paraId="2DC6BB03" w14:textId="77777777" w:rsidR="00CE57F9"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處理</w:t>
                            </w:r>
                            <w:r w:rsidRPr="006D103B">
                              <w:rPr>
                                <w:rFonts w:ascii="標楷體" w:eastAsia="標楷體" w:hAnsi="標楷體"/>
                                <w:sz w:val="20"/>
                              </w:rPr>
                              <w:t>/再利用</w:t>
                            </w:r>
                          </w:p>
                          <w:p w14:paraId="7AFC6ABD" w14:textId="0263126E"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sz w:val="20"/>
                              </w:rPr>
                              <w:t>機構</w:t>
                            </w:r>
                          </w:p>
                        </w:txbxContent>
                      </v:textbox>
                    </v:shape>
                  </v:group>
                  <v:group id="群組 52" o:spid="_x0000_s1075" style="position:absolute;left:21240;top:10858;width:8827;height:2483" coordsize="9875,2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">
                    <v:roundrect id="圓角矩形 54" o:spid="_x0000_s1076" style="position:absolute;width:9875;height:263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" fillcolor="#f2f2f2 [3052]" strokeweight="1pt">
                      <v:stroke joinstyle="miter"/>
                    </v:roundrect>
                    <v:shape id="_x0000_s1077" type="#_x0000_t202" style="position:absolute;left:73;top:219;width:9593;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" filled="f" stroked="f">
                      <v:textbox inset="0,0,0,0">
                        <w:txbxContent>
                          <w:p w14:paraId="4097C08F"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簡易分類場</w:t>
                            </w:r>
                          </w:p>
                        </w:txbxContent>
                      </v:textbox>
                    </v:shape>
                  </v:group>
                  <v:group id="群組 55" o:spid="_x0000_s1078" style="position:absolute;left:39909;top:12858;width:10529;height:4609" coordsize="9729,5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">
                    <v:oval id="橢圓 57" o:spid="_x0000_s1079" style="position:absolute;width:9729;height:5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" fillcolor="#d8d8d8 [2732]" strokeweight="1pt">
                      <v:stroke joinstyle="miter"/>
                    </v:oval>
                    <v:shape id="_x0000_s1080" type="#_x0000_t202" style="position:absolute;left:585;top:426;width:8569;height:4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" filled="f" stroked="f">
                      <v:textbox inset="0,0,0,0">
                        <w:txbxContent>
                          <w:p w14:paraId="18C2F702"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金屬、</w:t>
                            </w:r>
                            <w:r w:rsidRPr="006D103B">
                              <w:rPr>
                                <w:rFonts w:ascii="標楷體" w:eastAsia="標楷體" w:hAnsi="標楷體"/>
                                <w:sz w:val="20"/>
                              </w:rPr>
                              <w:t>玻璃</w:t>
                            </w:r>
                            <w:r w:rsidRPr="006D103B">
                              <w:rPr>
                                <w:rFonts w:ascii="標楷體" w:eastAsia="標楷體" w:hAnsi="標楷體"/>
                                <w:sz w:val="20"/>
                              </w:rPr>
                              <w:br/>
                              <w:t>等資源物</w:t>
                            </w:r>
                          </w:p>
                        </w:txbxContent>
                      </v:textbox>
                    </v:shape>
                  </v:group>
                  <v:group id="群組 58" o:spid="_x0000_s1081" style="position:absolute;left:39909;top:17831;width:10529;height:4680" coordorigin=",-86" coordsize="9729,5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">
                    <v:oval id="橢圓 60" o:spid="_x0000_s1082" style="position:absolute;top:-86;width:9729;height:54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" fillcolor="#d8d8d8 [2732]" strokeweight="1pt">
                      <v:stroke joinstyle="miter"/>
                    </v:oval>
                    <v:shape id="_x0000_s1083" type="#_x0000_t202" style="position:absolute;left:585;top:457;width:8569;height:4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" filled="f" stroked="f">
                      <v:textbox inset="0,0,0,0">
                        <w:txbxContent>
                          <w:p w14:paraId="0A8ABF07"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木材、塑膠</w:t>
                            </w:r>
                            <w:r w:rsidRPr="006D103B">
                              <w:rPr>
                                <w:rFonts w:ascii="標楷體" w:eastAsia="標楷體" w:hAnsi="標楷體"/>
                                <w:sz w:val="20"/>
                              </w:rPr>
                              <w:br/>
                              <w:t>等</w:t>
                            </w:r>
                            <w:r w:rsidRPr="006D103B">
                              <w:rPr>
                                <w:rFonts w:ascii="標楷體" w:eastAsia="標楷體" w:hAnsi="標楷體" w:hint="eastAsia"/>
                                <w:sz w:val="20"/>
                              </w:rPr>
                              <w:t>可燃</w:t>
                            </w:r>
                            <w:r w:rsidRPr="006D103B">
                              <w:rPr>
                                <w:rFonts w:ascii="標楷體" w:eastAsia="標楷體" w:hAnsi="標楷體"/>
                                <w:sz w:val="20"/>
                              </w:rPr>
                              <w:t>物</w:t>
                            </w:r>
                          </w:p>
                        </w:txbxContent>
                      </v:textbox>
                    </v:shape>
                  </v:group>
                  <v:group id="群組 61" o:spid="_x0000_s1084" style="position:absolute;left:39909;top:22814;width:10529;height:3874" coordorigin=",70" coordsize="9729,5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">
                    <v:oval id="橢圓 63" o:spid="_x0000_s1085" style="position:absolute;top:70;width:9729;height:5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" fillcolor="#d8d8d8 [2732]" strokeweight="1pt">
                      <v:stroke joinstyle="miter"/>
                    </v:oval>
                    <v:shape id="_x0000_s1086" type="#_x0000_t202" style="position:absolute;left:584;top:1296;width:8570;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" filled="f" stroked="f">
                      <v:textbox inset="0,0,0,0">
                        <w:txbxContent>
                          <w:p w14:paraId="07CF24F8"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不可燃物</w:t>
                            </w:r>
                          </w:p>
                        </w:txbxContent>
                      </v:textbox>
                    </v:shape>
                  </v:group>
                  <v:shape id="_x0000_s1087" type="#_x0000_t202" style="position:absolute;left:52673;top:2476;width:11119;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" fillcolor="#f2f2f2 [3052]">
                    <v:textbox inset="0,0,0,0">
                      <w:txbxContent>
                        <w:p w14:paraId="30CA0521"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建材使用端</w:t>
                          </w:r>
                        </w:p>
                      </w:txbxContent>
                    </v:textbox>
                  </v:shape>
                  <v:shape id="_x0000_s1088" type="#_x0000_t202" style="position:absolute;left:52578;top:4953;width:11118;height:2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" fillcolor="#f2f2f2 [3052]">
                    <v:textbox inset="0,0,0,0">
                      <w:txbxContent>
                        <w:p w14:paraId="51337DF5"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港區填築</w:t>
                          </w:r>
                        </w:p>
                      </w:txbxContent>
                    </v:textbox>
                  </v:shape>
                  <v:shape id="_x0000_s1089" type="#_x0000_t202" style="position:absolute;left:52578;top:7429;width:11118;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" fillcolor="#f2f2f2 [3052]">
                    <v:textbox inset="0,0,0,0">
                      <w:txbxContent>
                        <w:p w14:paraId="3F73F7F8"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最終填埋</w:t>
                          </w:r>
                        </w:p>
                      </w:txbxContent>
                    </v:textbox>
                  </v:shape>
                  <v:shape id="_x0000_s1090" type="#_x0000_t202" style="position:absolute;left:52578;top:19050;width:11118;height:2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" fillcolor="#d8d8d8 [2732]">
                    <v:textbox inset="0,0,0,0">
                      <w:txbxContent>
                        <w:p w14:paraId="5EFCC85F"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焚化、</w:t>
                          </w:r>
                          <w:r w:rsidRPr="006D103B">
                            <w:rPr>
                              <w:rFonts w:ascii="標楷體" w:eastAsia="標楷體" w:hAnsi="標楷體"/>
                              <w:sz w:val="20"/>
                            </w:rPr>
                            <w:t>鍋爐燃料</w:t>
                          </w:r>
                        </w:p>
                      </w:txbxContent>
                    </v:textbox>
                  </v:shape>
                  <v:shape id="_x0000_s1091" type="#_x0000_t202" style="position:absolute;left:52578;top:14097;width:11118;height:2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" fillcolor="#d8d8d8 [2732]">
                    <v:textbox inset="0,0,0,0">
                      <w:txbxContent>
                        <w:p w14:paraId="229FD834"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再利用</w:t>
                          </w:r>
                        </w:p>
                      </w:txbxContent>
                    </v:textbox>
                  </v:shape>
                  <v:shape id="_x0000_s1092" type="#_x0000_t202" style="position:absolute;left:52578;top:23526;width:11118;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" fillcolor="#d8d8d8 [2732]">
                    <v:textbox inset="0,0,0,0">
                      <w:txbxContent>
                        <w:p w14:paraId="693607BF"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最終掩埋</w:t>
                          </w:r>
                        </w:p>
                      </w:txbxContent>
                    </v:textbox>
                  </v:shape>
                  <v:shape id="_x0000_s1093" type="#_x0000_t202" style="position:absolute;left:52673;width:11119;height:2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" fillcolor="#f2f2f2 [3052]">
                    <v:textbox inset="0,0,0,0">
                      <w:txbxContent>
                        <w:p w14:paraId="58D427D1"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工程端</w:t>
                          </w:r>
                        </w:p>
                      </w:txbxContent>
                    </v:textbox>
                  </v:shape>
                  <v:group id="群組 72" o:spid="_x0000_s1094" style="position:absolute;left:40767;top:1143;width:9874;height:4603" coordsize="9875,2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oundrect id="圓角矩形 74" o:spid="_x0000_s1095" style="position:absolute;width:9875;height:263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" fillcolor="#f2f2f2 [3052]" strokeweight="1pt">
                      <v:stroke joinstyle="miter"/>
                    </v:roundrect>
                    <v:shape id="_x0000_s1096" type="#_x0000_t202" style="position:absolute;left:73;top:219;width:9593;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j8OwQAAANwAAAAPAAAAZHJzL2Rvd25yZXYueG1sRE/Pa8Iw&#10;FL4P/B/CE3abiRv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MwaPw7BAAAA3AAAAA8AAAAA&#10;AAAAAAAAAAAABwIAAGRycy9kb3ducmV2LnhtbFBLBQYAAAAAAwADALcAAAD1AgAAAAA=&#10;" filled="f" stroked="f">
                      <v:textbox inset="0,0,0,0">
                        <w:txbxContent>
                          <w:p w14:paraId="5E085950" w14:textId="77777777" w:rsidR="00CE57F9" w:rsidRPr="006D103B" w:rsidRDefault="00CE57F9" w:rsidP="004B39A0">
                            <w:pPr>
                              <w:adjustRightInd w:val="0"/>
                              <w:snapToGrid w:val="0"/>
                              <w:jc w:val="center"/>
                              <w:rPr>
                                <w:rFonts w:ascii="標楷體" w:eastAsia="標楷體" w:hAnsi="標楷體"/>
                                <w:sz w:val="20"/>
                              </w:rPr>
                            </w:pPr>
                            <w:r w:rsidRPr="006D103B">
                              <w:rPr>
                                <w:rFonts w:ascii="標楷體" w:eastAsia="標楷體" w:hAnsi="標楷體" w:hint="eastAsia"/>
                                <w:sz w:val="20"/>
                              </w:rPr>
                              <w:t>土資場及收容處理場所</w:t>
                            </w:r>
                          </w:p>
                        </w:txbxContent>
                      </v:textbox>
                    </v:shape>
                  </v:group>
                  <v:shape id="_x0000_s1097" type="#_x0000_t202" style="position:absolute;left:19620;top:-457;width:20809;height:38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" filled="f" stroked="f">
                    <v:textbox inset="0,0,0,0">
                      <w:txbxContent>
                        <w:p w14:paraId="01572A7B" w14:textId="77777777" w:rsidR="00CE57F9" w:rsidRPr="006D103B" w:rsidRDefault="00CE57F9" w:rsidP="004B39A0">
                          <w:pPr>
                            <w:adjustRightInd w:val="0"/>
                            <w:snapToGrid w:val="0"/>
                            <w:spacing w:line="240" w:lineRule="atLeast"/>
                            <w:rPr>
                              <w:rFonts w:ascii="標楷體" w:eastAsia="標楷體" w:hAnsi="標楷體"/>
                              <w:sz w:val="18"/>
                            </w:rPr>
                          </w:pPr>
                          <w:r w:rsidRPr="006D103B">
                            <w:rPr>
                              <w:rFonts w:ascii="標楷體" w:eastAsia="標楷體" w:hAnsi="標楷體" w:hint="eastAsia"/>
                              <w:sz w:val="18"/>
                            </w:rPr>
                            <w:t>依「營建剩餘土石方</w:t>
                          </w:r>
                          <w:r w:rsidRPr="006D103B">
                            <w:rPr>
                              <w:rFonts w:ascii="標楷體" w:eastAsia="標楷體" w:hAnsi="標楷體"/>
                              <w:sz w:val="18"/>
                            </w:rPr>
                            <w:t>處理方案</w:t>
                          </w:r>
                          <w:r w:rsidRPr="006D103B">
                            <w:rPr>
                              <w:rFonts w:ascii="標楷體" w:eastAsia="標楷體" w:hAnsi="標楷體" w:hint="eastAsia"/>
                              <w:sz w:val="18"/>
                            </w:rPr>
                            <w:t>」</w:t>
                          </w:r>
                        </w:p>
                        <w:p w14:paraId="0805710D" w14:textId="77777777" w:rsidR="00CE57F9" w:rsidRPr="006D103B" w:rsidRDefault="00CE57F9" w:rsidP="004B39A0">
                          <w:pPr>
                            <w:adjustRightInd w:val="0"/>
                            <w:snapToGrid w:val="0"/>
                            <w:spacing w:line="240" w:lineRule="atLeast"/>
                            <w:rPr>
                              <w:rFonts w:ascii="標楷體" w:eastAsia="標楷體" w:hAnsi="標楷體"/>
                              <w:sz w:val="18"/>
                            </w:rPr>
                          </w:pPr>
                          <w:r w:rsidRPr="006D103B">
                            <w:rPr>
                              <w:rFonts w:ascii="標楷體" w:eastAsia="標楷體" w:hAnsi="標楷體" w:hint="eastAsia"/>
                              <w:sz w:val="18"/>
                            </w:rPr>
                            <w:t>辦理</w:t>
                          </w:r>
                        </w:p>
                      </w:txbxContent>
                    </v:textbox>
                  </v:shape>
                  <v:shape id="_x0000_s1098" type="#_x0000_t202" style="position:absolute;left:8507;top:18473;width:12163;height:4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" filled="f" stroked="f">
                    <v:textbox inset="0,0,0,0">
                      <w:txbxContent>
                        <w:p w14:paraId="53CEB453" w14:textId="77777777" w:rsidR="00CE57F9" w:rsidRPr="006D103B" w:rsidRDefault="00CE57F9" w:rsidP="004B39A0">
                          <w:pPr>
                            <w:adjustRightInd w:val="0"/>
                            <w:snapToGrid w:val="0"/>
                            <w:rPr>
                              <w:rFonts w:ascii="標楷體" w:eastAsia="標楷體" w:hAnsi="標楷體"/>
                              <w:sz w:val="18"/>
                            </w:rPr>
                          </w:pPr>
                          <w:r w:rsidRPr="006D103B">
                            <w:rPr>
                              <w:rFonts w:ascii="標楷體" w:eastAsia="標楷體" w:hAnsi="標楷體" w:hint="eastAsia"/>
                              <w:sz w:val="18"/>
                            </w:rPr>
                            <w:t>依「廢棄物清理法」</w:t>
                          </w:r>
                          <w:r w:rsidRPr="006D103B">
                            <w:rPr>
                              <w:rFonts w:ascii="標楷體" w:eastAsia="標楷體" w:hAnsi="標楷體"/>
                              <w:sz w:val="18"/>
                            </w:rPr>
                            <w:br/>
                          </w:r>
                          <w:r w:rsidRPr="006D103B">
                            <w:rPr>
                              <w:rFonts w:ascii="標楷體" w:eastAsia="標楷體" w:hAnsi="標楷體" w:hint="eastAsia"/>
                              <w:sz w:val="18"/>
                            </w:rPr>
                            <w:t>辦理</w:t>
                          </w:r>
                        </w:p>
                      </w:txbxContent>
                    </v:textbox>
                  </v:shape>
                  <v:shape id="_x0000_s1099" type="#_x0000_t202" style="position:absolute;left:10191;top:7809;width:10131;height:2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" filled="f" stroked="f">
                    <v:textbox inset="0,0,0,0">
                      <w:txbxContent>
                        <w:p w14:paraId="3BE8A6C3" w14:textId="77777777" w:rsidR="00CE57F9" w:rsidRPr="006D103B" w:rsidRDefault="00CE57F9" w:rsidP="004B39A0">
                          <w:pPr>
                            <w:adjustRightInd w:val="0"/>
                            <w:snapToGrid w:val="0"/>
                            <w:spacing w:line="240" w:lineRule="atLeast"/>
                            <w:rPr>
                              <w:rFonts w:ascii="標楷體" w:eastAsia="標楷體" w:hAnsi="標楷體"/>
                              <w:b/>
                              <w:sz w:val="18"/>
                            </w:rPr>
                          </w:pPr>
                          <w:r w:rsidRPr="006D103B">
                            <w:rPr>
                              <w:rFonts w:ascii="標楷體" w:eastAsia="標楷體" w:hAnsi="標楷體" w:hint="eastAsia"/>
                              <w:b/>
                              <w:sz w:val="18"/>
                            </w:rPr>
                            <w:t>土石方與廢棄物</w:t>
                          </w:r>
                        </w:p>
                      </w:txbxContent>
                    </v:textbox>
                  </v:shape>
                  <v:shape id="_x0000_s1100" type="#_x0000_t202" style="position:absolute;left:39624;top:5619;width:5664;height:23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" filled="f" stroked="f">
                    <v:textbox inset="0,0,0,0">
                      <w:txbxContent>
                        <w:p w14:paraId="67525776" w14:textId="77777777" w:rsidR="00CE57F9" w:rsidRPr="006D103B" w:rsidRDefault="00CE57F9" w:rsidP="004B39A0">
                          <w:pPr>
                            <w:rPr>
                              <w:rFonts w:ascii="標楷體" w:eastAsia="標楷體" w:hAnsi="標楷體"/>
                              <w:b/>
                              <w:sz w:val="18"/>
                            </w:rPr>
                          </w:pPr>
                          <w:r w:rsidRPr="006D103B">
                            <w:rPr>
                              <w:rFonts w:ascii="標楷體" w:eastAsia="標楷體" w:hAnsi="標楷體" w:hint="eastAsia"/>
                              <w:b/>
                              <w:sz w:val="18"/>
                            </w:rPr>
                            <w:t>允收標準</w:t>
                          </w:r>
                        </w:p>
                      </w:txbxContent>
                    </v:textbox>
                  </v:shape>
                  <v:line id="直線接點 78" o:spid="_x0000_s1101" style="position:absolute;visibility:visible;mso-wrap-style:square" from="8763,3619" to="8809,15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" strokeweight="1pt">
                    <v:stroke joinstyle="miter"/>
                  </v:line>
                  <v:line id="直線接點 87" o:spid="_x0000_s1102" style="position:absolute;flip:x;visibility:visible;mso-wrap-style:square" from="51625,1238" to="51644,8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" strokeweight=".5pt">
                    <v:stroke joinstyle="miter"/>
                  </v:line>
                  <v:shapetype id="_x0000_t32" coordsize="21600,21600" o:spt="32" o:oned="t" path="m,l21600,21600e" filled="f">
                    <v:path arrowok="t" fillok="f" o:connecttype="none"/>
                    <o:lock v:ext="edit" shapetype="t"/>
                  </v:shapetype>
                  <v:shape id="直線單箭頭接點 88" o:spid="_x0000_s1103" type="#_x0000_t32" style="position:absolute;left:51625;top:1238;width:991;height: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" strokeweight=".5pt">
                    <v:stroke startarrowlength="short" endarrow="block" endarrowwidth="narrow" endarrowlength="short" joinstyle="miter"/>
                  </v:shape>
                  <v:shape id="直線單箭頭接點 89" o:spid="_x0000_s1104" type="#_x0000_t32" style="position:absolute;left:50577;top:3429;width:2013;height: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" strokeweight=".5pt">
                    <v:stroke startarrowlength="short" endarrow="block" endarrowwidth="narrow" endarrowlength="short" joinstyle="miter"/>
                  </v:shape>
                  <v:shape id="直線單箭頭接點 90" o:spid="_x0000_s1105" type="#_x0000_t32" style="position:absolute;left:51625;top:6096;width:991;height: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" strokeweight=".5pt">
                    <v:stroke startarrowlength="short" endarrow="block" endarrowwidth="narrow" endarrowlength="short" joinstyle="miter"/>
                  </v:shape>
                  <v:shape id="直線單箭頭接點 91" o:spid="_x0000_s1106" type="#_x0000_t32" style="position:absolute;left:38862;top:15049;width:990;height: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" strokeweight=".5pt">
                    <v:stroke startarrowlength="short" endarrow="block" endarrowwidth="narrow" endarrowlength="short" joinstyle="miter"/>
                  </v:shape>
                  <v:line id="直線接點 92" o:spid="_x0000_s1107" style="position:absolute;visibility:visible;mso-wrap-style:square" from="38900,15106" to="38938,24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" strokeweight=".5pt">
                    <v:stroke joinstyle="miter"/>
                  </v:line>
                  <v:shape id="直線單箭頭接點 93" o:spid="_x0000_s1108" type="#_x0000_t32" style="position:absolute;left:38195;top:20193;width:1800;height: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" strokeweight=".5pt">
                    <v:stroke startarrowlength="short" endarrow="block" endarrowwidth="narrow" endarrowlength="short" joinstyle="miter"/>
                  </v:shape>
                  <v:shape id="直線單箭頭接點 95" o:spid="_x0000_s1109" type="#_x0000_t32" style="position:absolute;left:38957;top:24669;width:990;height: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" strokeweight=".5pt">
                    <v:stroke startarrowlength="short" endarrow="block" endarrowwidth="narrow" endarrowlength="short" joinstyle="miter"/>
                  </v:shape>
                  <v:shape id="直線單箭頭接點 98" o:spid="_x0000_s1110" type="#_x0000_t32" style="position:absolute;left:31317;top:11334;width:990;height: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" strokeweight=".5pt">
                    <v:stroke startarrowlength="short" endarrow="block" endarrowwidth="narrow" endarrowlength="short" joinstyle="miter"/>
                  </v:shape>
                  <v:shape id="直線單箭頭接點 99" o:spid="_x0000_s1111" type="#_x0000_t32" style="position:absolute;left:31292;top:20288;width:990;height: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" strokeweight=".5pt">
                    <v:stroke startarrowlength="short" endarrow="block" endarrowwidth="narrow" endarrowlength="short" joinstyle="miter"/>
                  </v:shape>
                  <v:line id="直線接點 100" o:spid="_x0000_s1112" style="position:absolute;visibility:visible;mso-wrap-style:square" from="30765,12096" to="30786,191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" strokeweight=".5pt">
                    <v:stroke joinstyle="miter"/>
                  </v:line>
                  <v:line id="直線接點 104" o:spid="_x0000_s1113" style="position:absolute;visibility:visible;mso-wrap-style:square" from="20288,12192" to="20307,19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" strokeweight=".5pt">
                    <v:stroke joinstyle="miter"/>
                  </v:line>
                  <v:shape id="直線單箭頭接點 105" o:spid="_x0000_s1114" type="#_x0000_t32" style="position:absolute;left:20288;top:12192;width:990;height: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" strokeweight=".5pt">
                    <v:stroke startarrowlength="short" endarrow="block" endarrowwidth="narrow" endarrowlength="short" joinstyle="miter"/>
                  </v:shape>
                  <v:shape id="直線單箭頭接點 106" o:spid="_x0000_s1115" type="#_x0000_t32" style="position:absolute;left:20288;top:19240;width:895;height: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" strokeweight=".5pt">
                    <v:stroke startarrowlength="short" endarrow="block" endarrowwidth="narrow" endarrowlength="short" joinstyle="miter"/>
                  </v:shape>
                  <v:shape id="直線單箭頭接點 108" o:spid="_x0000_s1116" type="#_x0000_t32" style="position:absolute;left:51625;top:8382;width:991;height: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" strokeweight=".5pt">
                    <v:stroke startarrowlength="short" endarrow="block" endarrowwidth="narrow" endarrowlength="short" joinstyle="miter"/>
                  </v:shape>
                  <v:line id="直線接點 110" o:spid="_x0000_s1117" style="position:absolute;flip:x;visibility:visible;mso-wrap-style:square" from="19431,3429" to="40671,34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" strokeweight=".5pt">
                    <v:stroke startarrow="block" startarrowwidth="narrow" startarrowlength="short" joinstyle="miter"/>
                  </v:line>
                  <v:shape id="直線單箭頭接點 111" o:spid="_x0000_s1118" type="#_x0000_t32" style="position:absolute;left:8705;top:3543;width:991;height: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" strokeweight="1pt">
                    <v:stroke startarrowlength="short" endarrow="block" endarrowwidth="narrow" endarrowlength="short" joinstyle="miter"/>
                  </v:shape>
                  <v:shape id="直線單箭頭接點 112" o:spid="_x0000_s1119" type="#_x0000_t32" style="position:absolute;left:8763;top:15621;width:990;height: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" strokeweight="1pt">
                    <v:stroke startarrowlength="short" endarrow="block" endarrowwidth="narrow" endarrowlength="short" joinstyle="miter"/>
                  </v:shape>
                  <v:shape id="_x0000_s1120" type="#_x0000_t202" style="position:absolute;left:32575;top:14097;width:5664;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" filled="f" stroked="f">
                    <v:textbox inset="0,0,0,0">
                      <w:txbxContent>
                        <w:p w14:paraId="5CF234CA" w14:textId="77777777" w:rsidR="00CE57F9" w:rsidRPr="006D103B" w:rsidRDefault="00CE57F9" w:rsidP="004B39A0">
                          <w:pPr>
                            <w:rPr>
                              <w:rFonts w:ascii="標楷體" w:eastAsia="標楷體" w:hAnsi="標楷體"/>
                              <w:b/>
                              <w:sz w:val="18"/>
                            </w:rPr>
                          </w:pPr>
                          <w:r w:rsidRPr="006D103B">
                            <w:rPr>
                              <w:rFonts w:ascii="標楷體" w:eastAsia="標楷體" w:hAnsi="標楷體" w:hint="eastAsia"/>
                              <w:b/>
                              <w:sz w:val="18"/>
                            </w:rPr>
                            <w:t>出場標準</w:t>
                          </w:r>
                        </w:p>
                      </w:txbxContent>
                    </v:textbox>
                  </v:shape>
                  <v:shape id="_x0000_s1121" type="#_x0000_t202" style="position:absolute;left:12096;top:9608;width:5995;height:2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" filled="f" stroked="f">
                    <v:textbox inset="0,0,0,0">
                      <w:txbxContent>
                        <w:p w14:paraId="52E00AF0" w14:textId="77777777" w:rsidR="00CE57F9" w:rsidRPr="006D103B" w:rsidRDefault="00CE57F9" w:rsidP="004B39A0">
                          <w:pPr>
                            <w:adjustRightInd w:val="0"/>
                            <w:snapToGrid w:val="0"/>
                            <w:spacing w:line="240" w:lineRule="atLeast"/>
                            <w:rPr>
                              <w:rFonts w:ascii="標楷體" w:eastAsia="標楷體" w:hAnsi="標楷體"/>
                              <w:b/>
                              <w:sz w:val="18"/>
                            </w:rPr>
                          </w:pPr>
                          <w:r w:rsidRPr="006D103B">
                            <w:rPr>
                              <w:rFonts w:ascii="標楷體" w:eastAsia="標楷體" w:hAnsi="標楷體"/>
                              <w:b/>
                              <w:sz w:val="18"/>
                            </w:rPr>
                            <w:t>分流管理</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接點 116" o:spid="_x0000_s1122" type="#_x0000_t34" style="position:absolute;left:38290;top:3429;width:1321;height:7942;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" strokeweight=".5p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橢圓形圖說文字 123" o:spid="_x0000_s1123" type="#_x0000_t63" style="position:absolute;left:7809;top:8477;width:2077;height:1556;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" adj="15478,30956" filled="f" strokecolor="black [3213]" strokeweight="1pt">
                    <v:stroke dashstyle="1 1"/>
                    <v:textbox>
                      <w:txbxContent>
                        <w:p w14:paraId="7810860E" w14:textId="77777777" w:rsidR="00CE57F9" w:rsidRPr="006D103B" w:rsidRDefault="00CE57F9" w:rsidP="004B39A0">
                          <w:pPr>
                            <w:jc w:val="center"/>
                            <w:rPr>
                              <w:rFonts w:ascii="標楷體" w:eastAsia="標楷體" w:hAnsi="標楷體"/>
                            </w:rPr>
                          </w:pPr>
                        </w:p>
                      </w:txbxContent>
                    </v:textbox>
                  </v:shape>
                  <v:shape id="橢圓形圖說文字 124" o:spid="_x0000_s1124" type="#_x0000_t63" style="position:absolute;left:29813;top:14763;width:2076;height:1556;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" adj="8182,33043" filled="f" strokecolor="black [3213]" strokeweight="1pt">
                    <v:stroke dashstyle="1 1"/>
                    <v:textbox>
                      <w:txbxContent>
                        <w:p w14:paraId="2CF3C45E" w14:textId="77777777" w:rsidR="00CE57F9" w:rsidRPr="006D103B" w:rsidRDefault="00CE57F9" w:rsidP="004B39A0">
                          <w:pPr>
                            <w:jc w:val="center"/>
                            <w:rPr>
                              <w:rFonts w:ascii="標楷體" w:eastAsia="標楷體" w:hAnsi="標楷體"/>
                            </w:rPr>
                          </w:pPr>
                        </w:p>
                      </w:txbxContent>
                    </v:textbox>
                  </v:shape>
                  <v:shape id="橢圓形圖說文字 125" o:spid="_x0000_s1125" type="#_x0000_t63" style="position:absolute;left:37909;top:2857;width:2076;height:1556;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" adj="27978,24987" filled="f" strokecolor="black [3213]" strokeweight="1pt">
                    <v:stroke dashstyle="1 1"/>
                    <v:textbox>
                      <w:txbxContent>
                        <w:p w14:paraId="1EC1189A" w14:textId="77777777" w:rsidR="00CE57F9" w:rsidRPr="006D103B" w:rsidRDefault="00CE57F9" w:rsidP="004B39A0">
                          <w:pPr>
                            <w:jc w:val="center"/>
                            <w:rPr>
                              <w:rFonts w:ascii="標楷體" w:eastAsia="標楷體" w:hAnsi="標楷體"/>
                            </w:rPr>
                          </w:pPr>
                        </w:p>
                      </w:txbxContent>
                    </v:textbox>
                  </v:shape>
                  <v:shape id="直線單箭頭接點 126" o:spid="_x0000_s1126" type="#_x0000_t32" style="position:absolute;left:50482;top:15240;width:2124;height: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" strokeweight=".5pt">
                    <v:stroke startarrowlength="short" endarrow="block" endarrowwidth="narrow" endarrowlength="short" joinstyle="miter"/>
                  </v:shape>
                  <v:shape id="直線單箭頭接點 127" o:spid="_x0000_s1127" type="#_x0000_t32" style="position:absolute;left:50482;top:20097;width:2124;height: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" strokeweight=".5pt">
                    <v:stroke startarrowlength="short" endarrow="block" endarrowwidth="narrow" endarrowlength="short" joinstyle="miter"/>
                  </v:shape>
                  <v:shape id="直線單箭頭接點 192" o:spid="_x0000_s1128" type="#_x0000_t32" style="position:absolute;left:50482;top:24593;width:2124;height: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" strokeweight=".5pt">
                    <v:stroke startarrowlength="short" endarrow="block" endarrowwidth="narrow" endarrowlength="short" joinstyle="miter"/>
                  </v:shape>
                </v:group>
                <v:shape id="_x0000_s1129" type="#_x0000_t202" style="position:absolute;left:16898;width:28504;height:3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" stroked="f">
                  <v:textbox>
                    <w:txbxContent>
                      <w:p w14:paraId="70D9863D" w14:textId="092796A8" w:rsidR="00CE57F9" w:rsidRPr="006D103B" w:rsidRDefault="00CE57F9" w:rsidP="004B39A0">
                        <w:pPr>
                          <w:rPr>
                            <w:rFonts w:ascii="標楷體" w:eastAsia="標楷體" w:hAnsi="標楷體"/>
                          </w:rPr>
                        </w:pPr>
                        <w:r w:rsidRPr="006D103B">
                          <w:rPr>
                            <w:rFonts w:ascii="標楷體" w:eastAsia="標楷體" w:hAnsi="標楷體" w:hint="eastAsia"/>
                            <w:b/>
                            <w:kern w:val="0"/>
                            <w:szCs w:val="24"/>
                          </w:rPr>
                          <w:t>圖</w:t>
                        </w:r>
                        <w:r>
                          <w:rPr>
                            <w:rFonts w:ascii="標楷體" w:eastAsia="標楷體" w:hAnsi="標楷體"/>
                            <w:b/>
                            <w:kern w:val="0"/>
                            <w:szCs w:val="24"/>
                          </w:rPr>
                          <w:t>7</w:t>
                        </w:r>
                        <w:r w:rsidRPr="006D103B">
                          <w:rPr>
                            <w:rFonts w:ascii="標楷體" w:eastAsia="標楷體" w:hAnsi="標楷體" w:hint="eastAsia"/>
                            <w:b/>
                            <w:kern w:val="0"/>
                            <w:szCs w:val="24"/>
                          </w:rPr>
                          <w:t xml:space="preserve">　</w:t>
                        </w:r>
                        <w:r w:rsidRPr="006D103B">
                          <w:rPr>
                            <w:rFonts w:ascii="標楷體" w:eastAsia="標楷體" w:hAnsi="標楷體" w:hint="eastAsia"/>
                            <w:b/>
                            <w:snapToGrid w:val="0"/>
                            <w:kern w:val="0"/>
                            <w:szCs w:val="32"/>
                          </w:rPr>
                          <w:t>營建產出物管理架構</w:t>
                        </w:r>
                      </w:p>
                    </w:txbxContent>
                  </v:textbox>
                </v:shape>
                <v:shape id="_x0000_s1130" type="#_x0000_t202" style="position:absolute;left:3950;top:25088;width:21882;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" stroked="f">
                  <v:textbox>
                    <w:txbxContent>
                      <w:p w14:paraId="63FFB823" w14:textId="77777777" w:rsidR="00CE57F9" w:rsidRPr="006D103B" w:rsidRDefault="00CE57F9" w:rsidP="004B39A0">
                        <w:pPr>
                          <w:widowControl/>
                          <w:overflowPunct w:val="0"/>
                          <w:adjustRightInd w:val="0"/>
                          <w:snapToGrid w:val="0"/>
                          <w:rPr>
                            <w:rFonts w:ascii="標楷體" w:eastAsia="標楷體" w:hAnsi="標楷體"/>
                            <w:snapToGrid w:val="0"/>
                            <w:kern w:val="0"/>
                            <w:sz w:val="22"/>
                            <w:szCs w:val="32"/>
                          </w:rPr>
                        </w:pPr>
                        <w:r w:rsidRPr="006D103B">
                          <w:rPr>
                            <w:rFonts w:ascii="標楷體" w:eastAsia="標楷體" w:hAnsi="標楷體" w:hint="eastAsia"/>
                            <w:snapToGrid w:val="0"/>
                            <w:kern w:val="0"/>
                            <w:sz w:val="18"/>
                            <w:szCs w:val="32"/>
                          </w:rPr>
                          <w:t>資料來源：整理自環</w:t>
                        </w:r>
                        <w:r>
                          <w:rPr>
                            <w:rFonts w:ascii="標楷體" w:eastAsia="標楷體" w:hAnsi="標楷體" w:hint="eastAsia"/>
                            <w:snapToGrid w:val="0"/>
                            <w:kern w:val="0"/>
                            <w:sz w:val="18"/>
                            <w:szCs w:val="32"/>
                          </w:rPr>
                          <w:t>境</w:t>
                        </w:r>
                        <w:r w:rsidRPr="006D103B">
                          <w:rPr>
                            <w:rFonts w:ascii="標楷體" w:eastAsia="標楷體" w:hAnsi="標楷體" w:hint="eastAsia"/>
                            <w:snapToGrid w:val="0"/>
                            <w:kern w:val="0"/>
                            <w:sz w:val="18"/>
                            <w:szCs w:val="32"/>
                          </w:rPr>
                          <w:t>保</w:t>
                        </w:r>
                        <w:r>
                          <w:rPr>
                            <w:rFonts w:ascii="標楷體" w:eastAsia="標楷體" w:hAnsi="標楷體" w:hint="eastAsia"/>
                            <w:snapToGrid w:val="0"/>
                            <w:kern w:val="0"/>
                            <w:sz w:val="18"/>
                            <w:szCs w:val="32"/>
                          </w:rPr>
                          <w:t>護</w:t>
                        </w:r>
                        <w:r w:rsidRPr="006D103B">
                          <w:rPr>
                            <w:rFonts w:ascii="標楷體" w:eastAsia="標楷體" w:hAnsi="標楷體" w:hint="eastAsia"/>
                            <w:snapToGrid w:val="0"/>
                            <w:kern w:val="0"/>
                            <w:sz w:val="18"/>
                            <w:szCs w:val="32"/>
                          </w:rPr>
                          <w:t>署提供資料。</w:t>
                        </w:r>
                      </w:p>
                    </w:txbxContent>
                  </v:textbox>
                </v:shape>
                <w10:wrap type="square" anchorx="margin"/>
              </v:group>
            </w:pict>
          </mc:Fallback>
        </mc:AlternateContent>
      </w:r>
      <w:r w:rsidR="006D103B" w:rsidRPr="009D11AD">
        <w:rPr>
          <w:rFonts w:ascii="標楷體" w:eastAsia="標楷體" w:hAnsi="標楷體" w:hint="eastAsia"/>
          <w:noProof/>
          <w:szCs w:val="24"/>
        </w:rPr>
        <w:t>近年來由於社會經濟活動快速發展，一般建築工程及交通</w:t>
      </w:r>
      <w:r w:rsidR="006D103B" w:rsidRPr="0058462D">
        <w:rPr>
          <w:rFonts w:ascii="標楷體" w:eastAsia="標楷體" w:hAnsi="標楷體" w:hint="eastAsia"/>
          <w:noProof/>
          <w:szCs w:val="24"/>
        </w:rPr>
        <w:t>建</w:t>
      </w:r>
      <w:r w:rsidR="000172B9" w:rsidRPr="0058462D">
        <w:rPr>
          <w:rFonts w:ascii="標楷體" w:eastAsia="標楷體" w:hAnsi="標楷體" w:hint="eastAsia"/>
          <w:noProof/>
          <w:szCs w:val="24"/>
        </w:rPr>
        <w:t>設</w:t>
      </w:r>
      <w:r w:rsidR="006D103B" w:rsidRPr="009D11AD">
        <w:rPr>
          <w:rFonts w:ascii="標楷體" w:eastAsia="標楷體" w:hAnsi="標楷體" w:hint="eastAsia"/>
          <w:noProof/>
          <w:szCs w:val="24"/>
        </w:rPr>
        <w:t>等重大公共工程日益增加，而工程建造、開挖、拆除等施工作業過程，常伴隨產生大量營建產出物，包含營建剩餘土石方與營建事業廢棄物</w:t>
      </w:r>
      <w:r w:rsidR="006D103B" w:rsidRPr="00346BDD">
        <w:rPr>
          <w:rFonts w:ascii="標楷體" w:eastAsia="標楷體" w:hAnsi="標楷體" w:hint="eastAsia"/>
          <w:noProof/>
          <w:szCs w:val="24"/>
        </w:rPr>
        <w:t>（圖</w:t>
      </w:r>
      <w:r w:rsidR="00105077" w:rsidRPr="00346BDD">
        <w:rPr>
          <w:rFonts w:ascii="標楷體" w:eastAsia="標楷體" w:hAnsi="標楷體" w:hint="eastAsia"/>
          <w:noProof/>
          <w:szCs w:val="24"/>
        </w:rPr>
        <w:t>7</w:t>
      </w:r>
      <w:r w:rsidR="006D103B" w:rsidRPr="00346BDD">
        <w:rPr>
          <w:rFonts w:ascii="標楷體" w:eastAsia="標楷體" w:hAnsi="標楷體" w:hint="eastAsia"/>
          <w:noProof/>
          <w:szCs w:val="24"/>
        </w:rPr>
        <w:t>）。依</w:t>
      </w:r>
      <w:r w:rsidR="006D103B" w:rsidRPr="009D11AD">
        <w:rPr>
          <w:rFonts w:ascii="標楷體" w:eastAsia="標楷體" w:hAnsi="標楷體" w:hint="eastAsia"/>
          <w:noProof/>
          <w:szCs w:val="24"/>
        </w:rPr>
        <w:t>據內政部營建署</w:t>
      </w:r>
      <w:r w:rsidR="005433AA" w:rsidRPr="00346BDD">
        <w:rPr>
          <w:rFonts w:ascii="標楷體" w:eastAsia="標楷體" w:hAnsi="標楷體" w:hint="eastAsia"/>
          <w:noProof/>
          <w:szCs w:val="24"/>
        </w:rPr>
        <w:t>（下稱營建署）</w:t>
      </w:r>
      <w:r w:rsidR="006D103B" w:rsidRPr="009D11AD">
        <w:rPr>
          <w:rFonts w:ascii="標楷體" w:eastAsia="標楷體" w:hAnsi="標楷體" w:hint="eastAsia"/>
          <w:noProof/>
          <w:szCs w:val="24"/>
        </w:rPr>
        <w:t>營建剩餘土石方資訊服務中心及環境保護署事業廢棄物申報量統計資料，全國營建事業於111年度，共計產出營建剩餘土石方4,287萬餘立方公尺及營建事業廢棄物275萬餘公噸，產出數量及規模龐巨。由於可再利用之土石方隨事業廢棄物遭違法棄置、</w:t>
      </w:r>
      <w:r w:rsidR="006D103B" w:rsidRPr="000172B9">
        <w:rPr>
          <w:rFonts w:ascii="標楷體" w:eastAsia="標楷體" w:hAnsi="標楷體" w:hint="eastAsia"/>
          <w:noProof/>
          <w:szCs w:val="24"/>
        </w:rPr>
        <w:t>危害國土環境情事迭經發生</w:t>
      </w:r>
      <w:r w:rsidR="006D103B" w:rsidRPr="009D11AD">
        <w:rPr>
          <w:rFonts w:ascii="標楷體" w:eastAsia="標楷體" w:hAnsi="標楷體" w:hint="eastAsia"/>
          <w:noProof/>
          <w:szCs w:val="24"/>
        </w:rPr>
        <w:t>，行政院自110年起即</w:t>
      </w:r>
      <w:r w:rsidR="0069290D" w:rsidRPr="009D11AD">
        <w:rPr>
          <w:rFonts w:ascii="標楷體" w:eastAsia="標楷體" w:hAnsi="標楷體" w:hint="eastAsia"/>
          <w:noProof/>
          <w:szCs w:val="24"/>
        </w:rPr>
        <w:t>邀集行政院公共工程委員會</w:t>
      </w:r>
      <w:r w:rsidR="006D103B" w:rsidRPr="009D11AD">
        <w:rPr>
          <w:rFonts w:ascii="標楷體" w:eastAsia="標楷體" w:hAnsi="標楷體" w:hint="eastAsia"/>
          <w:noProof/>
          <w:szCs w:val="24"/>
        </w:rPr>
        <w:t>、</w:t>
      </w:r>
      <w:r w:rsidR="00B44E66" w:rsidRPr="009D11AD">
        <w:rPr>
          <w:rFonts w:ascii="標楷體" w:eastAsia="標楷體" w:hAnsi="標楷體" w:hint="eastAsia"/>
          <w:noProof/>
          <w:szCs w:val="24"/>
        </w:rPr>
        <w:t>環境保護署</w:t>
      </w:r>
      <w:r w:rsidR="006D103B" w:rsidRPr="009D11AD">
        <w:rPr>
          <w:rFonts w:ascii="標楷體" w:eastAsia="標楷體" w:hAnsi="標楷體" w:hint="eastAsia"/>
          <w:noProof/>
          <w:szCs w:val="24"/>
        </w:rPr>
        <w:t>及營建</w:t>
      </w:r>
      <w:r w:rsidR="006D103B" w:rsidRPr="00346BDD">
        <w:rPr>
          <w:rFonts w:ascii="標楷體" w:eastAsia="標楷體" w:hAnsi="標楷體" w:hint="eastAsia"/>
          <w:noProof/>
          <w:szCs w:val="24"/>
        </w:rPr>
        <w:t>署等</w:t>
      </w:r>
      <w:r w:rsidR="006D103B" w:rsidRPr="009D11AD">
        <w:rPr>
          <w:rFonts w:ascii="標楷體" w:eastAsia="標楷體" w:hAnsi="標楷體" w:hint="eastAsia"/>
          <w:noProof/>
          <w:szCs w:val="24"/>
        </w:rPr>
        <w:t>部會</w:t>
      </w:r>
      <w:r w:rsidR="005433AA">
        <w:rPr>
          <w:rFonts w:ascii="標楷體" w:eastAsia="標楷體" w:hAnsi="標楷體" w:hint="eastAsia"/>
          <w:noProof/>
          <w:szCs w:val="24"/>
        </w:rPr>
        <w:t>機關</w:t>
      </w:r>
      <w:r w:rsidR="006D103B" w:rsidRPr="009D11AD">
        <w:rPr>
          <w:rFonts w:ascii="標楷體" w:eastAsia="標楷體" w:hAnsi="標楷體" w:hint="eastAsia"/>
          <w:noProof/>
          <w:szCs w:val="24"/>
        </w:rPr>
        <w:t>，就源頭產出、流向（程）管理、末端使用等檢視問題及研議對策</w:t>
      </w:r>
      <w:r w:rsidR="006D103B" w:rsidRPr="007728D2">
        <w:rPr>
          <w:rFonts w:ascii="標楷體" w:eastAsia="標楷體" w:hAnsi="標楷體" w:hint="eastAsia"/>
          <w:noProof/>
          <w:szCs w:val="24"/>
        </w:rPr>
        <w:t>。</w:t>
      </w:r>
      <w:r w:rsidR="006D103B" w:rsidRPr="009D11AD">
        <w:rPr>
          <w:rFonts w:ascii="標楷體" w:eastAsia="標楷體" w:hAnsi="標楷體" w:hint="eastAsia"/>
          <w:noProof/>
          <w:szCs w:val="24"/>
        </w:rPr>
        <w:t>經查政府推動營建剩餘土石方及營建事業廢棄物管理與再利用執行情形，核有：1.營建剩餘土石方與營建事業廢棄物各有相關規範及定義，且行之有年，近年來濫倒廢土頻傳，其究屬土石方或廢棄物，相關認定及管理權責存有爭議，亟待督促訂定務實可行之認定標準與處理程序，並通函相關政府單位與民間業者，以利依循，確保適材適所；2.營建剩餘土石方及營建廢棄物之管理僅從產源</w:t>
      </w:r>
      <w:r w:rsidR="006D103B" w:rsidRPr="0042273D">
        <w:rPr>
          <w:rFonts w:ascii="標楷體" w:eastAsia="標楷體" w:hAnsi="標楷體" w:hint="eastAsia"/>
          <w:noProof/>
          <w:szCs w:val="24"/>
        </w:rPr>
        <w:t>管制</w:t>
      </w:r>
      <w:r w:rsidR="006D103B" w:rsidRPr="000172B9">
        <w:rPr>
          <w:rFonts w:ascii="標楷體" w:eastAsia="標楷體" w:hAnsi="標楷體" w:hint="eastAsia"/>
          <w:noProof/>
          <w:szCs w:val="24"/>
        </w:rPr>
        <w:t>至土</w:t>
      </w:r>
      <w:r w:rsidR="00666962" w:rsidRPr="000172B9">
        <w:rPr>
          <w:rFonts w:ascii="標楷體" w:eastAsia="標楷體" w:hAnsi="標楷體" w:hint="eastAsia"/>
          <w:noProof/>
          <w:szCs w:val="24"/>
        </w:rPr>
        <w:t>石</w:t>
      </w:r>
      <w:r w:rsidR="00666962" w:rsidRPr="0042273D">
        <w:rPr>
          <w:rFonts w:ascii="標楷體" w:eastAsia="標楷體" w:hAnsi="標楷體" w:hint="eastAsia"/>
          <w:noProof/>
          <w:szCs w:val="24"/>
        </w:rPr>
        <w:t>方</w:t>
      </w:r>
      <w:r w:rsidR="006D103B" w:rsidRPr="0042273D">
        <w:rPr>
          <w:rFonts w:ascii="標楷體" w:eastAsia="標楷體" w:hAnsi="標楷體" w:hint="eastAsia"/>
          <w:noProof/>
          <w:szCs w:val="24"/>
        </w:rPr>
        <w:t>資</w:t>
      </w:r>
      <w:r w:rsidR="00666962" w:rsidRPr="0042273D">
        <w:rPr>
          <w:rFonts w:ascii="標楷體" w:eastAsia="標楷體" w:hAnsi="標楷體" w:hint="eastAsia"/>
          <w:noProof/>
          <w:szCs w:val="24"/>
        </w:rPr>
        <w:t>源堆置處理</w:t>
      </w:r>
      <w:r w:rsidR="006D103B" w:rsidRPr="0042273D">
        <w:rPr>
          <w:rFonts w:ascii="標楷體" w:eastAsia="標楷體" w:hAnsi="標楷體" w:hint="eastAsia"/>
          <w:noProof/>
          <w:szCs w:val="24"/>
        </w:rPr>
        <w:t>場或再利用</w:t>
      </w:r>
      <w:r w:rsidR="006D103B" w:rsidRPr="009D11AD">
        <w:rPr>
          <w:rFonts w:ascii="標楷體" w:eastAsia="標楷體" w:hAnsi="標楷體" w:hint="eastAsia"/>
          <w:noProof/>
          <w:szCs w:val="24"/>
        </w:rPr>
        <w:t>機構等，</w:t>
      </w:r>
      <w:r w:rsidR="006D103B" w:rsidRPr="005433AA">
        <w:rPr>
          <w:rFonts w:ascii="標楷體" w:eastAsia="標楷體" w:hAnsi="標楷體" w:hint="eastAsia"/>
          <w:noProof/>
          <w:szCs w:val="24"/>
        </w:rPr>
        <w:t>欠缺全程流向管理，未能有效掌握總產出量與後端最終使用情形，致違法業者有取巧空間，主</w:t>
      </w:r>
      <w:r w:rsidR="006D103B" w:rsidRPr="009D11AD">
        <w:rPr>
          <w:rFonts w:ascii="標楷體" w:eastAsia="標楷體" w:hAnsi="標楷體" w:hint="eastAsia"/>
          <w:noProof/>
          <w:szCs w:val="24"/>
        </w:rPr>
        <w:t>管機</w:t>
      </w:r>
      <w:r w:rsidR="006D103B" w:rsidRPr="009D11AD">
        <w:rPr>
          <w:rFonts w:ascii="標楷體" w:eastAsia="標楷體" w:hAnsi="標楷體" w:hint="eastAsia"/>
          <w:noProof/>
          <w:szCs w:val="24"/>
        </w:rPr>
        <w:lastRenderedPageBreak/>
        <w:t>關宜從產源至終端使用地點，運用科技工具及透過系統介接，完備全程流向管理機制；3.政府將違規傾倒廢土納入國土利用監測進行變異點通報，以清查國土不當利用情形，惟</w:t>
      </w:r>
      <w:r w:rsidR="000172B9" w:rsidRPr="002B52F0">
        <w:rPr>
          <w:rFonts w:ascii="標楷體" w:eastAsia="標楷體" w:hAnsi="標楷體" w:hint="eastAsia"/>
          <w:noProof/>
          <w:szCs w:val="24"/>
        </w:rPr>
        <w:t>因</w:t>
      </w:r>
      <w:r w:rsidR="006D103B" w:rsidRPr="009D11AD">
        <w:rPr>
          <w:rFonts w:ascii="標楷體" w:eastAsia="標楷體" w:hAnsi="標楷體" w:hint="eastAsia"/>
          <w:noProof/>
          <w:szCs w:val="24"/>
        </w:rPr>
        <w:t>屬事後查處，違法狀況仍頻</w:t>
      </w:r>
      <w:r w:rsidR="006D103B" w:rsidRPr="000172B9">
        <w:rPr>
          <w:rFonts w:ascii="標楷體" w:eastAsia="標楷體" w:hAnsi="標楷體" w:hint="eastAsia"/>
          <w:noProof/>
          <w:szCs w:val="24"/>
        </w:rPr>
        <w:t>，亟待研議多元防範及管制措施，</w:t>
      </w:r>
      <w:r w:rsidR="000172B9" w:rsidRPr="00346BDD">
        <w:rPr>
          <w:rFonts w:ascii="標楷體" w:eastAsia="標楷體" w:hAnsi="標楷體" w:hint="eastAsia"/>
          <w:noProof/>
          <w:szCs w:val="24"/>
        </w:rPr>
        <w:t>運用資訊科技查處違規，並加強檢警環合作，結合全民監督，以有效嚇阻不法行為</w:t>
      </w:r>
      <w:r w:rsidR="006D103B" w:rsidRPr="00346BDD">
        <w:rPr>
          <w:rFonts w:ascii="標楷體" w:eastAsia="標楷體" w:hAnsi="標楷體" w:hint="eastAsia"/>
          <w:noProof/>
          <w:szCs w:val="24"/>
        </w:rPr>
        <w:t>；</w:t>
      </w:r>
      <w:r w:rsidR="006D103B" w:rsidRPr="00346BDD">
        <w:rPr>
          <w:rFonts w:ascii="標楷體" w:eastAsia="標楷體" w:hAnsi="標楷體"/>
          <w:noProof/>
          <w:szCs w:val="24"/>
        </w:rPr>
        <w:t>4.</w:t>
      </w:r>
      <w:r w:rsidR="000172B9" w:rsidRPr="00346BDD">
        <w:rPr>
          <w:rFonts w:ascii="標楷體" w:eastAsia="標楷體" w:hAnsi="標楷體" w:hint="eastAsia"/>
          <w:noProof/>
          <w:szCs w:val="24"/>
        </w:rPr>
        <w:t>政府將營建剩餘土石方作為可再利用土石資源，惟部分土質去化管道受限或遭排擠，最終去處不足，致棄置事件頻傳，亟待協調相關部會盤點土方需求與規劃去化場域，促進資源有效利用等情事</w:t>
      </w:r>
      <w:r w:rsidR="006D103B" w:rsidRPr="00346BDD">
        <w:rPr>
          <w:rFonts w:ascii="標楷體" w:eastAsia="標楷體" w:hAnsi="標楷體" w:hint="eastAsia"/>
          <w:noProof/>
          <w:szCs w:val="24"/>
        </w:rPr>
        <w:t>，經函請行政院督促研謀改善。據復：</w:t>
      </w:r>
      <w:r w:rsidR="000172B9" w:rsidRPr="00346BDD">
        <w:rPr>
          <w:rFonts w:ascii="標楷體" w:eastAsia="標楷體" w:hAnsi="標楷體" w:hint="eastAsia"/>
          <w:noProof/>
          <w:szCs w:val="24"/>
        </w:rPr>
        <w:t>1.有關營建混合物處理產出之土石方之品質允收標準，已納入營建事業廢棄物再利用管理辦法修正草案；另再利用機構產品為營建剩餘土石方者，則依營建剩餘土石方處理方案處理，其產物應符合收容處理場所之進場基準；</w:t>
      </w:r>
      <w:r w:rsidR="000172B9" w:rsidRPr="00346BDD">
        <w:rPr>
          <w:rFonts w:ascii="標楷體" w:eastAsia="標楷體" w:hAnsi="標楷體"/>
          <w:noProof/>
          <w:szCs w:val="24"/>
        </w:rPr>
        <w:t>2.營建署將於營建事業廢棄物再利用管理辦法修正</w:t>
      </w:r>
      <w:r w:rsidR="00891BA6" w:rsidRPr="00346BDD">
        <w:rPr>
          <w:rFonts w:ascii="標楷體" w:eastAsia="標楷體" w:hAnsi="標楷體" w:hint="eastAsia"/>
          <w:noProof/>
          <w:szCs w:val="24"/>
        </w:rPr>
        <w:t>發</w:t>
      </w:r>
      <w:r w:rsidR="000172B9" w:rsidRPr="00346BDD">
        <w:rPr>
          <w:rFonts w:ascii="標楷體" w:eastAsia="標楷體" w:hAnsi="標楷體"/>
          <w:noProof/>
          <w:szCs w:val="24"/>
        </w:rPr>
        <w:t>布後，要求所轄再利用機構落實申報流向，並於刻正辦理之強化營建剩餘土石方全流程管理計畫（112</w:t>
      </w:r>
      <w:r w:rsidR="00652377" w:rsidRPr="00346BDD">
        <w:rPr>
          <w:rFonts w:ascii="標楷體" w:eastAsia="標楷體" w:hAnsi="標楷體" w:hint="eastAsia"/>
          <w:noProof/>
          <w:szCs w:val="24"/>
        </w:rPr>
        <w:t>－</w:t>
      </w:r>
      <w:r w:rsidR="000172B9" w:rsidRPr="00346BDD">
        <w:rPr>
          <w:rFonts w:ascii="標楷體" w:eastAsia="標楷體" w:hAnsi="標楷體"/>
          <w:noProof/>
          <w:szCs w:val="24"/>
        </w:rPr>
        <w:t>115年）著手建置全國營建剩餘土石方之GPS流向管控系統，未來提供地方政府使用；至於系統介接部分，該署已與環</w:t>
      </w:r>
      <w:r w:rsidR="000172B9" w:rsidRPr="00346BDD">
        <w:rPr>
          <w:rFonts w:ascii="標楷體" w:eastAsia="標楷體" w:hAnsi="標楷體" w:hint="eastAsia"/>
          <w:noProof/>
          <w:szCs w:val="24"/>
        </w:rPr>
        <w:t>境保護署獲致共識，納入全國建築管理資訊系統推廣計畫辦理中，預計</w:t>
      </w:r>
      <w:r w:rsidR="000172B9" w:rsidRPr="00346BDD">
        <w:rPr>
          <w:rFonts w:ascii="標楷體" w:eastAsia="標楷體" w:hAnsi="標楷體"/>
          <w:noProof/>
          <w:szCs w:val="24"/>
        </w:rPr>
        <w:t>113年底前完成；3.考量違規狀況仍頻，內政部對地方政府策進作為包含加強列管追蹤、提供經費補助、縮短變異點通報時間、強化「傾倒廢棄物、土」查處作業及落實資訊公開等；另營建署將研擬修正強化建築物施工管理作業原則，將營建剩餘土石方及營建廢棄物經完善處理之證明文件納入使用執照審查項目等；4.營建署將盤點全國潛在可作為收容處理場所之地點，並輔導地方政</w:t>
      </w:r>
      <w:r w:rsidR="007728D2" w:rsidRPr="00346BDD">
        <w:rPr>
          <w:rFonts w:ascii="標楷體" w:eastAsia="標楷體" w:hAnsi="標楷體" w:hint="eastAsia"/>
          <w:noProof/>
          <w:szCs w:val="24"/>
        </w:rPr>
        <w:t>府規劃或協助場所業者積極設置處理場所，以增加收容量能；另洽</w:t>
      </w:r>
      <w:r w:rsidR="000172B9" w:rsidRPr="00346BDD">
        <w:rPr>
          <w:rFonts w:ascii="標楷體" w:eastAsia="標楷體" w:hAnsi="標楷體" w:hint="eastAsia"/>
          <w:noProof/>
          <w:szCs w:val="24"/>
        </w:rPr>
        <w:t>農業委員會等相關主管機關，研商如何有效利用營建剩餘土石方中符合農作使用之土質提供農民使用，以恢復荒廢土地，提升土地使用價值。</w:t>
      </w:r>
    </w:p>
    <w:p w14:paraId="53A9284B" w14:textId="68FA2834" w:rsidR="00E95664" w:rsidRPr="00DA2751" w:rsidRDefault="005C3916" w:rsidP="00DA2751">
      <w:pPr>
        <w:overflowPunct w:val="0"/>
        <w:snapToGrid w:val="0"/>
        <w:spacing w:beforeLines="20" w:before="72" w:afterLines="20" w:after="72" w:line="460" w:lineRule="exact"/>
        <w:ind w:firstLineChars="200" w:firstLine="561"/>
        <w:jc w:val="both"/>
        <w:rPr>
          <w:rFonts w:ascii="標楷體" w:eastAsia="標楷體" w:hAnsi="標楷體"/>
          <w:color w:val="FF0000"/>
          <w:szCs w:val="24"/>
        </w:rPr>
      </w:pPr>
      <w:r w:rsidRPr="009D11AD">
        <w:rPr>
          <w:rFonts w:ascii="標楷體" w:eastAsia="標楷體" w:hAnsi="標楷體" w:hint="eastAsia"/>
          <w:b/>
          <w:color w:val="000000" w:themeColor="text1"/>
          <w:sz w:val="28"/>
          <w:szCs w:val="28"/>
        </w:rPr>
        <w:t xml:space="preserve">（十八）　</w:t>
      </w:r>
      <w:r w:rsidR="00F00E61" w:rsidRPr="009D11AD">
        <w:rPr>
          <w:rFonts w:ascii="標楷體" w:eastAsia="標楷體" w:hAnsi="標楷體" w:hint="eastAsia"/>
          <w:b/>
          <w:color w:val="000000" w:themeColor="text1"/>
          <w:sz w:val="28"/>
          <w:szCs w:val="28"/>
        </w:rPr>
        <w:t>政府公布全臺</w:t>
      </w:r>
      <w:r w:rsidRPr="009D11AD">
        <w:rPr>
          <w:rFonts w:ascii="標楷體" w:eastAsia="標楷體" w:hAnsi="標楷體" w:hint="eastAsia"/>
          <w:b/>
          <w:color w:val="000000" w:themeColor="text1"/>
          <w:sz w:val="28"/>
          <w:szCs w:val="28"/>
        </w:rPr>
        <w:t>活動斷層暨其地質敏感區，便於民眾瞭解可能發生地質災害之區域，</w:t>
      </w:r>
      <w:r w:rsidR="00D672C5" w:rsidRPr="007F3935">
        <w:rPr>
          <w:rFonts w:ascii="標楷體" w:eastAsia="標楷體" w:hAnsi="標楷體" w:hint="eastAsia"/>
          <w:b/>
          <w:color w:val="000000" w:themeColor="text1"/>
          <w:sz w:val="28"/>
          <w:szCs w:val="28"/>
        </w:rPr>
        <w:t>惟</w:t>
      </w:r>
      <w:r w:rsidR="00CF569B" w:rsidRPr="007F3935">
        <w:rPr>
          <w:rFonts w:ascii="標楷體" w:eastAsia="標楷體" w:hAnsi="標楷體" w:hint="eastAsia"/>
          <w:b/>
          <w:color w:val="000000" w:themeColor="text1"/>
          <w:sz w:val="28"/>
          <w:szCs w:val="28"/>
        </w:rPr>
        <w:t>活動斷層</w:t>
      </w:r>
      <w:r w:rsidR="00D672C5" w:rsidRPr="007F3935">
        <w:rPr>
          <w:rFonts w:ascii="標楷體" w:eastAsia="標楷體" w:hAnsi="標楷體" w:hint="eastAsia"/>
          <w:b/>
          <w:color w:val="000000" w:themeColor="text1"/>
          <w:sz w:val="28"/>
          <w:szCs w:val="28"/>
        </w:rPr>
        <w:t>地質敏感區</w:t>
      </w:r>
      <w:r w:rsidR="00CF569B" w:rsidRPr="007F3935">
        <w:rPr>
          <w:rFonts w:ascii="標楷體" w:eastAsia="標楷體" w:hAnsi="標楷體" w:hint="eastAsia"/>
          <w:b/>
          <w:color w:val="000000" w:themeColor="text1"/>
          <w:sz w:val="28"/>
          <w:szCs w:val="28"/>
        </w:rPr>
        <w:t>上部分</w:t>
      </w:r>
      <w:r w:rsidR="00D672C5" w:rsidRPr="007F3935">
        <w:rPr>
          <w:rFonts w:ascii="標楷體" w:eastAsia="標楷體" w:hAnsi="標楷體" w:hint="eastAsia"/>
          <w:b/>
          <w:color w:val="000000" w:themeColor="text1"/>
          <w:sz w:val="28"/>
          <w:szCs w:val="28"/>
        </w:rPr>
        <w:t>老舊窳陋區域迄未劃定更新地區</w:t>
      </w:r>
      <w:r w:rsidRPr="007F3935">
        <w:rPr>
          <w:rFonts w:ascii="標楷體" w:eastAsia="標楷體" w:hAnsi="標楷體" w:hint="eastAsia"/>
          <w:b/>
          <w:color w:val="000000" w:themeColor="text1"/>
          <w:sz w:val="28"/>
          <w:szCs w:val="28"/>
        </w:rPr>
        <w:t>，</w:t>
      </w:r>
      <w:r w:rsidRPr="009D11AD">
        <w:rPr>
          <w:rFonts w:ascii="標楷體" w:eastAsia="標楷體" w:hAnsi="標楷體" w:hint="eastAsia"/>
          <w:b/>
          <w:color w:val="000000" w:themeColor="text1"/>
          <w:sz w:val="28"/>
          <w:szCs w:val="28"/>
        </w:rPr>
        <w:t>不利</w:t>
      </w:r>
      <w:r w:rsidR="00CF569B">
        <w:rPr>
          <w:rFonts w:ascii="標楷體" w:eastAsia="標楷體" w:hAnsi="標楷體" w:hint="eastAsia"/>
          <w:b/>
          <w:color w:val="000000" w:themeColor="text1"/>
          <w:sz w:val="28"/>
          <w:szCs w:val="28"/>
        </w:rPr>
        <w:t>該區域</w:t>
      </w:r>
      <w:r w:rsidRPr="009D11AD">
        <w:rPr>
          <w:rFonts w:ascii="標楷體" w:eastAsia="標楷體" w:hAnsi="標楷體" w:hint="eastAsia"/>
          <w:b/>
          <w:color w:val="000000" w:themeColor="text1"/>
          <w:sz w:val="28"/>
          <w:szCs w:val="28"/>
        </w:rPr>
        <w:t>都市更新之推動；且部分活動斷層影響區域尚未研議提高建築耐震設計標準，</w:t>
      </w:r>
      <w:r w:rsidR="00CF569B">
        <w:rPr>
          <w:rFonts w:ascii="標楷體" w:eastAsia="標楷體" w:hAnsi="標楷體" w:hint="eastAsia"/>
          <w:b/>
          <w:color w:val="000000" w:themeColor="text1"/>
          <w:sz w:val="28"/>
          <w:szCs w:val="28"/>
        </w:rPr>
        <w:t>倘依現行標準</w:t>
      </w:r>
      <w:r w:rsidRPr="009D11AD">
        <w:rPr>
          <w:rFonts w:ascii="標楷體" w:eastAsia="標楷體" w:hAnsi="標楷體" w:hint="eastAsia"/>
          <w:b/>
          <w:color w:val="000000" w:themeColor="text1"/>
          <w:sz w:val="28"/>
          <w:szCs w:val="28"/>
        </w:rPr>
        <w:t>辦理都市更新或新建建築耐震安全潛存風險，亟待檢討改進。</w:t>
      </w:r>
    </w:p>
    <w:p w14:paraId="71D6593B" w14:textId="65408226" w:rsidR="00BD74EC" w:rsidRPr="00DA1A44" w:rsidRDefault="005C3916" w:rsidP="007F3935">
      <w:pPr>
        <w:overflowPunct w:val="0"/>
        <w:snapToGrid w:val="0"/>
        <w:spacing w:line="450" w:lineRule="exact"/>
        <w:ind w:firstLineChars="200" w:firstLine="480"/>
        <w:jc w:val="both"/>
        <w:rPr>
          <w:rFonts w:ascii="標楷體" w:eastAsia="標楷體" w:hAnsi="標楷體"/>
          <w:szCs w:val="24"/>
        </w:rPr>
      </w:pPr>
      <w:r w:rsidRPr="009D11AD">
        <w:rPr>
          <w:rFonts w:ascii="標楷體" w:eastAsia="標楷體" w:hAnsi="標楷體" w:hint="eastAsia"/>
          <w:szCs w:val="24"/>
        </w:rPr>
        <w:t>依都市更新條例第7</w:t>
      </w:r>
      <w:r w:rsidR="00F00E61" w:rsidRPr="009D11AD">
        <w:rPr>
          <w:rFonts w:ascii="標楷體" w:eastAsia="標楷體" w:hAnsi="標楷體" w:hint="eastAsia"/>
          <w:szCs w:val="24"/>
        </w:rPr>
        <w:t>條規定：「</w:t>
      </w:r>
      <w:r w:rsidRPr="009D11AD">
        <w:rPr>
          <w:rFonts w:ascii="標楷體" w:eastAsia="標楷體" w:hAnsi="標楷體" w:hint="eastAsia"/>
          <w:szCs w:val="24"/>
        </w:rPr>
        <w:t>有下列各款情形之一時，直轄市、縣（市）主管機關應視實際情況，迅行劃定或變更更新地區，並視實際需要訂定或變更都市更新計畫：……二、為避免重大災害之發生</w:t>
      </w:r>
      <w:r w:rsidR="00F00E61" w:rsidRPr="009D11AD">
        <w:rPr>
          <w:rFonts w:ascii="標楷體" w:eastAsia="標楷體" w:hAnsi="標楷體"/>
          <w:szCs w:val="24"/>
        </w:rPr>
        <w:t>……</w:t>
      </w:r>
      <w:r w:rsidR="00F00E61" w:rsidRPr="009D11AD">
        <w:rPr>
          <w:rFonts w:ascii="標楷體" w:eastAsia="標楷體" w:hAnsi="標楷體" w:hint="eastAsia"/>
          <w:szCs w:val="24"/>
        </w:rPr>
        <w:t>。</w:t>
      </w:r>
      <w:r w:rsidRPr="009D11AD">
        <w:rPr>
          <w:rFonts w:ascii="標楷體" w:eastAsia="標楷體" w:hAnsi="標楷體" w:hint="eastAsia"/>
          <w:szCs w:val="24"/>
        </w:rPr>
        <w:t>前項更新地區之劃定、變更或都市更新計畫之訂定、變更，中央主管機關（內政部）得指定該管直轄市、縣（市）主管機關限期為之，必要時並得逕為辦理。」經濟部中央地質調查所依據105年以來之調查成果，於110</w:t>
      </w:r>
      <w:r w:rsidR="00F00E61" w:rsidRPr="009D11AD">
        <w:rPr>
          <w:rFonts w:ascii="標楷體" w:eastAsia="標楷體" w:hAnsi="標楷體" w:hint="eastAsia"/>
          <w:szCs w:val="24"/>
        </w:rPr>
        <w:t>年更新公布全臺</w:t>
      </w:r>
      <w:r w:rsidRPr="009D11AD">
        <w:rPr>
          <w:rFonts w:ascii="標楷體" w:eastAsia="標楷體" w:hAnsi="標楷體" w:hint="eastAsia"/>
          <w:szCs w:val="24"/>
        </w:rPr>
        <w:t>36條活動斷層</w:t>
      </w:r>
      <w:r w:rsidR="00F00E61" w:rsidRPr="009D11AD">
        <w:rPr>
          <w:rFonts w:ascii="標楷體" w:eastAsia="標楷體" w:hAnsi="標楷體" w:hint="eastAsia"/>
          <w:szCs w:val="24"/>
        </w:rPr>
        <w:t>【</w:t>
      </w:r>
      <w:r w:rsidRPr="009D11AD">
        <w:rPr>
          <w:rFonts w:ascii="標楷體" w:eastAsia="標楷體" w:hAnsi="標楷體" w:hint="eastAsia"/>
          <w:szCs w:val="24"/>
        </w:rPr>
        <w:t>係指更</w:t>
      </w:r>
      <w:r w:rsidRPr="005433AA">
        <w:rPr>
          <w:rFonts w:ascii="標楷體" w:eastAsia="標楷體" w:hAnsi="標楷體" w:hint="eastAsia"/>
          <w:szCs w:val="24"/>
        </w:rPr>
        <w:t>新世晚期</w:t>
      </w:r>
      <w:r w:rsidR="00F00E61" w:rsidRPr="005433AA">
        <w:rPr>
          <w:rFonts w:ascii="標楷體" w:eastAsia="標楷體" w:hAnsi="標楷體" w:hint="eastAsia"/>
          <w:szCs w:val="24"/>
        </w:rPr>
        <w:t>（</w:t>
      </w:r>
      <w:r w:rsidRPr="005433AA">
        <w:rPr>
          <w:rFonts w:ascii="標楷體" w:eastAsia="標楷體" w:hAnsi="標楷體" w:hint="eastAsia"/>
          <w:szCs w:val="24"/>
        </w:rPr>
        <w:t>距今約10萬年</w:t>
      </w:r>
      <w:r w:rsidR="00F00E61" w:rsidRPr="005433AA">
        <w:rPr>
          <w:rFonts w:ascii="標楷體" w:eastAsia="標楷體" w:hAnsi="標楷體" w:hint="eastAsia"/>
          <w:szCs w:val="24"/>
        </w:rPr>
        <w:t>）</w:t>
      </w:r>
      <w:r w:rsidRPr="005433AA">
        <w:rPr>
          <w:rFonts w:ascii="標楷體" w:eastAsia="標楷體" w:hAnsi="標楷體" w:hint="eastAsia"/>
          <w:szCs w:val="24"/>
        </w:rPr>
        <w:t>以來曾活動過，未來可能再度活動的斷層</w:t>
      </w:r>
      <w:r w:rsidR="00F00E61" w:rsidRPr="005433AA">
        <w:rPr>
          <w:rFonts w:ascii="標楷體" w:eastAsia="標楷體" w:hAnsi="標楷體" w:hint="eastAsia"/>
          <w:szCs w:val="24"/>
        </w:rPr>
        <w:t>】</w:t>
      </w:r>
      <w:r w:rsidRPr="005433AA">
        <w:rPr>
          <w:rFonts w:ascii="標楷體" w:eastAsia="標楷體" w:hAnsi="標楷體" w:hint="eastAsia"/>
          <w:szCs w:val="24"/>
        </w:rPr>
        <w:t>；另因活動斷層有發生</w:t>
      </w:r>
      <w:r w:rsidRPr="009D11AD">
        <w:rPr>
          <w:rFonts w:ascii="標楷體" w:eastAsia="標楷體" w:hAnsi="標楷體" w:hint="eastAsia"/>
          <w:szCs w:val="24"/>
        </w:rPr>
        <w:lastRenderedPageBreak/>
        <w:t>地質災害之較高機率，自103至110年公布20處活動斷層地質敏</w:t>
      </w:r>
      <w:r w:rsidRPr="00D672C5">
        <w:rPr>
          <w:rFonts w:ascii="標楷體" w:eastAsia="標楷體" w:hAnsi="標楷體" w:hint="eastAsia"/>
          <w:szCs w:val="24"/>
        </w:rPr>
        <w:t>感區</w:t>
      </w:r>
      <w:r w:rsidR="00D672C5" w:rsidRPr="00D672C5">
        <w:rPr>
          <w:rFonts w:ascii="標楷體" w:eastAsia="標楷體" w:hAnsi="標楷體" w:hint="eastAsia"/>
          <w:szCs w:val="24"/>
        </w:rPr>
        <w:t>，</w:t>
      </w:r>
      <w:r w:rsidR="00D672C5" w:rsidRPr="00346BDD">
        <w:rPr>
          <w:rFonts w:ascii="標楷體" w:eastAsia="標楷體" w:hAnsi="標楷體" w:hint="eastAsia"/>
          <w:szCs w:val="24"/>
        </w:rPr>
        <w:t>便於民眾瞭解可能發生地震災害之區域</w:t>
      </w:r>
      <w:r w:rsidRPr="00346BDD">
        <w:rPr>
          <w:rFonts w:ascii="標楷體" w:eastAsia="標楷體" w:hAnsi="標楷體" w:hint="eastAsia"/>
          <w:szCs w:val="24"/>
        </w:rPr>
        <w:t>。據內政部營建署國土規劃地理資訊圖台資料，前述20處活動斷層地質敏感區中，有13處土地上已劃設為都市計畫之住宅區、商業區及工業區，吸引人口聚集，且部分屬老舊窳陋地區；</w:t>
      </w:r>
      <w:r w:rsidR="00D672C5" w:rsidRPr="00346BDD">
        <w:rPr>
          <w:rFonts w:ascii="標楷體" w:eastAsia="標楷體" w:hAnsi="標楷體" w:hint="eastAsia"/>
          <w:szCs w:val="24"/>
        </w:rPr>
        <w:t>又</w:t>
      </w:r>
      <w:r w:rsidRPr="00346BDD">
        <w:rPr>
          <w:rFonts w:ascii="標楷體" w:eastAsia="標楷體" w:hAnsi="標楷體"/>
          <w:szCs w:val="24"/>
        </w:rPr>
        <w:t>36條活動斷層中之22條</w:t>
      </w:r>
      <w:r w:rsidRPr="00346BDD">
        <w:rPr>
          <w:rFonts w:ascii="標楷體" w:eastAsia="標楷體" w:hAnsi="標楷體" w:hint="eastAsia"/>
          <w:szCs w:val="24"/>
        </w:rPr>
        <w:t>，內</w:t>
      </w:r>
      <w:r w:rsidRPr="009D11AD">
        <w:rPr>
          <w:rFonts w:ascii="標楷體" w:eastAsia="標楷體" w:hAnsi="標楷體" w:hint="eastAsia"/>
          <w:szCs w:val="24"/>
        </w:rPr>
        <w:t>政部業於111年6月14</w:t>
      </w:r>
      <w:r w:rsidR="00F00E61" w:rsidRPr="009D11AD">
        <w:rPr>
          <w:rFonts w:ascii="標楷體" w:eastAsia="標楷體" w:hAnsi="標楷體" w:hint="eastAsia"/>
          <w:szCs w:val="24"/>
        </w:rPr>
        <w:t>日修正</w:t>
      </w:r>
      <w:r w:rsidRPr="009D11AD">
        <w:rPr>
          <w:rFonts w:ascii="標楷體" w:eastAsia="標楷體" w:hAnsi="標楷體" w:hint="eastAsia"/>
          <w:szCs w:val="24"/>
        </w:rPr>
        <w:t>「建築物耐震設計</w:t>
      </w:r>
      <w:r w:rsidR="00C342B2" w:rsidRPr="009D11AD">
        <w:rPr>
          <w:rFonts w:ascii="標楷體" w:eastAsia="標楷體" w:hAnsi="標楷體"/>
          <w:noProof/>
          <w:szCs w:val="24"/>
        </w:rPr>
        <mc:AlternateContent>
          <mc:Choice Requires="wps">
            <w:drawing>
              <wp:anchor distT="45720" distB="45720" distL="114300" distR="114300" simplePos="0" relativeHeight="251644416" behindDoc="0" locked="0" layoutInCell="1" allowOverlap="1" wp14:anchorId="6CB61241" wp14:editId="3A2342A7">
                <wp:simplePos x="0" y="0"/>
                <wp:positionH relativeFrom="column">
                  <wp:posOffset>635</wp:posOffset>
                </wp:positionH>
                <wp:positionV relativeFrom="paragraph">
                  <wp:posOffset>1527810</wp:posOffset>
                </wp:positionV>
                <wp:extent cx="6317615" cy="3766820"/>
                <wp:effectExtent l="0" t="0" r="6985" b="5080"/>
                <wp:wrapSquare wrapText="bothSides"/>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7615" cy="3766820"/>
                        </a:xfrm>
                        <a:prstGeom prst="rect">
                          <a:avLst/>
                        </a:prstGeom>
                        <a:solidFill>
                          <a:srgbClr val="FFFFFF"/>
                        </a:solidFill>
                        <a:ln w="9525">
                          <a:noFill/>
                          <a:miter lim="800000"/>
                          <a:headEnd/>
                          <a:tailEnd/>
                        </a:ln>
                      </wps:spPr>
                      <wps:txbx>
                        <w:txbxContent>
                          <w:p w14:paraId="64EBC51E" w14:textId="77777777" w:rsidR="00CE57F9" w:rsidRDefault="00CE57F9" w:rsidP="00DA2751">
                            <w:pPr>
                              <w:jc w:val="center"/>
                              <w:rPr>
                                <w:rFonts w:ascii="標楷體" w:eastAsia="標楷體" w:hAnsi="標楷體" w:cs="Arial"/>
                                <w:b/>
                              </w:rPr>
                            </w:pPr>
                            <w:r w:rsidRPr="008C63F2">
                              <w:rPr>
                                <w:rFonts w:ascii="標楷體" w:eastAsia="標楷體" w:hAnsi="標楷體" w:hint="eastAsia"/>
                                <w:b/>
                                <w:shd w:val="clear" w:color="auto" w:fill="FFFFFF"/>
                              </w:rPr>
                              <w:t>表15</w:t>
                            </w:r>
                            <w:r>
                              <w:rPr>
                                <w:rFonts w:ascii="標楷體" w:eastAsia="標楷體" w:hAnsi="標楷體" w:hint="eastAsia"/>
                                <w:b/>
                              </w:rPr>
                              <w:t xml:space="preserve">　</w:t>
                            </w:r>
                            <w:r w:rsidRPr="008C63F2">
                              <w:rPr>
                                <w:rFonts w:ascii="標楷體" w:eastAsia="標楷體" w:hAnsi="標楷體" w:hint="eastAsia"/>
                                <w:b/>
                              </w:rPr>
                              <w:t>全臺</w:t>
                            </w:r>
                            <w:r w:rsidRPr="008C63F2">
                              <w:rPr>
                                <w:rFonts w:ascii="標楷體" w:eastAsia="標楷體" w:hAnsi="標楷體" w:cs="Arial"/>
                                <w:b/>
                                <w:shd w:val="clear" w:color="auto" w:fill="FFFFFF"/>
                              </w:rPr>
                              <w:t>活動斷層</w:t>
                            </w:r>
                            <w:r w:rsidRPr="008C63F2">
                              <w:rPr>
                                <w:rFonts w:ascii="標楷體" w:eastAsia="標楷體" w:hAnsi="標楷體" w:cs="Arial" w:hint="eastAsia"/>
                                <w:b/>
                                <w:shd w:val="clear" w:color="auto" w:fill="FFFFFF"/>
                              </w:rPr>
                              <w:t>類別、都市計畫區、</w:t>
                            </w:r>
                            <w:r w:rsidRPr="008C63F2">
                              <w:rPr>
                                <w:rFonts w:ascii="標楷體" w:eastAsia="標楷體" w:hAnsi="標楷體" w:cs="Arial" w:hint="eastAsia"/>
                                <w:b/>
                              </w:rPr>
                              <w:t>耐震設計規範及環境敏感區分布情形</w:t>
                            </w:r>
                          </w:p>
                          <w:tbl>
                            <w:tblPr>
                              <w:tblW w:w="99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26"/>
                              <w:gridCol w:w="1735"/>
                              <w:gridCol w:w="314"/>
                              <w:gridCol w:w="786"/>
                              <w:gridCol w:w="708"/>
                              <w:gridCol w:w="993"/>
                              <w:gridCol w:w="141"/>
                              <w:gridCol w:w="426"/>
                              <w:gridCol w:w="1559"/>
                              <w:gridCol w:w="425"/>
                              <w:gridCol w:w="709"/>
                              <w:gridCol w:w="709"/>
                              <w:gridCol w:w="984"/>
                            </w:tblGrid>
                            <w:tr w:rsidR="00CE57F9" w:rsidRPr="00D15D1C" w14:paraId="17EA416C" w14:textId="77777777" w:rsidTr="009F1BF7">
                              <w:trPr>
                                <w:tblHeader/>
                              </w:trPr>
                              <w:tc>
                                <w:tcPr>
                                  <w:tcW w:w="426" w:type="dxa"/>
                                  <w:tcBorders>
                                    <w:top w:val="single" w:sz="4" w:space="0" w:color="auto"/>
                                  </w:tcBorders>
                                  <w:shd w:val="clear" w:color="auto" w:fill="auto"/>
                                  <w:vAlign w:val="center"/>
                                </w:tcPr>
                                <w:p w14:paraId="43F5EE15"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編號</w:t>
                                  </w:r>
                                </w:p>
                              </w:tc>
                              <w:tc>
                                <w:tcPr>
                                  <w:tcW w:w="1735" w:type="dxa"/>
                                  <w:tcBorders>
                                    <w:top w:val="single" w:sz="4" w:space="0" w:color="auto"/>
                                  </w:tcBorders>
                                  <w:shd w:val="clear" w:color="auto" w:fill="auto"/>
                                  <w:vAlign w:val="center"/>
                                </w:tcPr>
                                <w:p w14:paraId="4CBB81D5"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名稱</w:t>
                                  </w:r>
                                </w:p>
                              </w:tc>
                              <w:tc>
                                <w:tcPr>
                                  <w:tcW w:w="314" w:type="dxa"/>
                                  <w:tcBorders>
                                    <w:top w:val="single" w:sz="4" w:space="0" w:color="auto"/>
                                  </w:tcBorders>
                                  <w:shd w:val="clear" w:color="auto" w:fill="auto"/>
                                  <w:vAlign w:val="center"/>
                                </w:tcPr>
                                <w:p w14:paraId="507098ED"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類別</w:t>
                                  </w:r>
                                </w:p>
                              </w:tc>
                              <w:tc>
                                <w:tcPr>
                                  <w:tcW w:w="786" w:type="dxa"/>
                                  <w:tcBorders>
                                    <w:top w:val="single" w:sz="4" w:space="0" w:color="auto"/>
                                  </w:tcBorders>
                                  <w:shd w:val="clear" w:color="auto" w:fill="auto"/>
                                  <w:vAlign w:val="center"/>
                                </w:tcPr>
                                <w:p w14:paraId="0AA7A00E"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都市計畫區</w:t>
                                  </w:r>
                                </w:p>
                              </w:tc>
                              <w:tc>
                                <w:tcPr>
                                  <w:tcW w:w="708" w:type="dxa"/>
                                  <w:tcBorders>
                                    <w:top w:val="single" w:sz="4" w:space="0" w:color="auto"/>
                                  </w:tcBorders>
                                  <w:shd w:val="clear" w:color="auto" w:fill="auto"/>
                                  <w:vAlign w:val="center"/>
                                </w:tcPr>
                                <w:p w14:paraId="5BB3F866"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提高耐震設計規範</w:t>
                                  </w:r>
                                </w:p>
                              </w:tc>
                              <w:tc>
                                <w:tcPr>
                                  <w:tcW w:w="993" w:type="dxa"/>
                                  <w:tcBorders>
                                    <w:top w:val="single" w:sz="4" w:space="0" w:color="auto"/>
                                  </w:tcBorders>
                                  <w:shd w:val="clear" w:color="auto" w:fill="auto"/>
                                  <w:vAlign w:val="center"/>
                                </w:tcPr>
                                <w:p w14:paraId="224D4D8E"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劃設環境敏感區</w:t>
                                  </w:r>
                                </w:p>
                              </w:tc>
                              <w:tc>
                                <w:tcPr>
                                  <w:tcW w:w="141" w:type="dxa"/>
                                  <w:tcBorders>
                                    <w:top w:val="nil"/>
                                    <w:bottom w:val="nil"/>
                                  </w:tcBorders>
                                </w:tcPr>
                                <w:p w14:paraId="0AA4F4AA"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p>
                              </w:tc>
                              <w:tc>
                                <w:tcPr>
                                  <w:tcW w:w="426" w:type="dxa"/>
                                  <w:tcBorders>
                                    <w:top w:val="single" w:sz="4" w:space="0" w:color="auto"/>
                                  </w:tcBorders>
                                  <w:vAlign w:val="center"/>
                                </w:tcPr>
                                <w:p w14:paraId="754ADA72"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編號</w:t>
                                  </w:r>
                                </w:p>
                              </w:tc>
                              <w:tc>
                                <w:tcPr>
                                  <w:tcW w:w="1559" w:type="dxa"/>
                                  <w:tcBorders>
                                    <w:top w:val="single" w:sz="4" w:space="0" w:color="auto"/>
                                  </w:tcBorders>
                                  <w:vAlign w:val="center"/>
                                </w:tcPr>
                                <w:p w14:paraId="53AB4C90"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名稱</w:t>
                                  </w:r>
                                </w:p>
                              </w:tc>
                              <w:tc>
                                <w:tcPr>
                                  <w:tcW w:w="425" w:type="dxa"/>
                                  <w:tcBorders>
                                    <w:top w:val="single" w:sz="4" w:space="0" w:color="auto"/>
                                  </w:tcBorders>
                                  <w:vAlign w:val="center"/>
                                </w:tcPr>
                                <w:p w14:paraId="6DA5019B"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類別</w:t>
                                  </w:r>
                                </w:p>
                              </w:tc>
                              <w:tc>
                                <w:tcPr>
                                  <w:tcW w:w="709" w:type="dxa"/>
                                  <w:tcBorders>
                                    <w:top w:val="single" w:sz="4" w:space="0" w:color="auto"/>
                                  </w:tcBorders>
                                  <w:vAlign w:val="center"/>
                                </w:tcPr>
                                <w:p w14:paraId="6E3B9A95"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都市計畫區</w:t>
                                  </w:r>
                                </w:p>
                              </w:tc>
                              <w:tc>
                                <w:tcPr>
                                  <w:tcW w:w="709" w:type="dxa"/>
                                  <w:tcBorders>
                                    <w:top w:val="single" w:sz="4" w:space="0" w:color="auto"/>
                                  </w:tcBorders>
                                  <w:vAlign w:val="center"/>
                                </w:tcPr>
                                <w:p w14:paraId="7FA628F5"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提高耐震設計規範</w:t>
                                  </w:r>
                                </w:p>
                              </w:tc>
                              <w:tc>
                                <w:tcPr>
                                  <w:tcW w:w="984" w:type="dxa"/>
                                  <w:tcBorders>
                                    <w:top w:val="single" w:sz="4" w:space="0" w:color="auto"/>
                                  </w:tcBorders>
                                  <w:vAlign w:val="center"/>
                                </w:tcPr>
                                <w:p w14:paraId="247E2F53"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劃設環境敏感區</w:t>
                                  </w:r>
                                </w:p>
                              </w:tc>
                            </w:tr>
                            <w:tr w:rsidR="00CE57F9" w:rsidRPr="00D15D1C" w14:paraId="61127927" w14:textId="77777777" w:rsidTr="00DA2751">
                              <w:trPr>
                                <w:trHeight w:hRule="exact" w:val="227"/>
                              </w:trPr>
                              <w:tc>
                                <w:tcPr>
                                  <w:tcW w:w="426" w:type="dxa"/>
                                  <w:shd w:val="clear" w:color="auto" w:fill="auto"/>
                                </w:tcPr>
                                <w:p w14:paraId="10DC7D8A" w14:textId="77777777" w:rsidR="00CE57F9" w:rsidRPr="00D15D1C" w:rsidRDefault="00CE57F9" w:rsidP="00B25672">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1</w:t>
                                  </w:r>
                                </w:p>
                              </w:tc>
                              <w:tc>
                                <w:tcPr>
                                  <w:tcW w:w="1735" w:type="dxa"/>
                                  <w:shd w:val="clear" w:color="auto" w:fill="auto"/>
                                </w:tcPr>
                                <w:p w14:paraId="75C8DE89" w14:textId="77777777" w:rsidR="00CE57F9" w:rsidRPr="00D15D1C" w:rsidRDefault="00CE57F9" w:rsidP="00B25672">
                                  <w:pPr>
                                    <w:spacing w:line="200" w:lineRule="exact"/>
                                    <w:rPr>
                                      <w:rFonts w:ascii="標楷體" w:eastAsia="標楷體" w:hAnsi="標楷體" w:cs="Arial"/>
                                      <w:sz w:val="20"/>
                                      <w:shd w:val="clear" w:color="auto" w:fill="FFFFFF"/>
                                    </w:rPr>
                                  </w:pPr>
                                  <w:r w:rsidRPr="00D15D1C">
                                    <w:rPr>
                                      <w:rFonts w:ascii="標楷體" w:eastAsia="標楷體" w:hAnsi="標楷體"/>
                                      <w:sz w:val="20"/>
                                    </w:rPr>
                                    <w:t>山腳斷層</w:t>
                                  </w:r>
                                </w:p>
                              </w:tc>
                              <w:tc>
                                <w:tcPr>
                                  <w:tcW w:w="314" w:type="dxa"/>
                                  <w:shd w:val="clear" w:color="auto" w:fill="auto"/>
                                </w:tcPr>
                                <w:p w14:paraId="360E31F2" w14:textId="77777777" w:rsidR="00CE57F9" w:rsidRPr="00D15D1C" w:rsidRDefault="00CE57F9" w:rsidP="00B25672">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二</w:t>
                                  </w:r>
                                </w:p>
                              </w:tc>
                              <w:tc>
                                <w:tcPr>
                                  <w:tcW w:w="786" w:type="dxa"/>
                                  <w:shd w:val="clear" w:color="auto" w:fill="auto"/>
                                  <w:vAlign w:val="center"/>
                                </w:tcPr>
                                <w:p w14:paraId="599ED446" w14:textId="4ECB6074" w:rsidR="00CE57F9" w:rsidRPr="006A1D28" w:rsidRDefault="00CE57F9">
                                  <w:pPr>
                                    <w:spacing w:line="200" w:lineRule="exact"/>
                                    <w:jc w:val="center"/>
                                    <w:rPr>
                                      <w:rFonts w:ascii="標楷體" w:eastAsia="標楷體" w:hAnsi="標楷體" w:cs="Arial"/>
                                      <w:sz w:val="20"/>
                                      <w:shd w:val="clear" w:color="auto" w:fill="FFFFFF"/>
                                    </w:rPr>
                                  </w:pPr>
                                  <w:r w:rsidRPr="00DA2751">
                                    <w:rPr>
                                      <w:rFonts w:ascii="標楷體" w:eastAsia="標楷體" w:hAnsi="標楷體"/>
                                      <w:sz w:val="20"/>
                                    </w:rPr>
                                    <w:sym w:font="Wingdings 2" w:char="F050"/>
                                  </w:r>
                                </w:p>
                              </w:tc>
                              <w:tc>
                                <w:tcPr>
                                  <w:tcW w:w="708" w:type="dxa"/>
                                  <w:shd w:val="clear" w:color="auto" w:fill="auto"/>
                                </w:tcPr>
                                <w:p w14:paraId="3D426695" w14:textId="77777777" w:rsidR="00CE57F9" w:rsidRPr="00D15D1C" w:rsidRDefault="00CE57F9" w:rsidP="00B25672">
                                  <w:pPr>
                                    <w:spacing w:line="200" w:lineRule="exact"/>
                                    <w:jc w:val="center"/>
                                    <w:rPr>
                                      <w:rFonts w:ascii="標楷體" w:eastAsia="標楷體" w:hAnsi="標楷體" w:cs="Arial"/>
                                      <w:sz w:val="20"/>
                                      <w:shd w:val="clear" w:color="auto" w:fill="FFFFFF"/>
                                    </w:rPr>
                                  </w:pPr>
                                </w:p>
                              </w:tc>
                              <w:tc>
                                <w:tcPr>
                                  <w:tcW w:w="993" w:type="dxa"/>
                                  <w:shd w:val="clear" w:color="auto" w:fill="auto"/>
                                </w:tcPr>
                                <w:p w14:paraId="37664436" w14:textId="77777777" w:rsidR="00CE57F9" w:rsidRPr="00D15D1C" w:rsidRDefault="00CE57F9" w:rsidP="00B25672">
                                  <w:pPr>
                                    <w:spacing w:line="200" w:lineRule="exact"/>
                                    <w:jc w:val="center"/>
                                    <w:rPr>
                                      <w:rFonts w:ascii="標楷體" w:eastAsia="標楷體" w:hAnsi="標楷體" w:cs="Arial"/>
                                      <w:sz w:val="20"/>
                                      <w:shd w:val="clear" w:color="auto" w:fill="FFFFFF"/>
                                    </w:rPr>
                                  </w:pPr>
                                </w:p>
                              </w:tc>
                              <w:tc>
                                <w:tcPr>
                                  <w:tcW w:w="141" w:type="dxa"/>
                                  <w:tcBorders>
                                    <w:top w:val="nil"/>
                                    <w:bottom w:val="nil"/>
                                  </w:tcBorders>
                                </w:tcPr>
                                <w:p w14:paraId="69539C8A" w14:textId="77777777" w:rsidR="00CE57F9" w:rsidRPr="00D15D1C" w:rsidRDefault="00CE57F9" w:rsidP="00B25672">
                                  <w:pPr>
                                    <w:spacing w:line="200" w:lineRule="exact"/>
                                    <w:jc w:val="center"/>
                                    <w:rPr>
                                      <w:rFonts w:ascii="標楷體" w:eastAsia="標楷體" w:hAnsi="標楷體" w:cs="Arial"/>
                                      <w:sz w:val="20"/>
                                      <w:shd w:val="clear" w:color="auto" w:fill="FFFFFF"/>
                                    </w:rPr>
                                  </w:pPr>
                                </w:p>
                              </w:tc>
                              <w:tc>
                                <w:tcPr>
                                  <w:tcW w:w="426" w:type="dxa"/>
                                </w:tcPr>
                                <w:p w14:paraId="47A93A91" w14:textId="77777777" w:rsidR="00CE57F9" w:rsidRPr="00D15D1C" w:rsidRDefault="00CE57F9" w:rsidP="00B25672">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19</w:t>
                                  </w:r>
                                </w:p>
                              </w:tc>
                              <w:tc>
                                <w:tcPr>
                                  <w:tcW w:w="1559" w:type="dxa"/>
                                </w:tcPr>
                                <w:p w14:paraId="42389DC0" w14:textId="77777777" w:rsidR="00CE57F9" w:rsidRPr="00D15D1C" w:rsidRDefault="00CE57F9" w:rsidP="00B25672">
                                  <w:pPr>
                                    <w:spacing w:line="200" w:lineRule="exact"/>
                                    <w:rPr>
                                      <w:rFonts w:ascii="標楷體" w:eastAsia="標楷體" w:hAnsi="標楷體"/>
                                      <w:sz w:val="20"/>
                                    </w:rPr>
                                  </w:pPr>
                                  <w:r w:rsidRPr="00D15D1C">
                                    <w:rPr>
                                      <w:rFonts w:ascii="標楷體" w:eastAsia="標楷體" w:hAnsi="標楷體"/>
                                      <w:sz w:val="20"/>
                                    </w:rPr>
                                    <w:t>觸口斷層</w:t>
                                  </w:r>
                                </w:p>
                              </w:tc>
                              <w:tc>
                                <w:tcPr>
                                  <w:tcW w:w="425" w:type="dxa"/>
                                </w:tcPr>
                                <w:p w14:paraId="110896C2" w14:textId="77777777" w:rsidR="00CE57F9" w:rsidRPr="00D15D1C" w:rsidRDefault="00CE57F9" w:rsidP="00B25672">
                                  <w:pPr>
                                    <w:spacing w:line="200" w:lineRule="exact"/>
                                    <w:jc w:val="center"/>
                                    <w:rPr>
                                      <w:rFonts w:ascii="標楷體" w:eastAsia="標楷體" w:hAnsi="標楷體"/>
                                      <w:sz w:val="20"/>
                                    </w:rPr>
                                  </w:pPr>
                                  <w:r w:rsidRPr="00D15D1C">
                                    <w:rPr>
                                      <w:rFonts w:ascii="標楷體" w:eastAsia="標楷體" w:hAnsi="標楷體"/>
                                      <w:sz w:val="20"/>
                                    </w:rPr>
                                    <w:t>一</w:t>
                                  </w:r>
                                </w:p>
                              </w:tc>
                              <w:tc>
                                <w:tcPr>
                                  <w:tcW w:w="709" w:type="dxa"/>
                                </w:tcPr>
                                <w:p w14:paraId="118C594F" w14:textId="77777777" w:rsidR="00CE57F9" w:rsidRPr="00D15D1C" w:rsidRDefault="00CE57F9" w:rsidP="00B25672">
                                  <w:pPr>
                                    <w:spacing w:line="200" w:lineRule="exact"/>
                                    <w:jc w:val="center"/>
                                    <w:rPr>
                                      <w:rFonts w:ascii="標楷體" w:eastAsia="標楷體" w:hAnsi="標楷體" w:cs="Arial"/>
                                      <w:sz w:val="20"/>
                                      <w:shd w:val="clear" w:color="auto" w:fill="FFFFFF"/>
                                    </w:rPr>
                                  </w:pPr>
                                </w:p>
                              </w:tc>
                              <w:tc>
                                <w:tcPr>
                                  <w:tcW w:w="709" w:type="dxa"/>
                                </w:tcPr>
                                <w:p w14:paraId="504AF474" w14:textId="6B402F89" w:rsidR="00CE57F9" w:rsidRPr="00D15D1C" w:rsidRDefault="00CE57F9" w:rsidP="00B25672">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984" w:type="dxa"/>
                                </w:tcPr>
                                <w:p w14:paraId="6690EE4A" w14:textId="77777777" w:rsidR="00CE57F9" w:rsidRPr="00D15D1C" w:rsidRDefault="00CE57F9" w:rsidP="00B25672">
                                  <w:pPr>
                                    <w:spacing w:line="200" w:lineRule="exact"/>
                                    <w:jc w:val="center"/>
                                    <w:rPr>
                                      <w:rFonts w:ascii="標楷體" w:eastAsia="標楷體" w:hAnsi="標楷體" w:cs="Arial"/>
                                      <w:sz w:val="20"/>
                                      <w:shd w:val="clear" w:color="auto" w:fill="FFFFFF"/>
                                    </w:rPr>
                                  </w:pPr>
                                </w:p>
                              </w:tc>
                            </w:tr>
                            <w:tr w:rsidR="00CE57F9" w:rsidRPr="00D15D1C" w14:paraId="5F0021A6" w14:textId="77777777" w:rsidTr="00DA2751">
                              <w:trPr>
                                <w:trHeight w:hRule="exact" w:val="227"/>
                              </w:trPr>
                              <w:tc>
                                <w:tcPr>
                                  <w:tcW w:w="426" w:type="dxa"/>
                                  <w:shd w:val="clear" w:color="auto" w:fill="auto"/>
                                </w:tcPr>
                                <w:p w14:paraId="1CBEB911"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2</w:t>
                                  </w:r>
                                </w:p>
                              </w:tc>
                              <w:tc>
                                <w:tcPr>
                                  <w:tcW w:w="1735" w:type="dxa"/>
                                  <w:shd w:val="clear" w:color="auto" w:fill="auto"/>
                                </w:tcPr>
                                <w:p w14:paraId="5BCE8A3B"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湖口斷層</w:t>
                                  </w:r>
                                </w:p>
                              </w:tc>
                              <w:tc>
                                <w:tcPr>
                                  <w:tcW w:w="314" w:type="dxa"/>
                                  <w:shd w:val="clear" w:color="auto" w:fill="auto"/>
                                </w:tcPr>
                                <w:p w14:paraId="1D99D719"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二</w:t>
                                  </w:r>
                                </w:p>
                              </w:tc>
                              <w:tc>
                                <w:tcPr>
                                  <w:tcW w:w="786" w:type="dxa"/>
                                  <w:shd w:val="clear" w:color="auto" w:fill="auto"/>
                                </w:tcPr>
                                <w:p w14:paraId="31DD8F82" w14:textId="186C7C1B" w:rsidR="00CE57F9" w:rsidRPr="00D15D1C" w:rsidRDefault="00CE57F9" w:rsidP="006A1D28">
                                  <w:pPr>
                                    <w:spacing w:line="200" w:lineRule="exact"/>
                                    <w:jc w:val="center"/>
                                    <w:rPr>
                                      <w:rFonts w:ascii="標楷體" w:eastAsia="標楷體" w:hAnsi="標楷體" w:cs="Arial"/>
                                      <w:sz w:val="20"/>
                                      <w:shd w:val="clear" w:color="auto" w:fill="FFFFFF"/>
                                    </w:rPr>
                                  </w:pPr>
                                  <w:r w:rsidRPr="0050444D">
                                    <w:rPr>
                                      <w:rFonts w:ascii="標楷體" w:eastAsia="標楷體" w:hAnsi="標楷體" w:hint="eastAsia"/>
                                      <w:sz w:val="20"/>
                                    </w:rPr>
                                    <w:sym w:font="Wingdings 2" w:char="F050"/>
                                  </w:r>
                                </w:p>
                              </w:tc>
                              <w:tc>
                                <w:tcPr>
                                  <w:tcW w:w="708" w:type="dxa"/>
                                  <w:shd w:val="clear" w:color="auto" w:fill="auto"/>
                                </w:tcPr>
                                <w:p w14:paraId="1BD73543"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93" w:type="dxa"/>
                                  <w:shd w:val="clear" w:color="auto" w:fill="auto"/>
                                </w:tcPr>
                                <w:p w14:paraId="2A23064F"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141" w:type="dxa"/>
                                  <w:tcBorders>
                                    <w:top w:val="nil"/>
                                    <w:bottom w:val="nil"/>
                                  </w:tcBorders>
                                </w:tcPr>
                                <w:p w14:paraId="1CB5DCAB"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07DF490B"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20</w:t>
                                  </w:r>
                                </w:p>
                              </w:tc>
                              <w:tc>
                                <w:tcPr>
                                  <w:tcW w:w="1559" w:type="dxa"/>
                                </w:tcPr>
                                <w:p w14:paraId="1C01D1F6"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口宵里斷層</w:t>
                                  </w:r>
                                </w:p>
                              </w:tc>
                              <w:tc>
                                <w:tcPr>
                                  <w:tcW w:w="425" w:type="dxa"/>
                                </w:tcPr>
                                <w:p w14:paraId="0CE08F3B"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二</w:t>
                                  </w:r>
                                </w:p>
                              </w:tc>
                              <w:tc>
                                <w:tcPr>
                                  <w:tcW w:w="709" w:type="dxa"/>
                                </w:tcPr>
                                <w:p w14:paraId="1DE37B24"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9" w:type="dxa"/>
                                </w:tcPr>
                                <w:p w14:paraId="3AF7CA1A"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84" w:type="dxa"/>
                                </w:tcPr>
                                <w:p w14:paraId="4F111FDC"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r>
                            <w:tr w:rsidR="00CE57F9" w:rsidRPr="00D15D1C" w14:paraId="3FF6AFAD" w14:textId="77777777" w:rsidTr="00DA2751">
                              <w:trPr>
                                <w:trHeight w:hRule="exact" w:val="227"/>
                              </w:trPr>
                              <w:tc>
                                <w:tcPr>
                                  <w:tcW w:w="426" w:type="dxa"/>
                                  <w:shd w:val="clear" w:color="auto" w:fill="auto"/>
                                </w:tcPr>
                                <w:p w14:paraId="2317B845"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3</w:t>
                                  </w:r>
                                </w:p>
                              </w:tc>
                              <w:tc>
                                <w:tcPr>
                                  <w:tcW w:w="1735" w:type="dxa"/>
                                  <w:shd w:val="clear" w:color="auto" w:fill="auto"/>
                                </w:tcPr>
                                <w:p w14:paraId="6004F62C"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新竹斷層</w:t>
                                  </w:r>
                                </w:p>
                              </w:tc>
                              <w:tc>
                                <w:tcPr>
                                  <w:tcW w:w="314" w:type="dxa"/>
                                  <w:shd w:val="clear" w:color="auto" w:fill="auto"/>
                                </w:tcPr>
                                <w:p w14:paraId="3964DE49"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二</w:t>
                                  </w:r>
                                </w:p>
                              </w:tc>
                              <w:tc>
                                <w:tcPr>
                                  <w:tcW w:w="786" w:type="dxa"/>
                                  <w:shd w:val="clear" w:color="auto" w:fill="auto"/>
                                </w:tcPr>
                                <w:p w14:paraId="6DB06A5D" w14:textId="14E1C97D" w:rsidR="00CE57F9" w:rsidRPr="00D15D1C" w:rsidRDefault="00CE57F9" w:rsidP="006A1D28">
                                  <w:pPr>
                                    <w:spacing w:line="200" w:lineRule="exact"/>
                                    <w:jc w:val="center"/>
                                    <w:rPr>
                                      <w:rFonts w:ascii="標楷體" w:eastAsia="標楷體" w:hAnsi="標楷體" w:cs="Arial"/>
                                      <w:sz w:val="20"/>
                                      <w:shd w:val="clear" w:color="auto" w:fill="FFFFFF"/>
                                    </w:rPr>
                                  </w:pPr>
                                  <w:r w:rsidRPr="0050444D">
                                    <w:rPr>
                                      <w:rFonts w:ascii="標楷體" w:eastAsia="標楷體" w:hAnsi="標楷體" w:hint="eastAsia"/>
                                      <w:sz w:val="20"/>
                                    </w:rPr>
                                    <w:sym w:font="Wingdings 2" w:char="F050"/>
                                  </w:r>
                                </w:p>
                              </w:tc>
                              <w:tc>
                                <w:tcPr>
                                  <w:tcW w:w="708" w:type="dxa"/>
                                  <w:shd w:val="clear" w:color="auto" w:fill="auto"/>
                                </w:tcPr>
                                <w:p w14:paraId="23ED5571"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93" w:type="dxa"/>
                                  <w:shd w:val="clear" w:color="auto" w:fill="auto"/>
                                </w:tcPr>
                                <w:p w14:paraId="62F39A01" w14:textId="34FB844C" w:rsidR="00CE57F9" w:rsidRPr="00D15D1C" w:rsidRDefault="00CE57F9" w:rsidP="006A1D28">
                                  <w:pPr>
                                    <w:spacing w:line="200" w:lineRule="exact"/>
                                    <w:jc w:val="center"/>
                                    <w:rPr>
                                      <w:rFonts w:ascii="標楷體" w:eastAsia="標楷體" w:hAnsi="標楷體" w:cs="Arial"/>
                                      <w:sz w:val="20"/>
                                      <w:shd w:val="clear" w:color="auto" w:fill="FFFFFF"/>
                                    </w:rPr>
                                  </w:pPr>
                                  <w:r w:rsidRPr="004804F4">
                                    <w:rPr>
                                      <w:rFonts w:ascii="標楷體" w:eastAsia="標楷體" w:hAnsi="標楷體" w:hint="eastAsia"/>
                                      <w:sz w:val="20"/>
                                    </w:rPr>
                                    <w:sym w:font="Wingdings 2" w:char="F050"/>
                                  </w:r>
                                </w:p>
                              </w:tc>
                              <w:tc>
                                <w:tcPr>
                                  <w:tcW w:w="141" w:type="dxa"/>
                                  <w:tcBorders>
                                    <w:top w:val="nil"/>
                                    <w:bottom w:val="nil"/>
                                  </w:tcBorders>
                                </w:tcPr>
                                <w:p w14:paraId="3667FCEB"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4E5E9411"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21</w:t>
                                  </w:r>
                                </w:p>
                              </w:tc>
                              <w:tc>
                                <w:tcPr>
                                  <w:tcW w:w="1559" w:type="dxa"/>
                                </w:tcPr>
                                <w:p w14:paraId="1D634212"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新化斷層</w:t>
                                  </w:r>
                                </w:p>
                              </w:tc>
                              <w:tc>
                                <w:tcPr>
                                  <w:tcW w:w="425" w:type="dxa"/>
                                </w:tcPr>
                                <w:p w14:paraId="03EA639E"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一</w:t>
                                  </w:r>
                                </w:p>
                              </w:tc>
                              <w:tc>
                                <w:tcPr>
                                  <w:tcW w:w="709" w:type="dxa"/>
                                </w:tcPr>
                                <w:p w14:paraId="51FC44EB"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9" w:type="dxa"/>
                                </w:tcPr>
                                <w:p w14:paraId="55ECBEC4" w14:textId="300F20D1"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984" w:type="dxa"/>
                                </w:tcPr>
                                <w:p w14:paraId="765F4568" w14:textId="4F6AB729"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r>
                            <w:tr w:rsidR="00CE57F9" w:rsidRPr="00D15D1C" w14:paraId="0769FB7D" w14:textId="77777777" w:rsidTr="00DA2751">
                              <w:trPr>
                                <w:trHeight w:hRule="exact" w:val="227"/>
                              </w:trPr>
                              <w:tc>
                                <w:tcPr>
                                  <w:tcW w:w="426" w:type="dxa"/>
                                  <w:shd w:val="clear" w:color="auto" w:fill="auto"/>
                                </w:tcPr>
                                <w:p w14:paraId="75BE544A"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4</w:t>
                                  </w:r>
                                </w:p>
                              </w:tc>
                              <w:tc>
                                <w:tcPr>
                                  <w:tcW w:w="1735" w:type="dxa"/>
                                  <w:shd w:val="clear" w:color="auto" w:fill="auto"/>
                                </w:tcPr>
                                <w:p w14:paraId="21B48FEC"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新城斷層</w:t>
                                  </w:r>
                                </w:p>
                              </w:tc>
                              <w:tc>
                                <w:tcPr>
                                  <w:tcW w:w="314" w:type="dxa"/>
                                  <w:shd w:val="clear" w:color="auto" w:fill="auto"/>
                                </w:tcPr>
                                <w:p w14:paraId="27022016"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一</w:t>
                                  </w:r>
                                </w:p>
                              </w:tc>
                              <w:tc>
                                <w:tcPr>
                                  <w:tcW w:w="786" w:type="dxa"/>
                                  <w:shd w:val="clear" w:color="auto" w:fill="auto"/>
                                </w:tcPr>
                                <w:p w14:paraId="1795AD2F" w14:textId="4C017370"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708" w:type="dxa"/>
                                  <w:shd w:val="clear" w:color="auto" w:fill="auto"/>
                                </w:tcPr>
                                <w:p w14:paraId="64219899" w14:textId="6EB67DD4" w:rsidR="00CE57F9" w:rsidRPr="00D15D1C" w:rsidRDefault="00CE57F9" w:rsidP="006A1D28">
                                  <w:pPr>
                                    <w:spacing w:line="200" w:lineRule="exact"/>
                                    <w:jc w:val="center"/>
                                    <w:rPr>
                                      <w:rFonts w:ascii="標楷體" w:eastAsia="標楷體" w:hAnsi="標楷體" w:cs="Arial"/>
                                      <w:sz w:val="20"/>
                                      <w:shd w:val="clear" w:color="auto" w:fill="FFFFFF"/>
                                    </w:rPr>
                                  </w:pPr>
                                  <w:r w:rsidRPr="005A6F59">
                                    <w:rPr>
                                      <w:rFonts w:ascii="標楷體" w:eastAsia="標楷體" w:hAnsi="標楷體" w:hint="eastAsia"/>
                                      <w:sz w:val="20"/>
                                    </w:rPr>
                                    <w:sym w:font="Wingdings 2" w:char="F050"/>
                                  </w:r>
                                </w:p>
                              </w:tc>
                              <w:tc>
                                <w:tcPr>
                                  <w:tcW w:w="993" w:type="dxa"/>
                                  <w:shd w:val="clear" w:color="auto" w:fill="auto"/>
                                </w:tcPr>
                                <w:p w14:paraId="77E80C15" w14:textId="6A062EAA" w:rsidR="00CE57F9" w:rsidRPr="00D15D1C" w:rsidRDefault="00CE57F9" w:rsidP="006A1D28">
                                  <w:pPr>
                                    <w:spacing w:line="200" w:lineRule="exact"/>
                                    <w:jc w:val="center"/>
                                    <w:rPr>
                                      <w:rFonts w:ascii="標楷體" w:eastAsia="標楷體" w:hAnsi="標楷體" w:cs="Arial"/>
                                      <w:sz w:val="20"/>
                                      <w:shd w:val="clear" w:color="auto" w:fill="FFFFFF"/>
                                    </w:rPr>
                                  </w:pPr>
                                  <w:r w:rsidRPr="004804F4">
                                    <w:rPr>
                                      <w:rFonts w:ascii="標楷體" w:eastAsia="標楷體" w:hAnsi="標楷體" w:hint="eastAsia"/>
                                      <w:sz w:val="20"/>
                                    </w:rPr>
                                    <w:sym w:font="Wingdings 2" w:char="F050"/>
                                  </w:r>
                                </w:p>
                              </w:tc>
                              <w:tc>
                                <w:tcPr>
                                  <w:tcW w:w="141" w:type="dxa"/>
                                  <w:tcBorders>
                                    <w:top w:val="nil"/>
                                    <w:bottom w:val="nil"/>
                                  </w:tcBorders>
                                </w:tcPr>
                                <w:p w14:paraId="1C246E0D"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3C9EBC45"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22</w:t>
                                  </w:r>
                                </w:p>
                              </w:tc>
                              <w:tc>
                                <w:tcPr>
                                  <w:tcW w:w="1559" w:type="dxa"/>
                                </w:tcPr>
                                <w:p w14:paraId="30A96AD9"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後甲里斷層</w:t>
                                  </w:r>
                                </w:p>
                              </w:tc>
                              <w:tc>
                                <w:tcPr>
                                  <w:tcW w:w="425" w:type="dxa"/>
                                </w:tcPr>
                                <w:p w14:paraId="6E74E11E"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二</w:t>
                                  </w:r>
                                </w:p>
                              </w:tc>
                              <w:tc>
                                <w:tcPr>
                                  <w:tcW w:w="709" w:type="dxa"/>
                                </w:tcPr>
                                <w:p w14:paraId="14ED3762" w14:textId="0A392B51"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709" w:type="dxa"/>
                                </w:tcPr>
                                <w:p w14:paraId="6B726B43"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84" w:type="dxa"/>
                                </w:tcPr>
                                <w:p w14:paraId="1F89E02E"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r>
                            <w:tr w:rsidR="00CE57F9" w:rsidRPr="00D15D1C" w14:paraId="452E2BAB" w14:textId="77777777" w:rsidTr="00DA2751">
                              <w:trPr>
                                <w:trHeight w:hRule="exact" w:val="227"/>
                              </w:trPr>
                              <w:tc>
                                <w:tcPr>
                                  <w:tcW w:w="426" w:type="dxa"/>
                                  <w:shd w:val="clear" w:color="auto" w:fill="auto"/>
                                </w:tcPr>
                                <w:p w14:paraId="07E1956C"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5</w:t>
                                  </w:r>
                                </w:p>
                              </w:tc>
                              <w:tc>
                                <w:tcPr>
                                  <w:tcW w:w="1735" w:type="dxa"/>
                                  <w:shd w:val="clear" w:color="auto" w:fill="auto"/>
                                </w:tcPr>
                                <w:p w14:paraId="742E0DBF"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獅潭斷層</w:t>
                                  </w:r>
                                </w:p>
                              </w:tc>
                              <w:tc>
                                <w:tcPr>
                                  <w:tcW w:w="314" w:type="dxa"/>
                                  <w:shd w:val="clear" w:color="auto" w:fill="auto"/>
                                </w:tcPr>
                                <w:p w14:paraId="25D25D76"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一</w:t>
                                  </w:r>
                                </w:p>
                              </w:tc>
                              <w:tc>
                                <w:tcPr>
                                  <w:tcW w:w="786" w:type="dxa"/>
                                  <w:shd w:val="clear" w:color="auto" w:fill="auto"/>
                                </w:tcPr>
                                <w:p w14:paraId="12584220"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8" w:type="dxa"/>
                                  <w:shd w:val="clear" w:color="auto" w:fill="auto"/>
                                </w:tcPr>
                                <w:p w14:paraId="5EED7953" w14:textId="4E3F8A0F" w:rsidR="00CE57F9" w:rsidRPr="00D15D1C" w:rsidRDefault="00CE57F9" w:rsidP="006A1D28">
                                  <w:pPr>
                                    <w:spacing w:line="200" w:lineRule="exact"/>
                                    <w:jc w:val="center"/>
                                    <w:rPr>
                                      <w:rFonts w:ascii="標楷體" w:eastAsia="標楷體" w:hAnsi="標楷體" w:cs="Arial"/>
                                      <w:sz w:val="20"/>
                                      <w:shd w:val="clear" w:color="auto" w:fill="FFFFFF"/>
                                    </w:rPr>
                                  </w:pPr>
                                  <w:r w:rsidRPr="005A6F59">
                                    <w:rPr>
                                      <w:rFonts w:ascii="標楷體" w:eastAsia="標楷體" w:hAnsi="標楷體" w:hint="eastAsia"/>
                                      <w:sz w:val="20"/>
                                    </w:rPr>
                                    <w:sym w:font="Wingdings 2" w:char="F050"/>
                                  </w:r>
                                </w:p>
                              </w:tc>
                              <w:tc>
                                <w:tcPr>
                                  <w:tcW w:w="993" w:type="dxa"/>
                                  <w:shd w:val="clear" w:color="auto" w:fill="auto"/>
                                </w:tcPr>
                                <w:p w14:paraId="57544BBA" w14:textId="76A02DCC" w:rsidR="00CE57F9" w:rsidRPr="00D15D1C" w:rsidRDefault="00CE57F9" w:rsidP="006A1D28">
                                  <w:pPr>
                                    <w:spacing w:line="200" w:lineRule="exact"/>
                                    <w:jc w:val="center"/>
                                    <w:rPr>
                                      <w:rFonts w:ascii="標楷體" w:eastAsia="標楷體" w:hAnsi="標楷體" w:cs="Arial"/>
                                      <w:sz w:val="20"/>
                                      <w:shd w:val="clear" w:color="auto" w:fill="FFFFFF"/>
                                    </w:rPr>
                                  </w:pPr>
                                  <w:r w:rsidRPr="004804F4">
                                    <w:rPr>
                                      <w:rFonts w:ascii="標楷體" w:eastAsia="標楷體" w:hAnsi="標楷體" w:hint="eastAsia"/>
                                      <w:sz w:val="20"/>
                                    </w:rPr>
                                    <w:sym w:font="Wingdings 2" w:char="F050"/>
                                  </w:r>
                                </w:p>
                              </w:tc>
                              <w:tc>
                                <w:tcPr>
                                  <w:tcW w:w="141" w:type="dxa"/>
                                  <w:tcBorders>
                                    <w:top w:val="nil"/>
                                    <w:bottom w:val="nil"/>
                                  </w:tcBorders>
                                </w:tcPr>
                                <w:p w14:paraId="57EA11F5"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49BFD9B7"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23</w:t>
                                  </w:r>
                                </w:p>
                              </w:tc>
                              <w:tc>
                                <w:tcPr>
                                  <w:tcW w:w="1559" w:type="dxa"/>
                                </w:tcPr>
                                <w:p w14:paraId="60102908"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左鎮斷層</w:t>
                                  </w:r>
                                </w:p>
                              </w:tc>
                              <w:tc>
                                <w:tcPr>
                                  <w:tcW w:w="425" w:type="dxa"/>
                                </w:tcPr>
                                <w:p w14:paraId="6702F2CB"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二</w:t>
                                  </w:r>
                                </w:p>
                              </w:tc>
                              <w:tc>
                                <w:tcPr>
                                  <w:tcW w:w="709" w:type="dxa"/>
                                </w:tcPr>
                                <w:p w14:paraId="77293C3F"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9" w:type="dxa"/>
                                </w:tcPr>
                                <w:p w14:paraId="03F92950"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84" w:type="dxa"/>
                                </w:tcPr>
                                <w:p w14:paraId="08B28F3F"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r>
                            <w:tr w:rsidR="00CE57F9" w:rsidRPr="00D15D1C" w14:paraId="3F5DFA3F" w14:textId="77777777" w:rsidTr="00DA2751">
                              <w:trPr>
                                <w:trHeight w:hRule="exact" w:val="227"/>
                              </w:trPr>
                              <w:tc>
                                <w:tcPr>
                                  <w:tcW w:w="426" w:type="dxa"/>
                                  <w:shd w:val="clear" w:color="auto" w:fill="auto"/>
                                </w:tcPr>
                                <w:p w14:paraId="174E196A"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6</w:t>
                                  </w:r>
                                </w:p>
                              </w:tc>
                              <w:tc>
                                <w:tcPr>
                                  <w:tcW w:w="1735" w:type="dxa"/>
                                  <w:shd w:val="clear" w:color="auto" w:fill="auto"/>
                                </w:tcPr>
                                <w:p w14:paraId="2A31A644"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三義斷層</w:t>
                                  </w:r>
                                </w:p>
                              </w:tc>
                              <w:tc>
                                <w:tcPr>
                                  <w:tcW w:w="314" w:type="dxa"/>
                                  <w:shd w:val="clear" w:color="auto" w:fill="auto"/>
                                </w:tcPr>
                                <w:p w14:paraId="4DC43F5E"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一</w:t>
                                  </w:r>
                                </w:p>
                              </w:tc>
                              <w:tc>
                                <w:tcPr>
                                  <w:tcW w:w="786" w:type="dxa"/>
                                  <w:shd w:val="clear" w:color="auto" w:fill="auto"/>
                                </w:tcPr>
                                <w:p w14:paraId="7CBFC99E" w14:textId="7A09EED5" w:rsidR="00CE57F9" w:rsidRPr="00D15D1C" w:rsidRDefault="00CE57F9" w:rsidP="006A1D28">
                                  <w:pPr>
                                    <w:spacing w:line="200" w:lineRule="exact"/>
                                    <w:jc w:val="center"/>
                                    <w:rPr>
                                      <w:rFonts w:ascii="標楷體" w:eastAsia="標楷體" w:hAnsi="標楷體" w:cs="Arial"/>
                                      <w:sz w:val="20"/>
                                      <w:shd w:val="clear" w:color="auto" w:fill="FFFFFF"/>
                                    </w:rPr>
                                  </w:pPr>
                                  <w:r w:rsidRPr="009E4F9C">
                                    <w:rPr>
                                      <w:rFonts w:ascii="標楷體" w:eastAsia="標楷體" w:hAnsi="標楷體" w:hint="eastAsia"/>
                                      <w:sz w:val="20"/>
                                    </w:rPr>
                                    <w:sym w:font="Wingdings 2" w:char="F050"/>
                                  </w:r>
                                </w:p>
                              </w:tc>
                              <w:tc>
                                <w:tcPr>
                                  <w:tcW w:w="708" w:type="dxa"/>
                                  <w:shd w:val="clear" w:color="auto" w:fill="auto"/>
                                </w:tcPr>
                                <w:p w14:paraId="64A6B5BF" w14:textId="6A1C47CE" w:rsidR="00CE57F9" w:rsidRPr="00D15D1C" w:rsidRDefault="00CE57F9" w:rsidP="006A1D28">
                                  <w:pPr>
                                    <w:spacing w:line="200" w:lineRule="exact"/>
                                    <w:jc w:val="center"/>
                                    <w:rPr>
                                      <w:rFonts w:ascii="標楷體" w:eastAsia="標楷體" w:hAnsi="標楷體" w:cs="Arial"/>
                                      <w:sz w:val="20"/>
                                      <w:shd w:val="clear" w:color="auto" w:fill="FFFFFF"/>
                                    </w:rPr>
                                  </w:pPr>
                                  <w:r w:rsidRPr="005A6F59">
                                    <w:rPr>
                                      <w:rFonts w:ascii="標楷體" w:eastAsia="標楷體" w:hAnsi="標楷體" w:hint="eastAsia"/>
                                      <w:sz w:val="20"/>
                                    </w:rPr>
                                    <w:sym w:font="Wingdings 2" w:char="F050"/>
                                  </w:r>
                                </w:p>
                              </w:tc>
                              <w:tc>
                                <w:tcPr>
                                  <w:tcW w:w="993" w:type="dxa"/>
                                  <w:shd w:val="clear" w:color="auto" w:fill="auto"/>
                                </w:tcPr>
                                <w:p w14:paraId="6A974A42" w14:textId="59FB8F5D" w:rsidR="00CE57F9" w:rsidRPr="00D15D1C" w:rsidRDefault="00CE57F9" w:rsidP="006A1D28">
                                  <w:pPr>
                                    <w:spacing w:line="200" w:lineRule="exact"/>
                                    <w:jc w:val="center"/>
                                    <w:rPr>
                                      <w:rFonts w:ascii="標楷體" w:eastAsia="標楷體" w:hAnsi="標楷體" w:cs="Arial"/>
                                      <w:sz w:val="20"/>
                                      <w:shd w:val="clear" w:color="auto" w:fill="FFFFFF"/>
                                    </w:rPr>
                                  </w:pPr>
                                  <w:r w:rsidRPr="004804F4">
                                    <w:rPr>
                                      <w:rFonts w:ascii="標楷體" w:eastAsia="標楷體" w:hAnsi="標楷體" w:hint="eastAsia"/>
                                      <w:sz w:val="20"/>
                                    </w:rPr>
                                    <w:sym w:font="Wingdings 2" w:char="F050"/>
                                  </w:r>
                                </w:p>
                              </w:tc>
                              <w:tc>
                                <w:tcPr>
                                  <w:tcW w:w="141" w:type="dxa"/>
                                  <w:tcBorders>
                                    <w:top w:val="nil"/>
                                    <w:bottom w:val="nil"/>
                                  </w:tcBorders>
                                </w:tcPr>
                                <w:p w14:paraId="4908B911"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6EB09B03"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24</w:t>
                                  </w:r>
                                </w:p>
                              </w:tc>
                              <w:tc>
                                <w:tcPr>
                                  <w:tcW w:w="1559" w:type="dxa"/>
                                </w:tcPr>
                                <w:p w14:paraId="0837BA21"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小岡山斷層</w:t>
                                  </w:r>
                                </w:p>
                              </w:tc>
                              <w:tc>
                                <w:tcPr>
                                  <w:tcW w:w="425" w:type="dxa"/>
                                </w:tcPr>
                                <w:p w14:paraId="5CEC372A"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二</w:t>
                                  </w:r>
                                </w:p>
                              </w:tc>
                              <w:tc>
                                <w:tcPr>
                                  <w:tcW w:w="709" w:type="dxa"/>
                                </w:tcPr>
                                <w:p w14:paraId="6D0D226B"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9" w:type="dxa"/>
                                </w:tcPr>
                                <w:p w14:paraId="2BEE4CBF"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84" w:type="dxa"/>
                                </w:tcPr>
                                <w:p w14:paraId="70030830" w14:textId="22B7C159"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r>
                            <w:tr w:rsidR="00CE57F9" w:rsidRPr="00D15D1C" w14:paraId="472DAB9F" w14:textId="77777777" w:rsidTr="00DA2751">
                              <w:trPr>
                                <w:trHeight w:hRule="exact" w:val="227"/>
                              </w:trPr>
                              <w:tc>
                                <w:tcPr>
                                  <w:tcW w:w="426" w:type="dxa"/>
                                  <w:shd w:val="clear" w:color="auto" w:fill="auto"/>
                                </w:tcPr>
                                <w:p w14:paraId="13561071"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7</w:t>
                                  </w:r>
                                </w:p>
                              </w:tc>
                              <w:tc>
                                <w:tcPr>
                                  <w:tcW w:w="1735" w:type="dxa"/>
                                  <w:shd w:val="clear" w:color="auto" w:fill="auto"/>
                                </w:tcPr>
                                <w:p w14:paraId="67C17273"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大甲斷層</w:t>
                                  </w:r>
                                </w:p>
                              </w:tc>
                              <w:tc>
                                <w:tcPr>
                                  <w:tcW w:w="314" w:type="dxa"/>
                                  <w:shd w:val="clear" w:color="auto" w:fill="auto"/>
                                </w:tcPr>
                                <w:p w14:paraId="035096D9"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一</w:t>
                                  </w:r>
                                </w:p>
                              </w:tc>
                              <w:tc>
                                <w:tcPr>
                                  <w:tcW w:w="786" w:type="dxa"/>
                                  <w:shd w:val="clear" w:color="auto" w:fill="auto"/>
                                </w:tcPr>
                                <w:p w14:paraId="45B7B9FB" w14:textId="7E812FA5" w:rsidR="00CE57F9" w:rsidRPr="00D15D1C" w:rsidRDefault="00CE57F9" w:rsidP="006A1D28">
                                  <w:pPr>
                                    <w:spacing w:line="200" w:lineRule="exact"/>
                                    <w:jc w:val="center"/>
                                    <w:rPr>
                                      <w:rFonts w:ascii="標楷體" w:eastAsia="標楷體" w:hAnsi="標楷體" w:cs="Arial"/>
                                      <w:sz w:val="20"/>
                                      <w:shd w:val="clear" w:color="auto" w:fill="FFFFFF"/>
                                    </w:rPr>
                                  </w:pPr>
                                  <w:r w:rsidRPr="009E4F9C">
                                    <w:rPr>
                                      <w:rFonts w:ascii="標楷體" w:eastAsia="標楷體" w:hAnsi="標楷體" w:hint="eastAsia"/>
                                      <w:sz w:val="20"/>
                                    </w:rPr>
                                    <w:sym w:font="Wingdings 2" w:char="F050"/>
                                  </w:r>
                                </w:p>
                              </w:tc>
                              <w:tc>
                                <w:tcPr>
                                  <w:tcW w:w="708" w:type="dxa"/>
                                  <w:shd w:val="clear" w:color="auto" w:fill="auto"/>
                                </w:tcPr>
                                <w:p w14:paraId="3466A00A" w14:textId="3D0DD59C" w:rsidR="00CE57F9" w:rsidRPr="00D15D1C" w:rsidRDefault="00CE57F9" w:rsidP="006A1D28">
                                  <w:pPr>
                                    <w:spacing w:line="200" w:lineRule="exact"/>
                                    <w:jc w:val="center"/>
                                    <w:rPr>
                                      <w:rFonts w:ascii="標楷體" w:eastAsia="標楷體" w:hAnsi="標楷體" w:cs="Arial"/>
                                      <w:sz w:val="20"/>
                                      <w:shd w:val="clear" w:color="auto" w:fill="FFFFFF"/>
                                    </w:rPr>
                                  </w:pPr>
                                  <w:r w:rsidRPr="005A6F59">
                                    <w:rPr>
                                      <w:rFonts w:ascii="標楷體" w:eastAsia="標楷體" w:hAnsi="標楷體" w:hint="eastAsia"/>
                                      <w:sz w:val="20"/>
                                    </w:rPr>
                                    <w:sym w:font="Wingdings 2" w:char="F050"/>
                                  </w:r>
                                </w:p>
                              </w:tc>
                              <w:tc>
                                <w:tcPr>
                                  <w:tcW w:w="993" w:type="dxa"/>
                                  <w:shd w:val="clear" w:color="auto" w:fill="auto"/>
                                </w:tcPr>
                                <w:p w14:paraId="60165F8C" w14:textId="56C8A780" w:rsidR="00CE57F9" w:rsidRPr="00D15D1C" w:rsidRDefault="00CE57F9" w:rsidP="006A1D28">
                                  <w:pPr>
                                    <w:spacing w:line="200" w:lineRule="exact"/>
                                    <w:jc w:val="center"/>
                                    <w:rPr>
                                      <w:rFonts w:ascii="標楷體" w:eastAsia="標楷體" w:hAnsi="標楷體" w:cs="Arial"/>
                                      <w:sz w:val="20"/>
                                      <w:shd w:val="clear" w:color="auto" w:fill="FFFFFF"/>
                                    </w:rPr>
                                  </w:pPr>
                                  <w:r w:rsidRPr="004804F4">
                                    <w:rPr>
                                      <w:rFonts w:ascii="標楷體" w:eastAsia="標楷體" w:hAnsi="標楷體" w:hint="eastAsia"/>
                                      <w:sz w:val="20"/>
                                    </w:rPr>
                                    <w:sym w:font="Wingdings 2" w:char="F050"/>
                                  </w:r>
                                </w:p>
                              </w:tc>
                              <w:tc>
                                <w:tcPr>
                                  <w:tcW w:w="141" w:type="dxa"/>
                                  <w:tcBorders>
                                    <w:top w:val="nil"/>
                                    <w:bottom w:val="nil"/>
                                  </w:tcBorders>
                                </w:tcPr>
                                <w:p w14:paraId="555C5560"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524423B5"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25</w:t>
                                  </w:r>
                                </w:p>
                              </w:tc>
                              <w:tc>
                                <w:tcPr>
                                  <w:tcW w:w="1559" w:type="dxa"/>
                                </w:tcPr>
                                <w:p w14:paraId="1B1ABCCF"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車瓜林斷層</w:t>
                                  </w:r>
                                </w:p>
                              </w:tc>
                              <w:tc>
                                <w:tcPr>
                                  <w:tcW w:w="425" w:type="dxa"/>
                                </w:tcPr>
                                <w:p w14:paraId="6BCA13CF"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一</w:t>
                                  </w:r>
                                </w:p>
                              </w:tc>
                              <w:tc>
                                <w:tcPr>
                                  <w:tcW w:w="709" w:type="dxa"/>
                                </w:tcPr>
                                <w:p w14:paraId="4266D865" w14:textId="6ACEAD91"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709" w:type="dxa"/>
                                </w:tcPr>
                                <w:p w14:paraId="7E887F9E"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84" w:type="dxa"/>
                                </w:tcPr>
                                <w:p w14:paraId="5594C3F0"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r>
                            <w:tr w:rsidR="00CE57F9" w:rsidRPr="00D15D1C" w14:paraId="72FA82FB" w14:textId="77777777" w:rsidTr="00DA2751">
                              <w:trPr>
                                <w:trHeight w:hRule="exact" w:val="227"/>
                              </w:trPr>
                              <w:tc>
                                <w:tcPr>
                                  <w:tcW w:w="426" w:type="dxa"/>
                                  <w:shd w:val="clear" w:color="auto" w:fill="auto"/>
                                </w:tcPr>
                                <w:p w14:paraId="3E1DE002"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8</w:t>
                                  </w:r>
                                </w:p>
                              </w:tc>
                              <w:tc>
                                <w:tcPr>
                                  <w:tcW w:w="1735" w:type="dxa"/>
                                  <w:shd w:val="clear" w:color="auto" w:fill="auto"/>
                                </w:tcPr>
                                <w:p w14:paraId="1B278020"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鐵砧山斷層</w:t>
                                  </w:r>
                                </w:p>
                              </w:tc>
                              <w:tc>
                                <w:tcPr>
                                  <w:tcW w:w="314" w:type="dxa"/>
                                  <w:shd w:val="clear" w:color="auto" w:fill="auto"/>
                                </w:tcPr>
                                <w:p w14:paraId="556B0578"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一</w:t>
                                  </w:r>
                                </w:p>
                              </w:tc>
                              <w:tc>
                                <w:tcPr>
                                  <w:tcW w:w="786" w:type="dxa"/>
                                  <w:shd w:val="clear" w:color="auto" w:fill="auto"/>
                                </w:tcPr>
                                <w:p w14:paraId="05BDAF21"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8" w:type="dxa"/>
                                  <w:shd w:val="clear" w:color="auto" w:fill="auto"/>
                                </w:tcPr>
                                <w:p w14:paraId="58F432FE" w14:textId="15E58C3D" w:rsidR="00CE57F9" w:rsidRPr="00D15D1C" w:rsidRDefault="00CE57F9" w:rsidP="006A1D28">
                                  <w:pPr>
                                    <w:spacing w:line="200" w:lineRule="exact"/>
                                    <w:jc w:val="center"/>
                                    <w:rPr>
                                      <w:rFonts w:ascii="標楷體" w:eastAsia="標楷體" w:hAnsi="標楷體" w:cs="Arial"/>
                                      <w:sz w:val="20"/>
                                      <w:shd w:val="clear" w:color="auto" w:fill="FFFFFF"/>
                                    </w:rPr>
                                  </w:pPr>
                                  <w:r w:rsidRPr="005A6F59">
                                    <w:rPr>
                                      <w:rFonts w:ascii="標楷體" w:eastAsia="標楷體" w:hAnsi="標楷體" w:hint="eastAsia"/>
                                      <w:sz w:val="20"/>
                                    </w:rPr>
                                    <w:sym w:font="Wingdings 2" w:char="F050"/>
                                  </w:r>
                                </w:p>
                              </w:tc>
                              <w:tc>
                                <w:tcPr>
                                  <w:tcW w:w="993" w:type="dxa"/>
                                  <w:shd w:val="clear" w:color="auto" w:fill="auto"/>
                                </w:tcPr>
                                <w:p w14:paraId="2B552858"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141" w:type="dxa"/>
                                  <w:tcBorders>
                                    <w:top w:val="nil"/>
                                    <w:bottom w:val="nil"/>
                                  </w:tcBorders>
                                </w:tcPr>
                                <w:p w14:paraId="7CF98B49"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0C616F20"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26</w:t>
                                  </w:r>
                                </w:p>
                              </w:tc>
                              <w:tc>
                                <w:tcPr>
                                  <w:tcW w:w="1559" w:type="dxa"/>
                                </w:tcPr>
                                <w:p w14:paraId="10F0DEFE"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旗山斷層</w:t>
                                  </w:r>
                                </w:p>
                              </w:tc>
                              <w:tc>
                                <w:tcPr>
                                  <w:tcW w:w="425" w:type="dxa"/>
                                </w:tcPr>
                                <w:p w14:paraId="03A76AE1"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一</w:t>
                                  </w:r>
                                </w:p>
                              </w:tc>
                              <w:tc>
                                <w:tcPr>
                                  <w:tcW w:w="709" w:type="dxa"/>
                                </w:tcPr>
                                <w:p w14:paraId="48BBDA7B" w14:textId="2241BDAE"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709" w:type="dxa"/>
                                </w:tcPr>
                                <w:p w14:paraId="69B988FB" w14:textId="4F16748E"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984" w:type="dxa"/>
                                </w:tcPr>
                                <w:p w14:paraId="0DC8FF65" w14:textId="2B825C34"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r>
                            <w:tr w:rsidR="00CE57F9" w:rsidRPr="00D15D1C" w14:paraId="49C25EF9" w14:textId="77777777" w:rsidTr="00DA2751">
                              <w:trPr>
                                <w:trHeight w:hRule="exact" w:val="227"/>
                              </w:trPr>
                              <w:tc>
                                <w:tcPr>
                                  <w:tcW w:w="426" w:type="dxa"/>
                                  <w:shd w:val="clear" w:color="auto" w:fill="auto"/>
                                </w:tcPr>
                                <w:p w14:paraId="0F7FC75B"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9</w:t>
                                  </w:r>
                                </w:p>
                              </w:tc>
                              <w:tc>
                                <w:tcPr>
                                  <w:tcW w:w="1735" w:type="dxa"/>
                                  <w:shd w:val="clear" w:color="auto" w:fill="auto"/>
                                </w:tcPr>
                                <w:p w14:paraId="340F9E63"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屯子腳斷層</w:t>
                                  </w:r>
                                </w:p>
                              </w:tc>
                              <w:tc>
                                <w:tcPr>
                                  <w:tcW w:w="314" w:type="dxa"/>
                                  <w:shd w:val="clear" w:color="auto" w:fill="auto"/>
                                </w:tcPr>
                                <w:p w14:paraId="563C1BDF"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一</w:t>
                                  </w:r>
                                </w:p>
                              </w:tc>
                              <w:tc>
                                <w:tcPr>
                                  <w:tcW w:w="786" w:type="dxa"/>
                                  <w:shd w:val="clear" w:color="auto" w:fill="auto"/>
                                </w:tcPr>
                                <w:p w14:paraId="5B062708" w14:textId="431810F4" w:rsidR="00CE57F9" w:rsidRPr="00D15D1C" w:rsidRDefault="00CE57F9" w:rsidP="006A1D28">
                                  <w:pPr>
                                    <w:spacing w:line="200" w:lineRule="exact"/>
                                    <w:jc w:val="center"/>
                                    <w:rPr>
                                      <w:rFonts w:ascii="標楷體" w:eastAsia="標楷體" w:hAnsi="標楷體" w:cs="Arial"/>
                                      <w:sz w:val="20"/>
                                      <w:shd w:val="clear" w:color="auto" w:fill="FFFFFF"/>
                                    </w:rPr>
                                  </w:pPr>
                                  <w:r w:rsidRPr="00AE28DF">
                                    <w:rPr>
                                      <w:rFonts w:ascii="標楷體" w:eastAsia="標楷體" w:hAnsi="標楷體" w:hint="eastAsia"/>
                                      <w:sz w:val="20"/>
                                    </w:rPr>
                                    <w:sym w:font="Wingdings 2" w:char="F050"/>
                                  </w:r>
                                </w:p>
                              </w:tc>
                              <w:tc>
                                <w:tcPr>
                                  <w:tcW w:w="708" w:type="dxa"/>
                                  <w:shd w:val="clear" w:color="auto" w:fill="auto"/>
                                </w:tcPr>
                                <w:p w14:paraId="161442C3" w14:textId="0D4F4739" w:rsidR="00CE57F9" w:rsidRPr="00D15D1C" w:rsidRDefault="00CE57F9" w:rsidP="006A1D28">
                                  <w:pPr>
                                    <w:spacing w:line="200" w:lineRule="exact"/>
                                    <w:jc w:val="center"/>
                                    <w:rPr>
                                      <w:rFonts w:ascii="標楷體" w:eastAsia="標楷體" w:hAnsi="標楷體" w:cs="Arial"/>
                                      <w:sz w:val="20"/>
                                      <w:shd w:val="clear" w:color="auto" w:fill="FFFFFF"/>
                                    </w:rPr>
                                  </w:pPr>
                                  <w:r w:rsidRPr="005A6F59">
                                    <w:rPr>
                                      <w:rFonts w:ascii="標楷體" w:eastAsia="標楷體" w:hAnsi="標楷體" w:hint="eastAsia"/>
                                      <w:sz w:val="20"/>
                                    </w:rPr>
                                    <w:sym w:font="Wingdings 2" w:char="F050"/>
                                  </w:r>
                                </w:p>
                              </w:tc>
                              <w:tc>
                                <w:tcPr>
                                  <w:tcW w:w="993" w:type="dxa"/>
                                  <w:shd w:val="clear" w:color="auto" w:fill="auto"/>
                                </w:tcPr>
                                <w:p w14:paraId="2251F90D" w14:textId="356BFC5F"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141" w:type="dxa"/>
                                  <w:tcBorders>
                                    <w:top w:val="nil"/>
                                    <w:bottom w:val="nil"/>
                                  </w:tcBorders>
                                </w:tcPr>
                                <w:p w14:paraId="3DCC22C4"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5B5E9823"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27</w:t>
                                  </w:r>
                                </w:p>
                              </w:tc>
                              <w:tc>
                                <w:tcPr>
                                  <w:tcW w:w="1559" w:type="dxa"/>
                                </w:tcPr>
                                <w:p w14:paraId="56FF55DF"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潮州斷層</w:t>
                                  </w:r>
                                </w:p>
                              </w:tc>
                              <w:tc>
                                <w:tcPr>
                                  <w:tcW w:w="425" w:type="dxa"/>
                                </w:tcPr>
                                <w:p w14:paraId="1C8E4014"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二</w:t>
                                  </w:r>
                                </w:p>
                              </w:tc>
                              <w:tc>
                                <w:tcPr>
                                  <w:tcW w:w="709" w:type="dxa"/>
                                </w:tcPr>
                                <w:p w14:paraId="183D009B"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9" w:type="dxa"/>
                                </w:tcPr>
                                <w:p w14:paraId="774CFCC4"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84" w:type="dxa"/>
                                </w:tcPr>
                                <w:p w14:paraId="5F89EFD3"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r>
                            <w:tr w:rsidR="00CE57F9" w:rsidRPr="00D15D1C" w14:paraId="78C376F6" w14:textId="77777777" w:rsidTr="00DA2751">
                              <w:trPr>
                                <w:trHeight w:hRule="exact" w:val="227"/>
                              </w:trPr>
                              <w:tc>
                                <w:tcPr>
                                  <w:tcW w:w="426" w:type="dxa"/>
                                  <w:shd w:val="clear" w:color="auto" w:fill="auto"/>
                                </w:tcPr>
                                <w:p w14:paraId="40C250D2"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10</w:t>
                                  </w:r>
                                </w:p>
                              </w:tc>
                              <w:tc>
                                <w:tcPr>
                                  <w:tcW w:w="1735" w:type="dxa"/>
                                  <w:shd w:val="clear" w:color="auto" w:fill="auto"/>
                                </w:tcPr>
                                <w:p w14:paraId="79A3645F"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彰化斷層</w:t>
                                  </w:r>
                                </w:p>
                              </w:tc>
                              <w:tc>
                                <w:tcPr>
                                  <w:tcW w:w="314" w:type="dxa"/>
                                  <w:shd w:val="clear" w:color="auto" w:fill="auto"/>
                                </w:tcPr>
                                <w:p w14:paraId="0C4E99C9"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一</w:t>
                                  </w:r>
                                </w:p>
                              </w:tc>
                              <w:tc>
                                <w:tcPr>
                                  <w:tcW w:w="786" w:type="dxa"/>
                                  <w:shd w:val="clear" w:color="auto" w:fill="auto"/>
                                </w:tcPr>
                                <w:p w14:paraId="3E6E5E81" w14:textId="0ABD97DD" w:rsidR="00CE57F9" w:rsidRPr="00D15D1C" w:rsidRDefault="00CE57F9" w:rsidP="006A1D28">
                                  <w:pPr>
                                    <w:spacing w:line="200" w:lineRule="exact"/>
                                    <w:jc w:val="center"/>
                                    <w:rPr>
                                      <w:rFonts w:ascii="標楷體" w:eastAsia="標楷體" w:hAnsi="標楷體" w:cs="Arial"/>
                                      <w:sz w:val="20"/>
                                      <w:shd w:val="clear" w:color="auto" w:fill="FFFFFF"/>
                                    </w:rPr>
                                  </w:pPr>
                                  <w:r w:rsidRPr="00AE28DF">
                                    <w:rPr>
                                      <w:rFonts w:ascii="標楷體" w:eastAsia="標楷體" w:hAnsi="標楷體" w:hint="eastAsia"/>
                                      <w:sz w:val="20"/>
                                    </w:rPr>
                                    <w:sym w:font="Wingdings 2" w:char="F050"/>
                                  </w:r>
                                </w:p>
                              </w:tc>
                              <w:tc>
                                <w:tcPr>
                                  <w:tcW w:w="708" w:type="dxa"/>
                                  <w:shd w:val="clear" w:color="auto" w:fill="auto"/>
                                </w:tcPr>
                                <w:p w14:paraId="2B2C5454" w14:textId="2677BA7A" w:rsidR="00CE57F9" w:rsidRPr="00D15D1C" w:rsidRDefault="00CE57F9" w:rsidP="006A1D28">
                                  <w:pPr>
                                    <w:spacing w:line="200" w:lineRule="exact"/>
                                    <w:jc w:val="center"/>
                                    <w:rPr>
                                      <w:rFonts w:ascii="標楷體" w:eastAsia="標楷體" w:hAnsi="標楷體" w:cs="Arial"/>
                                      <w:sz w:val="20"/>
                                      <w:shd w:val="clear" w:color="auto" w:fill="FFFFFF"/>
                                    </w:rPr>
                                  </w:pPr>
                                  <w:r w:rsidRPr="005A6F59">
                                    <w:rPr>
                                      <w:rFonts w:ascii="標楷體" w:eastAsia="標楷體" w:hAnsi="標楷體" w:hint="eastAsia"/>
                                      <w:sz w:val="20"/>
                                    </w:rPr>
                                    <w:sym w:font="Wingdings 2" w:char="F050"/>
                                  </w:r>
                                </w:p>
                              </w:tc>
                              <w:tc>
                                <w:tcPr>
                                  <w:tcW w:w="993" w:type="dxa"/>
                                  <w:shd w:val="clear" w:color="auto" w:fill="auto"/>
                                </w:tcPr>
                                <w:p w14:paraId="5EABEFB5"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141" w:type="dxa"/>
                                  <w:tcBorders>
                                    <w:top w:val="nil"/>
                                    <w:bottom w:val="nil"/>
                                  </w:tcBorders>
                                </w:tcPr>
                                <w:p w14:paraId="0517E0C1"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0015F21B"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28</w:t>
                                  </w:r>
                                </w:p>
                              </w:tc>
                              <w:tc>
                                <w:tcPr>
                                  <w:tcW w:w="1559" w:type="dxa"/>
                                </w:tcPr>
                                <w:p w14:paraId="64F5ACCE"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恆春斷層</w:t>
                                  </w:r>
                                </w:p>
                              </w:tc>
                              <w:tc>
                                <w:tcPr>
                                  <w:tcW w:w="425" w:type="dxa"/>
                                </w:tcPr>
                                <w:p w14:paraId="3FF3411D"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二</w:t>
                                  </w:r>
                                </w:p>
                              </w:tc>
                              <w:tc>
                                <w:tcPr>
                                  <w:tcW w:w="709" w:type="dxa"/>
                                </w:tcPr>
                                <w:p w14:paraId="7215DAB0"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9" w:type="dxa"/>
                                </w:tcPr>
                                <w:p w14:paraId="4B737405"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84" w:type="dxa"/>
                                </w:tcPr>
                                <w:p w14:paraId="2736B4D1"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r>
                            <w:tr w:rsidR="00CE57F9" w:rsidRPr="00D15D1C" w14:paraId="2D7758A6" w14:textId="77777777" w:rsidTr="00DA2751">
                              <w:trPr>
                                <w:trHeight w:hRule="exact" w:val="227"/>
                              </w:trPr>
                              <w:tc>
                                <w:tcPr>
                                  <w:tcW w:w="426" w:type="dxa"/>
                                  <w:shd w:val="clear" w:color="auto" w:fill="auto"/>
                                </w:tcPr>
                                <w:p w14:paraId="7DB7AEAE"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11</w:t>
                                  </w:r>
                                </w:p>
                              </w:tc>
                              <w:tc>
                                <w:tcPr>
                                  <w:tcW w:w="1735" w:type="dxa"/>
                                  <w:shd w:val="clear" w:color="auto" w:fill="auto"/>
                                </w:tcPr>
                                <w:p w14:paraId="0AB53809"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車籠埔斷層</w:t>
                                  </w:r>
                                </w:p>
                              </w:tc>
                              <w:tc>
                                <w:tcPr>
                                  <w:tcW w:w="314" w:type="dxa"/>
                                  <w:shd w:val="clear" w:color="auto" w:fill="auto"/>
                                </w:tcPr>
                                <w:p w14:paraId="65335742"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一</w:t>
                                  </w:r>
                                </w:p>
                              </w:tc>
                              <w:tc>
                                <w:tcPr>
                                  <w:tcW w:w="786" w:type="dxa"/>
                                  <w:shd w:val="clear" w:color="auto" w:fill="auto"/>
                                </w:tcPr>
                                <w:p w14:paraId="7DA75C55" w14:textId="5A398ED8" w:rsidR="00CE57F9" w:rsidRPr="00D15D1C" w:rsidRDefault="00CE57F9" w:rsidP="006A1D28">
                                  <w:pPr>
                                    <w:spacing w:line="200" w:lineRule="exact"/>
                                    <w:jc w:val="center"/>
                                    <w:rPr>
                                      <w:rFonts w:ascii="標楷體" w:eastAsia="標楷體" w:hAnsi="標楷體" w:cs="Arial"/>
                                      <w:sz w:val="20"/>
                                      <w:shd w:val="clear" w:color="auto" w:fill="FFFFFF"/>
                                    </w:rPr>
                                  </w:pPr>
                                  <w:r w:rsidRPr="00AE28DF">
                                    <w:rPr>
                                      <w:rFonts w:ascii="標楷體" w:eastAsia="標楷體" w:hAnsi="標楷體" w:hint="eastAsia"/>
                                      <w:sz w:val="20"/>
                                    </w:rPr>
                                    <w:sym w:font="Wingdings 2" w:char="F050"/>
                                  </w:r>
                                </w:p>
                              </w:tc>
                              <w:tc>
                                <w:tcPr>
                                  <w:tcW w:w="708" w:type="dxa"/>
                                  <w:shd w:val="clear" w:color="auto" w:fill="auto"/>
                                </w:tcPr>
                                <w:p w14:paraId="188E3586" w14:textId="6D29DAF8" w:rsidR="00CE57F9" w:rsidRPr="00D15D1C" w:rsidRDefault="00CE57F9" w:rsidP="006A1D28">
                                  <w:pPr>
                                    <w:spacing w:line="200" w:lineRule="exact"/>
                                    <w:jc w:val="center"/>
                                    <w:rPr>
                                      <w:rFonts w:ascii="標楷體" w:eastAsia="標楷體" w:hAnsi="標楷體" w:cs="Arial"/>
                                      <w:sz w:val="20"/>
                                      <w:shd w:val="clear" w:color="auto" w:fill="FFFFFF"/>
                                    </w:rPr>
                                  </w:pPr>
                                  <w:r w:rsidRPr="005A6F59">
                                    <w:rPr>
                                      <w:rFonts w:ascii="標楷體" w:eastAsia="標楷體" w:hAnsi="標楷體" w:hint="eastAsia"/>
                                      <w:sz w:val="20"/>
                                    </w:rPr>
                                    <w:sym w:font="Wingdings 2" w:char="F050"/>
                                  </w:r>
                                </w:p>
                              </w:tc>
                              <w:tc>
                                <w:tcPr>
                                  <w:tcW w:w="993" w:type="dxa"/>
                                  <w:shd w:val="clear" w:color="auto" w:fill="auto"/>
                                </w:tcPr>
                                <w:p w14:paraId="22A806E9" w14:textId="79C24883"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141" w:type="dxa"/>
                                  <w:tcBorders>
                                    <w:top w:val="nil"/>
                                    <w:bottom w:val="nil"/>
                                  </w:tcBorders>
                                </w:tcPr>
                                <w:p w14:paraId="231DD916"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4B1DDC8F"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29</w:t>
                                  </w:r>
                                </w:p>
                              </w:tc>
                              <w:tc>
                                <w:tcPr>
                                  <w:tcW w:w="1559" w:type="dxa"/>
                                </w:tcPr>
                                <w:p w14:paraId="53A3434C"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米崙斷層</w:t>
                                  </w:r>
                                </w:p>
                              </w:tc>
                              <w:tc>
                                <w:tcPr>
                                  <w:tcW w:w="425" w:type="dxa"/>
                                </w:tcPr>
                                <w:p w14:paraId="3959A349"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一</w:t>
                                  </w:r>
                                </w:p>
                              </w:tc>
                              <w:tc>
                                <w:tcPr>
                                  <w:tcW w:w="709" w:type="dxa"/>
                                </w:tcPr>
                                <w:p w14:paraId="3ED9F7D8" w14:textId="2D64C380"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709" w:type="dxa"/>
                                </w:tcPr>
                                <w:p w14:paraId="4B05E885" w14:textId="0DACCD5C" w:rsidR="00CE57F9" w:rsidRPr="00D15D1C" w:rsidRDefault="00CE57F9" w:rsidP="006A1D28">
                                  <w:pPr>
                                    <w:spacing w:line="200" w:lineRule="exact"/>
                                    <w:jc w:val="center"/>
                                    <w:rPr>
                                      <w:rFonts w:ascii="標楷體" w:eastAsia="標楷體" w:hAnsi="標楷體" w:cs="Arial"/>
                                      <w:sz w:val="20"/>
                                      <w:shd w:val="clear" w:color="auto" w:fill="FFFFFF"/>
                                    </w:rPr>
                                  </w:pPr>
                                  <w:r w:rsidRPr="003757D6">
                                    <w:rPr>
                                      <w:rFonts w:ascii="標楷體" w:eastAsia="標楷體" w:hAnsi="標楷體" w:hint="eastAsia"/>
                                      <w:sz w:val="20"/>
                                    </w:rPr>
                                    <w:sym w:font="Wingdings 2" w:char="F050"/>
                                  </w:r>
                                </w:p>
                              </w:tc>
                              <w:tc>
                                <w:tcPr>
                                  <w:tcW w:w="984" w:type="dxa"/>
                                </w:tcPr>
                                <w:p w14:paraId="3CB601FF" w14:textId="394EFD51" w:rsidR="00CE57F9" w:rsidRPr="00D15D1C" w:rsidRDefault="00CE57F9" w:rsidP="006A1D28">
                                  <w:pPr>
                                    <w:spacing w:line="200" w:lineRule="exact"/>
                                    <w:jc w:val="center"/>
                                    <w:rPr>
                                      <w:rFonts w:ascii="標楷體" w:eastAsia="標楷體" w:hAnsi="標楷體" w:cs="Arial"/>
                                      <w:sz w:val="20"/>
                                      <w:shd w:val="clear" w:color="auto" w:fill="FFFFFF"/>
                                    </w:rPr>
                                  </w:pPr>
                                  <w:r w:rsidRPr="000E29F9">
                                    <w:rPr>
                                      <w:rFonts w:ascii="標楷體" w:eastAsia="標楷體" w:hAnsi="標楷體" w:hint="eastAsia"/>
                                      <w:sz w:val="20"/>
                                    </w:rPr>
                                    <w:sym w:font="Wingdings 2" w:char="F050"/>
                                  </w:r>
                                </w:p>
                              </w:tc>
                            </w:tr>
                            <w:tr w:rsidR="00CE57F9" w:rsidRPr="00D15D1C" w14:paraId="11A8201E" w14:textId="77777777" w:rsidTr="00DA2751">
                              <w:trPr>
                                <w:trHeight w:hRule="exact" w:val="227"/>
                              </w:trPr>
                              <w:tc>
                                <w:tcPr>
                                  <w:tcW w:w="426" w:type="dxa"/>
                                  <w:shd w:val="clear" w:color="auto" w:fill="auto"/>
                                </w:tcPr>
                                <w:p w14:paraId="569096F2"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12</w:t>
                                  </w:r>
                                </w:p>
                              </w:tc>
                              <w:tc>
                                <w:tcPr>
                                  <w:tcW w:w="1735" w:type="dxa"/>
                                  <w:shd w:val="clear" w:color="auto" w:fill="auto"/>
                                </w:tcPr>
                                <w:p w14:paraId="03FB9610"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大茅埔－雙冬斷層</w:t>
                                  </w:r>
                                </w:p>
                              </w:tc>
                              <w:tc>
                                <w:tcPr>
                                  <w:tcW w:w="314" w:type="dxa"/>
                                  <w:shd w:val="clear" w:color="auto" w:fill="auto"/>
                                </w:tcPr>
                                <w:p w14:paraId="65B8969D"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一</w:t>
                                  </w:r>
                                </w:p>
                              </w:tc>
                              <w:tc>
                                <w:tcPr>
                                  <w:tcW w:w="786" w:type="dxa"/>
                                  <w:shd w:val="clear" w:color="auto" w:fill="auto"/>
                                </w:tcPr>
                                <w:p w14:paraId="7576E4B7"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8" w:type="dxa"/>
                                  <w:shd w:val="clear" w:color="auto" w:fill="auto"/>
                                </w:tcPr>
                                <w:p w14:paraId="6D313EF5" w14:textId="2658DD6D" w:rsidR="00CE57F9" w:rsidRPr="00D15D1C" w:rsidRDefault="00CE57F9" w:rsidP="006A1D28">
                                  <w:pPr>
                                    <w:spacing w:line="200" w:lineRule="exact"/>
                                    <w:jc w:val="center"/>
                                    <w:rPr>
                                      <w:rFonts w:ascii="標楷體" w:eastAsia="標楷體" w:hAnsi="標楷體" w:cs="Arial"/>
                                      <w:sz w:val="20"/>
                                      <w:shd w:val="clear" w:color="auto" w:fill="FFFFFF"/>
                                    </w:rPr>
                                  </w:pPr>
                                  <w:r w:rsidRPr="005A6F59">
                                    <w:rPr>
                                      <w:rFonts w:ascii="標楷體" w:eastAsia="標楷體" w:hAnsi="標楷體" w:hint="eastAsia"/>
                                      <w:sz w:val="20"/>
                                    </w:rPr>
                                    <w:sym w:font="Wingdings 2" w:char="F050"/>
                                  </w:r>
                                </w:p>
                              </w:tc>
                              <w:tc>
                                <w:tcPr>
                                  <w:tcW w:w="993" w:type="dxa"/>
                                  <w:shd w:val="clear" w:color="auto" w:fill="auto"/>
                                </w:tcPr>
                                <w:p w14:paraId="15492E39"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141" w:type="dxa"/>
                                  <w:tcBorders>
                                    <w:top w:val="nil"/>
                                    <w:bottom w:val="nil"/>
                                  </w:tcBorders>
                                </w:tcPr>
                                <w:p w14:paraId="337F05DE"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2B10E23A"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30</w:t>
                                  </w:r>
                                </w:p>
                              </w:tc>
                              <w:tc>
                                <w:tcPr>
                                  <w:tcW w:w="1559" w:type="dxa"/>
                                </w:tcPr>
                                <w:p w14:paraId="41C396F9"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嶺頂斷層</w:t>
                                  </w:r>
                                </w:p>
                              </w:tc>
                              <w:tc>
                                <w:tcPr>
                                  <w:tcW w:w="425" w:type="dxa"/>
                                </w:tcPr>
                                <w:p w14:paraId="0783A860"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二</w:t>
                                  </w:r>
                                </w:p>
                              </w:tc>
                              <w:tc>
                                <w:tcPr>
                                  <w:tcW w:w="709" w:type="dxa"/>
                                </w:tcPr>
                                <w:p w14:paraId="60DF1D26"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9" w:type="dxa"/>
                                </w:tcPr>
                                <w:p w14:paraId="6A6E366F" w14:textId="3A335FA3" w:rsidR="00CE57F9" w:rsidRPr="00D15D1C" w:rsidRDefault="00CE57F9" w:rsidP="006A1D28">
                                  <w:pPr>
                                    <w:spacing w:line="200" w:lineRule="exact"/>
                                    <w:jc w:val="center"/>
                                    <w:rPr>
                                      <w:rFonts w:ascii="標楷體" w:eastAsia="標楷體" w:hAnsi="標楷體" w:cs="Arial"/>
                                      <w:sz w:val="20"/>
                                      <w:shd w:val="clear" w:color="auto" w:fill="FFFFFF"/>
                                    </w:rPr>
                                  </w:pPr>
                                  <w:r w:rsidRPr="003757D6">
                                    <w:rPr>
                                      <w:rFonts w:ascii="標楷體" w:eastAsia="標楷體" w:hAnsi="標楷體" w:hint="eastAsia"/>
                                      <w:sz w:val="20"/>
                                    </w:rPr>
                                    <w:sym w:font="Wingdings 2" w:char="F050"/>
                                  </w:r>
                                </w:p>
                              </w:tc>
                              <w:tc>
                                <w:tcPr>
                                  <w:tcW w:w="984" w:type="dxa"/>
                                </w:tcPr>
                                <w:p w14:paraId="212B354A" w14:textId="5FE8BD2A" w:rsidR="00CE57F9" w:rsidRPr="00D15D1C" w:rsidRDefault="00CE57F9" w:rsidP="006A1D28">
                                  <w:pPr>
                                    <w:spacing w:line="200" w:lineRule="exact"/>
                                    <w:jc w:val="center"/>
                                    <w:rPr>
                                      <w:rFonts w:ascii="標楷體" w:eastAsia="標楷體" w:hAnsi="標楷體" w:cs="Arial"/>
                                      <w:sz w:val="20"/>
                                      <w:shd w:val="clear" w:color="auto" w:fill="FFFFFF"/>
                                    </w:rPr>
                                  </w:pPr>
                                  <w:r w:rsidRPr="000E29F9">
                                    <w:rPr>
                                      <w:rFonts w:ascii="標楷體" w:eastAsia="標楷體" w:hAnsi="標楷體" w:hint="eastAsia"/>
                                      <w:sz w:val="20"/>
                                    </w:rPr>
                                    <w:sym w:font="Wingdings 2" w:char="F050"/>
                                  </w:r>
                                </w:p>
                              </w:tc>
                            </w:tr>
                            <w:tr w:rsidR="00CE57F9" w:rsidRPr="00D15D1C" w14:paraId="32C82E30" w14:textId="77777777" w:rsidTr="00DA2751">
                              <w:trPr>
                                <w:trHeight w:hRule="exact" w:val="227"/>
                              </w:trPr>
                              <w:tc>
                                <w:tcPr>
                                  <w:tcW w:w="426" w:type="dxa"/>
                                  <w:shd w:val="clear" w:color="auto" w:fill="auto"/>
                                </w:tcPr>
                                <w:p w14:paraId="79E4D644"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13</w:t>
                                  </w:r>
                                </w:p>
                              </w:tc>
                              <w:tc>
                                <w:tcPr>
                                  <w:tcW w:w="1735" w:type="dxa"/>
                                  <w:shd w:val="clear" w:color="auto" w:fill="auto"/>
                                </w:tcPr>
                                <w:p w14:paraId="5AFCF7D2"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初鄉斷層</w:t>
                                  </w:r>
                                </w:p>
                              </w:tc>
                              <w:tc>
                                <w:tcPr>
                                  <w:tcW w:w="314" w:type="dxa"/>
                                  <w:shd w:val="clear" w:color="auto" w:fill="auto"/>
                                </w:tcPr>
                                <w:p w14:paraId="35BC1CB7"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二</w:t>
                                  </w:r>
                                </w:p>
                              </w:tc>
                              <w:tc>
                                <w:tcPr>
                                  <w:tcW w:w="786" w:type="dxa"/>
                                  <w:shd w:val="clear" w:color="auto" w:fill="auto"/>
                                </w:tcPr>
                                <w:p w14:paraId="0CA661C4"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8" w:type="dxa"/>
                                  <w:shd w:val="clear" w:color="auto" w:fill="auto"/>
                                </w:tcPr>
                                <w:p w14:paraId="6601420A"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93" w:type="dxa"/>
                                  <w:shd w:val="clear" w:color="auto" w:fill="auto"/>
                                </w:tcPr>
                                <w:p w14:paraId="594F6F6B"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141" w:type="dxa"/>
                                  <w:tcBorders>
                                    <w:top w:val="nil"/>
                                    <w:bottom w:val="nil"/>
                                  </w:tcBorders>
                                </w:tcPr>
                                <w:p w14:paraId="57724A64"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569CB518"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31</w:t>
                                  </w:r>
                                </w:p>
                              </w:tc>
                              <w:tc>
                                <w:tcPr>
                                  <w:tcW w:w="1559" w:type="dxa"/>
                                </w:tcPr>
                                <w:p w14:paraId="54DC4098"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瑞穗斷層</w:t>
                                  </w:r>
                                </w:p>
                              </w:tc>
                              <w:tc>
                                <w:tcPr>
                                  <w:tcW w:w="425" w:type="dxa"/>
                                </w:tcPr>
                                <w:p w14:paraId="20A6F01F"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一</w:t>
                                  </w:r>
                                </w:p>
                              </w:tc>
                              <w:tc>
                                <w:tcPr>
                                  <w:tcW w:w="709" w:type="dxa"/>
                                </w:tcPr>
                                <w:p w14:paraId="3F569420"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9" w:type="dxa"/>
                                </w:tcPr>
                                <w:p w14:paraId="777D78AC" w14:textId="7EADE300" w:rsidR="00CE57F9" w:rsidRPr="00D15D1C" w:rsidRDefault="00CE57F9" w:rsidP="006A1D28">
                                  <w:pPr>
                                    <w:spacing w:line="200" w:lineRule="exact"/>
                                    <w:jc w:val="center"/>
                                    <w:rPr>
                                      <w:rFonts w:ascii="標楷體" w:eastAsia="標楷體" w:hAnsi="標楷體" w:cs="Arial"/>
                                      <w:sz w:val="20"/>
                                      <w:shd w:val="clear" w:color="auto" w:fill="FFFFFF"/>
                                    </w:rPr>
                                  </w:pPr>
                                  <w:r w:rsidRPr="003757D6">
                                    <w:rPr>
                                      <w:rFonts w:ascii="標楷體" w:eastAsia="標楷體" w:hAnsi="標楷體" w:hint="eastAsia"/>
                                      <w:sz w:val="20"/>
                                    </w:rPr>
                                    <w:sym w:font="Wingdings 2" w:char="F050"/>
                                  </w:r>
                                </w:p>
                              </w:tc>
                              <w:tc>
                                <w:tcPr>
                                  <w:tcW w:w="984" w:type="dxa"/>
                                </w:tcPr>
                                <w:p w14:paraId="238B51A7" w14:textId="6FEA62AB" w:rsidR="00CE57F9" w:rsidRPr="00D15D1C" w:rsidRDefault="00CE57F9" w:rsidP="006A1D28">
                                  <w:pPr>
                                    <w:spacing w:line="200" w:lineRule="exact"/>
                                    <w:jc w:val="center"/>
                                    <w:rPr>
                                      <w:rFonts w:ascii="標楷體" w:eastAsia="標楷體" w:hAnsi="標楷體" w:cs="Arial"/>
                                      <w:sz w:val="20"/>
                                      <w:shd w:val="clear" w:color="auto" w:fill="FFFFFF"/>
                                    </w:rPr>
                                  </w:pPr>
                                  <w:r w:rsidRPr="000E29F9">
                                    <w:rPr>
                                      <w:rFonts w:ascii="標楷體" w:eastAsia="標楷體" w:hAnsi="標楷體" w:hint="eastAsia"/>
                                      <w:sz w:val="20"/>
                                    </w:rPr>
                                    <w:sym w:font="Wingdings 2" w:char="F050"/>
                                  </w:r>
                                </w:p>
                              </w:tc>
                            </w:tr>
                            <w:tr w:rsidR="00CE57F9" w:rsidRPr="00D15D1C" w14:paraId="4AD94E1F" w14:textId="77777777" w:rsidTr="00DA2751">
                              <w:trPr>
                                <w:trHeight w:hRule="exact" w:val="227"/>
                              </w:trPr>
                              <w:tc>
                                <w:tcPr>
                                  <w:tcW w:w="426" w:type="dxa"/>
                                  <w:shd w:val="clear" w:color="auto" w:fill="auto"/>
                                </w:tcPr>
                                <w:p w14:paraId="44A0BBF5"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14</w:t>
                                  </w:r>
                                </w:p>
                              </w:tc>
                              <w:tc>
                                <w:tcPr>
                                  <w:tcW w:w="1735" w:type="dxa"/>
                                  <w:shd w:val="clear" w:color="auto" w:fill="auto"/>
                                </w:tcPr>
                                <w:p w14:paraId="65577BA5"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九芎坑斷層</w:t>
                                  </w:r>
                                </w:p>
                              </w:tc>
                              <w:tc>
                                <w:tcPr>
                                  <w:tcW w:w="314" w:type="dxa"/>
                                  <w:shd w:val="clear" w:color="auto" w:fill="auto"/>
                                </w:tcPr>
                                <w:p w14:paraId="682F5A61"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二</w:t>
                                  </w:r>
                                </w:p>
                              </w:tc>
                              <w:tc>
                                <w:tcPr>
                                  <w:tcW w:w="786" w:type="dxa"/>
                                  <w:shd w:val="clear" w:color="auto" w:fill="auto"/>
                                </w:tcPr>
                                <w:p w14:paraId="7BAB3B96" w14:textId="0DD83B13" w:rsidR="00CE57F9" w:rsidRPr="00D15D1C" w:rsidRDefault="00CE57F9" w:rsidP="006A1D28">
                                  <w:pPr>
                                    <w:spacing w:line="200" w:lineRule="exact"/>
                                    <w:jc w:val="center"/>
                                    <w:rPr>
                                      <w:rFonts w:ascii="標楷體" w:eastAsia="標楷體" w:hAnsi="標楷體" w:cs="Arial"/>
                                      <w:sz w:val="20"/>
                                      <w:shd w:val="clear" w:color="auto" w:fill="FFFFFF"/>
                                    </w:rPr>
                                  </w:pPr>
                                  <w:r w:rsidRPr="00CA7525">
                                    <w:rPr>
                                      <w:rFonts w:ascii="標楷體" w:eastAsia="標楷體" w:hAnsi="標楷體" w:hint="eastAsia"/>
                                      <w:sz w:val="20"/>
                                    </w:rPr>
                                    <w:sym w:font="Wingdings 2" w:char="F050"/>
                                  </w:r>
                                </w:p>
                              </w:tc>
                              <w:tc>
                                <w:tcPr>
                                  <w:tcW w:w="708" w:type="dxa"/>
                                  <w:shd w:val="clear" w:color="auto" w:fill="auto"/>
                                </w:tcPr>
                                <w:p w14:paraId="7319EF76"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93" w:type="dxa"/>
                                  <w:shd w:val="clear" w:color="auto" w:fill="auto"/>
                                </w:tcPr>
                                <w:p w14:paraId="45047961" w14:textId="3B5F129B" w:rsidR="00CE57F9" w:rsidRPr="00D15D1C" w:rsidRDefault="00CE57F9" w:rsidP="006A1D28">
                                  <w:pPr>
                                    <w:spacing w:line="200" w:lineRule="exact"/>
                                    <w:jc w:val="center"/>
                                    <w:rPr>
                                      <w:rFonts w:ascii="標楷體" w:eastAsia="標楷體" w:hAnsi="標楷體" w:cs="Arial"/>
                                      <w:sz w:val="20"/>
                                      <w:shd w:val="clear" w:color="auto" w:fill="FFFFFF"/>
                                    </w:rPr>
                                  </w:pPr>
                                  <w:r w:rsidRPr="009C3FFC">
                                    <w:rPr>
                                      <w:rFonts w:ascii="標楷體" w:eastAsia="標楷體" w:hAnsi="標楷體" w:hint="eastAsia"/>
                                      <w:sz w:val="20"/>
                                    </w:rPr>
                                    <w:sym w:font="Wingdings 2" w:char="F050"/>
                                  </w:r>
                                </w:p>
                              </w:tc>
                              <w:tc>
                                <w:tcPr>
                                  <w:tcW w:w="141" w:type="dxa"/>
                                  <w:tcBorders>
                                    <w:top w:val="nil"/>
                                    <w:bottom w:val="nil"/>
                                  </w:tcBorders>
                                </w:tcPr>
                                <w:p w14:paraId="57B14D49"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47EEDB8F"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32</w:t>
                                  </w:r>
                                </w:p>
                              </w:tc>
                              <w:tc>
                                <w:tcPr>
                                  <w:tcW w:w="1559" w:type="dxa"/>
                                </w:tcPr>
                                <w:p w14:paraId="3169E853"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奇美斷層</w:t>
                                  </w:r>
                                </w:p>
                              </w:tc>
                              <w:tc>
                                <w:tcPr>
                                  <w:tcW w:w="425" w:type="dxa"/>
                                </w:tcPr>
                                <w:p w14:paraId="470276CB"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二</w:t>
                                  </w:r>
                                </w:p>
                              </w:tc>
                              <w:tc>
                                <w:tcPr>
                                  <w:tcW w:w="709" w:type="dxa"/>
                                </w:tcPr>
                                <w:p w14:paraId="44941DE4" w14:textId="4959A1D2" w:rsidR="00CE57F9" w:rsidRPr="00D15D1C" w:rsidRDefault="00CE57F9" w:rsidP="006A1D28">
                                  <w:pPr>
                                    <w:spacing w:line="200" w:lineRule="exact"/>
                                    <w:jc w:val="center"/>
                                    <w:rPr>
                                      <w:rFonts w:ascii="標楷體" w:eastAsia="標楷體" w:hAnsi="標楷體" w:cs="Arial"/>
                                      <w:sz w:val="20"/>
                                      <w:shd w:val="clear" w:color="auto" w:fill="FFFFFF"/>
                                    </w:rPr>
                                  </w:pPr>
                                  <w:r w:rsidRPr="002374CA">
                                    <w:rPr>
                                      <w:rFonts w:ascii="標楷體" w:eastAsia="標楷體" w:hAnsi="標楷體" w:hint="eastAsia"/>
                                      <w:sz w:val="20"/>
                                    </w:rPr>
                                    <w:sym w:font="Wingdings 2" w:char="F050"/>
                                  </w:r>
                                </w:p>
                              </w:tc>
                              <w:tc>
                                <w:tcPr>
                                  <w:tcW w:w="709" w:type="dxa"/>
                                </w:tcPr>
                                <w:p w14:paraId="014B8CFF"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84" w:type="dxa"/>
                                </w:tcPr>
                                <w:p w14:paraId="4A6CCBF5" w14:textId="0EA1C325" w:rsidR="00CE57F9" w:rsidRPr="00D15D1C" w:rsidRDefault="00CE57F9" w:rsidP="006A1D28">
                                  <w:pPr>
                                    <w:spacing w:line="200" w:lineRule="exact"/>
                                    <w:jc w:val="center"/>
                                    <w:rPr>
                                      <w:rFonts w:ascii="標楷體" w:eastAsia="標楷體" w:hAnsi="標楷體" w:cs="Arial"/>
                                      <w:sz w:val="20"/>
                                      <w:shd w:val="clear" w:color="auto" w:fill="FFFFFF"/>
                                    </w:rPr>
                                  </w:pPr>
                                  <w:r w:rsidRPr="000E29F9">
                                    <w:rPr>
                                      <w:rFonts w:ascii="標楷體" w:eastAsia="標楷體" w:hAnsi="標楷體" w:hint="eastAsia"/>
                                      <w:sz w:val="20"/>
                                    </w:rPr>
                                    <w:sym w:font="Wingdings 2" w:char="F050"/>
                                  </w:r>
                                </w:p>
                              </w:tc>
                            </w:tr>
                            <w:tr w:rsidR="00CE57F9" w:rsidRPr="00D15D1C" w14:paraId="063DD647" w14:textId="77777777" w:rsidTr="00DA2751">
                              <w:trPr>
                                <w:trHeight w:hRule="exact" w:val="227"/>
                              </w:trPr>
                              <w:tc>
                                <w:tcPr>
                                  <w:tcW w:w="426" w:type="dxa"/>
                                  <w:shd w:val="clear" w:color="auto" w:fill="auto"/>
                                </w:tcPr>
                                <w:p w14:paraId="0D96D195"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15</w:t>
                                  </w:r>
                                </w:p>
                              </w:tc>
                              <w:tc>
                                <w:tcPr>
                                  <w:tcW w:w="1735" w:type="dxa"/>
                                  <w:shd w:val="clear" w:color="auto" w:fill="auto"/>
                                </w:tcPr>
                                <w:p w14:paraId="6DF2FE31"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梅山斷層</w:t>
                                  </w:r>
                                </w:p>
                              </w:tc>
                              <w:tc>
                                <w:tcPr>
                                  <w:tcW w:w="314" w:type="dxa"/>
                                  <w:shd w:val="clear" w:color="auto" w:fill="auto"/>
                                </w:tcPr>
                                <w:p w14:paraId="1E0E9F6E"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一</w:t>
                                  </w:r>
                                </w:p>
                              </w:tc>
                              <w:tc>
                                <w:tcPr>
                                  <w:tcW w:w="786" w:type="dxa"/>
                                  <w:shd w:val="clear" w:color="auto" w:fill="auto"/>
                                </w:tcPr>
                                <w:p w14:paraId="3206FBBB" w14:textId="6EC80B5A" w:rsidR="00CE57F9" w:rsidRPr="00D15D1C" w:rsidRDefault="00CE57F9" w:rsidP="006A1D28">
                                  <w:pPr>
                                    <w:spacing w:line="200" w:lineRule="exact"/>
                                    <w:jc w:val="center"/>
                                    <w:rPr>
                                      <w:rFonts w:ascii="標楷體" w:eastAsia="標楷體" w:hAnsi="標楷體" w:cs="Arial"/>
                                      <w:sz w:val="20"/>
                                      <w:shd w:val="clear" w:color="auto" w:fill="FFFFFF"/>
                                    </w:rPr>
                                  </w:pPr>
                                  <w:r w:rsidRPr="00CA7525">
                                    <w:rPr>
                                      <w:rFonts w:ascii="標楷體" w:eastAsia="標楷體" w:hAnsi="標楷體" w:hint="eastAsia"/>
                                      <w:sz w:val="20"/>
                                    </w:rPr>
                                    <w:sym w:font="Wingdings 2" w:char="F050"/>
                                  </w:r>
                                </w:p>
                              </w:tc>
                              <w:tc>
                                <w:tcPr>
                                  <w:tcW w:w="708" w:type="dxa"/>
                                  <w:shd w:val="clear" w:color="auto" w:fill="auto"/>
                                </w:tcPr>
                                <w:p w14:paraId="50F3F452" w14:textId="0B685C48" w:rsidR="00CE57F9" w:rsidRPr="00D15D1C" w:rsidRDefault="00CE57F9" w:rsidP="006A1D28">
                                  <w:pPr>
                                    <w:spacing w:line="200" w:lineRule="exact"/>
                                    <w:jc w:val="center"/>
                                    <w:rPr>
                                      <w:rFonts w:ascii="標楷體" w:eastAsia="標楷體" w:hAnsi="標楷體" w:cs="Arial"/>
                                      <w:sz w:val="20"/>
                                      <w:shd w:val="clear" w:color="auto" w:fill="FFFFFF"/>
                                    </w:rPr>
                                  </w:pPr>
                                  <w:r w:rsidRPr="000D33EE">
                                    <w:rPr>
                                      <w:rFonts w:ascii="標楷體" w:eastAsia="標楷體" w:hAnsi="標楷體" w:hint="eastAsia"/>
                                      <w:sz w:val="20"/>
                                    </w:rPr>
                                    <w:sym w:font="Wingdings 2" w:char="F050"/>
                                  </w:r>
                                </w:p>
                              </w:tc>
                              <w:tc>
                                <w:tcPr>
                                  <w:tcW w:w="993" w:type="dxa"/>
                                  <w:shd w:val="clear" w:color="auto" w:fill="auto"/>
                                </w:tcPr>
                                <w:p w14:paraId="39F0E141" w14:textId="3DA8EEE1" w:rsidR="00CE57F9" w:rsidRPr="00D15D1C" w:rsidRDefault="00CE57F9" w:rsidP="006A1D28">
                                  <w:pPr>
                                    <w:spacing w:line="200" w:lineRule="exact"/>
                                    <w:jc w:val="center"/>
                                    <w:rPr>
                                      <w:rFonts w:ascii="標楷體" w:eastAsia="標楷體" w:hAnsi="標楷體" w:cs="Arial"/>
                                      <w:sz w:val="20"/>
                                      <w:shd w:val="clear" w:color="auto" w:fill="FFFFFF"/>
                                    </w:rPr>
                                  </w:pPr>
                                  <w:r w:rsidRPr="009C3FFC">
                                    <w:rPr>
                                      <w:rFonts w:ascii="標楷體" w:eastAsia="標楷體" w:hAnsi="標楷體" w:hint="eastAsia"/>
                                      <w:sz w:val="20"/>
                                    </w:rPr>
                                    <w:sym w:font="Wingdings 2" w:char="F050"/>
                                  </w:r>
                                </w:p>
                              </w:tc>
                              <w:tc>
                                <w:tcPr>
                                  <w:tcW w:w="141" w:type="dxa"/>
                                  <w:tcBorders>
                                    <w:top w:val="nil"/>
                                    <w:bottom w:val="nil"/>
                                  </w:tcBorders>
                                </w:tcPr>
                                <w:p w14:paraId="68FE50EE"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7F739DE3"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33</w:t>
                                  </w:r>
                                </w:p>
                              </w:tc>
                              <w:tc>
                                <w:tcPr>
                                  <w:tcW w:w="1559" w:type="dxa"/>
                                </w:tcPr>
                                <w:p w14:paraId="117D0F18"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玉里斷層</w:t>
                                  </w:r>
                                </w:p>
                              </w:tc>
                              <w:tc>
                                <w:tcPr>
                                  <w:tcW w:w="425" w:type="dxa"/>
                                </w:tcPr>
                                <w:p w14:paraId="05B8C87D"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一</w:t>
                                  </w:r>
                                </w:p>
                              </w:tc>
                              <w:tc>
                                <w:tcPr>
                                  <w:tcW w:w="709" w:type="dxa"/>
                                </w:tcPr>
                                <w:p w14:paraId="1CF022CD" w14:textId="14E0F479" w:rsidR="00CE57F9" w:rsidRPr="00D15D1C" w:rsidRDefault="00CE57F9" w:rsidP="006A1D28">
                                  <w:pPr>
                                    <w:spacing w:line="200" w:lineRule="exact"/>
                                    <w:jc w:val="center"/>
                                    <w:rPr>
                                      <w:rFonts w:ascii="標楷體" w:eastAsia="標楷體" w:hAnsi="標楷體" w:cs="Arial"/>
                                      <w:sz w:val="20"/>
                                      <w:shd w:val="clear" w:color="auto" w:fill="FFFFFF"/>
                                    </w:rPr>
                                  </w:pPr>
                                  <w:r w:rsidRPr="002374CA">
                                    <w:rPr>
                                      <w:rFonts w:ascii="標楷體" w:eastAsia="標楷體" w:hAnsi="標楷體" w:hint="eastAsia"/>
                                      <w:sz w:val="20"/>
                                    </w:rPr>
                                    <w:sym w:font="Wingdings 2" w:char="F050"/>
                                  </w:r>
                                </w:p>
                              </w:tc>
                              <w:tc>
                                <w:tcPr>
                                  <w:tcW w:w="709" w:type="dxa"/>
                                </w:tcPr>
                                <w:p w14:paraId="4373DF93" w14:textId="150F8B6B" w:rsidR="00CE57F9" w:rsidRPr="00D15D1C" w:rsidRDefault="00CE57F9" w:rsidP="006A1D28">
                                  <w:pPr>
                                    <w:spacing w:line="200" w:lineRule="exact"/>
                                    <w:jc w:val="center"/>
                                    <w:rPr>
                                      <w:rFonts w:ascii="標楷體" w:eastAsia="標楷體" w:hAnsi="標楷體" w:cs="Arial"/>
                                      <w:sz w:val="20"/>
                                      <w:shd w:val="clear" w:color="auto" w:fill="FFFFFF"/>
                                    </w:rPr>
                                  </w:pPr>
                                  <w:r w:rsidRPr="006737F7">
                                    <w:rPr>
                                      <w:rFonts w:ascii="標楷體" w:eastAsia="標楷體" w:hAnsi="標楷體" w:hint="eastAsia"/>
                                      <w:sz w:val="20"/>
                                    </w:rPr>
                                    <w:sym w:font="Wingdings 2" w:char="F050"/>
                                  </w:r>
                                </w:p>
                              </w:tc>
                              <w:tc>
                                <w:tcPr>
                                  <w:tcW w:w="984" w:type="dxa"/>
                                </w:tcPr>
                                <w:p w14:paraId="4F54E0B8"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r>
                            <w:tr w:rsidR="00CE57F9" w:rsidRPr="00D15D1C" w14:paraId="3C09A7A4" w14:textId="77777777" w:rsidTr="00DA2751">
                              <w:trPr>
                                <w:trHeight w:hRule="exact" w:val="227"/>
                              </w:trPr>
                              <w:tc>
                                <w:tcPr>
                                  <w:tcW w:w="426" w:type="dxa"/>
                                  <w:shd w:val="clear" w:color="auto" w:fill="auto"/>
                                </w:tcPr>
                                <w:p w14:paraId="0D5216B2"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16</w:t>
                                  </w:r>
                                </w:p>
                              </w:tc>
                              <w:tc>
                                <w:tcPr>
                                  <w:tcW w:w="1735" w:type="dxa"/>
                                  <w:shd w:val="clear" w:color="auto" w:fill="auto"/>
                                </w:tcPr>
                                <w:p w14:paraId="213D6749"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大尖山斷層</w:t>
                                  </w:r>
                                </w:p>
                              </w:tc>
                              <w:tc>
                                <w:tcPr>
                                  <w:tcW w:w="314" w:type="dxa"/>
                                  <w:shd w:val="clear" w:color="auto" w:fill="auto"/>
                                </w:tcPr>
                                <w:p w14:paraId="4BB00CF9"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一</w:t>
                                  </w:r>
                                </w:p>
                              </w:tc>
                              <w:tc>
                                <w:tcPr>
                                  <w:tcW w:w="786" w:type="dxa"/>
                                  <w:shd w:val="clear" w:color="auto" w:fill="auto"/>
                                </w:tcPr>
                                <w:p w14:paraId="3BEE81CD"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8" w:type="dxa"/>
                                  <w:shd w:val="clear" w:color="auto" w:fill="auto"/>
                                </w:tcPr>
                                <w:p w14:paraId="47F66B0A" w14:textId="106449F6" w:rsidR="00CE57F9" w:rsidRPr="00D15D1C" w:rsidRDefault="00CE57F9" w:rsidP="006A1D28">
                                  <w:pPr>
                                    <w:spacing w:line="200" w:lineRule="exact"/>
                                    <w:jc w:val="center"/>
                                    <w:rPr>
                                      <w:rFonts w:ascii="標楷體" w:eastAsia="標楷體" w:hAnsi="標楷體" w:cs="Arial"/>
                                      <w:sz w:val="20"/>
                                      <w:shd w:val="clear" w:color="auto" w:fill="FFFFFF"/>
                                    </w:rPr>
                                  </w:pPr>
                                  <w:r w:rsidRPr="000D33EE">
                                    <w:rPr>
                                      <w:rFonts w:ascii="標楷體" w:eastAsia="標楷體" w:hAnsi="標楷體" w:hint="eastAsia"/>
                                      <w:sz w:val="20"/>
                                    </w:rPr>
                                    <w:sym w:font="Wingdings 2" w:char="F050"/>
                                  </w:r>
                                </w:p>
                              </w:tc>
                              <w:tc>
                                <w:tcPr>
                                  <w:tcW w:w="993" w:type="dxa"/>
                                  <w:shd w:val="clear" w:color="auto" w:fill="auto"/>
                                </w:tcPr>
                                <w:p w14:paraId="5375491B" w14:textId="72761DC8" w:rsidR="00CE57F9" w:rsidRPr="00D15D1C" w:rsidRDefault="00CE57F9" w:rsidP="006A1D28">
                                  <w:pPr>
                                    <w:spacing w:line="200" w:lineRule="exact"/>
                                    <w:jc w:val="center"/>
                                    <w:rPr>
                                      <w:rFonts w:ascii="標楷體" w:eastAsia="標楷體" w:hAnsi="標楷體" w:cs="Arial"/>
                                      <w:sz w:val="20"/>
                                      <w:shd w:val="clear" w:color="auto" w:fill="FFFFFF"/>
                                    </w:rPr>
                                  </w:pPr>
                                  <w:r w:rsidRPr="009C3FFC">
                                    <w:rPr>
                                      <w:rFonts w:ascii="標楷體" w:eastAsia="標楷體" w:hAnsi="標楷體" w:hint="eastAsia"/>
                                      <w:sz w:val="20"/>
                                    </w:rPr>
                                    <w:sym w:font="Wingdings 2" w:char="F050"/>
                                  </w:r>
                                </w:p>
                              </w:tc>
                              <w:tc>
                                <w:tcPr>
                                  <w:tcW w:w="141" w:type="dxa"/>
                                  <w:tcBorders>
                                    <w:top w:val="nil"/>
                                    <w:bottom w:val="nil"/>
                                  </w:tcBorders>
                                </w:tcPr>
                                <w:p w14:paraId="55826EEB"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07E60C9C"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34</w:t>
                                  </w:r>
                                </w:p>
                              </w:tc>
                              <w:tc>
                                <w:tcPr>
                                  <w:tcW w:w="1559" w:type="dxa"/>
                                </w:tcPr>
                                <w:p w14:paraId="1F7E6AFB"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池上斷層</w:t>
                                  </w:r>
                                </w:p>
                              </w:tc>
                              <w:tc>
                                <w:tcPr>
                                  <w:tcW w:w="425" w:type="dxa"/>
                                </w:tcPr>
                                <w:p w14:paraId="4FDADC66"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一</w:t>
                                  </w:r>
                                </w:p>
                              </w:tc>
                              <w:tc>
                                <w:tcPr>
                                  <w:tcW w:w="709" w:type="dxa"/>
                                </w:tcPr>
                                <w:p w14:paraId="1A461E42"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9" w:type="dxa"/>
                                </w:tcPr>
                                <w:p w14:paraId="0F037E5B" w14:textId="3861836F" w:rsidR="00CE57F9" w:rsidRPr="00D15D1C" w:rsidRDefault="00CE57F9" w:rsidP="006A1D28">
                                  <w:pPr>
                                    <w:spacing w:line="200" w:lineRule="exact"/>
                                    <w:jc w:val="center"/>
                                    <w:rPr>
                                      <w:rFonts w:ascii="標楷體" w:eastAsia="標楷體" w:hAnsi="標楷體" w:cs="Arial"/>
                                      <w:sz w:val="20"/>
                                      <w:shd w:val="clear" w:color="auto" w:fill="FFFFFF"/>
                                    </w:rPr>
                                  </w:pPr>
                                  <w:r w:rsidRPr="006737F7">
                                    <w:rPr>
                                      <w:rFonts w:ascii="標楷體" w:eastAsia="標楷體" w:hAnsi="標楷體" w:hint="eastAsia"/>
                                      <w:sz w:val="20"/>
                                    </w:rPr>
                                    <w:sym w:font="Wingdings 2" w:char="F050"/>
                                  </w:r>
                                </w:p>
                              </w:tc>
                              <w:tc>
                                <w:tcPr>
                                  <w:tcW w:w="984" w:type="dxa"/>
                                </w:tcPr>
                                <w:p w14:paraId="14131B43" w14:textId="0FFC03E2" w:rsidR="00CE57F9" w:rsidRPr="00D15D1C" w:rsidRDefault="00CE57F9" w:rsidP="006A1D28">
                                  <w:pPr>
                                    <w:spacing w:line="200" w:lineRule="exact"/>
                                    <w:jc w:val="center"/>
                                    <w:rPr>
                                      <w:rFonts w:ascii="標楷體" w:eastAsia="標楷體" w:hAnsi="標楷體" w:cs="Arial"/>
                                      <w:sz w:val="20"/>
                                      <w:shd w:val="clear" w:color="auto" w:fill="FFFFFF"/>
                                    </w:rPr>
                                  </w:pPr>
                                  <w:r w:rsidRPr="0016614A">
                                    <w:rPr>
                                      <w:rFonts w:ascii="標楷體" w:eastAsia="標楷體" w:hAnsi="標楷體" w:hint="eastAsia"/>
                                      <w:sz w:val="20"/>
                                    </w:rPr>
                                    <w:sym w:font="Wingdings 2" w:char="F050"/>
                                  </w:r>
                                </w:p>
                              </w:tc>
                            </w:tr>
                            <w:tr w:rsidR="00CE57F9" w:rsidRPr="00D15D1C" w14:paraId="5D1FAA18" w14:textId="77777777" w:rsidTr="00DA2751">
                              <w:trPr>
                                <w:trHeight w:hRule="exact" w:val="227"/>
                              </w:trPr>
                              <w:tc>
                                <w:tcPr>
                                  <w:tcW w:w="426" w:type="dxa"/>
                                  <w:shd w:val="clear" w:color="auto" w:fill="auto"/>
                                </w:tcPr>
                                <w:p w14:paraId="5971114C"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17</w:t>
                                  </w:r>
                                </w:p>
                              </w:tc>
                              <w:tc>
                                <w:tcPr>
                                  <w:tcW w:w="1735" w:type="dxa"/>
                                  <w:shd w:val="clear" w:color="auto" w:fill="auto"/>
                                </w:tcPr>
                                <w:p w14:paraId="61B17ED4"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木屐寮斷層</w:t>
                                  </w:r>
                                </w:p>
                              </w:tc>
                              <w:tc>
                                <w:tcPr>
                                  <w:tcW w:w="314" w:type="dxa"/>
                                  <w:shd w:val="clear" w:color="auto" w:fill="auto"/>
                                </w:tcPr>
                                <w:p w14:paraId="715B6C45"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二</w:t>
                                  </w:r>
                                </w:p>
                              </w:tc>
                              <w:tc>
                                <w:tcPr>
                                  <w:tcW w:w="786" w:type="dxa"/>
                                  <w:shd w:val="clear" w:color="auto" w:fill="auto"/>
                                </w:tcPr>
                                <w:p w14:paraId="5B558A6D"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8" w:type="dxa"/>
                                  <w:shd w:val="clear" w:color="auto" w:fill="auto"/>
                                </w:tcPr>
                                <w:p w14:paraId="7BAC5F12"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93" w:type="dxa"/>
                                  <w:shd w:val="clear" w:color="auto" w:fill="auto"/>
                                </w:tcPr>
                                <w:p w14:paraId="1EC82FD3"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141" w:type="dxa"/>
                                  <w:tcBorders>
                                    <w:top w:val="nil"/>
                                    <w:bottom w:val="nil"/>
                                  </w:tcBorders>
                                </w:tcPr>
                                <w:p w14:paraId="00DF75EB"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17BB57B2"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35</w:t>
                                  </w:r>
                                </w:p>
                              </w:tc>
                              <w:tc>
                                <w:tcPr>
                                  <w:tcW w:w="1559" w:type="dxa"/>
                                </w:tcPr>
                                <w:p w14:paraId="091FF84C"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鹿野斷層</w:t>
                                  </w:r>
                                </w:p>
                              </w:tc>
                              <w:tc>
                                <w:tcPr>
                                  <w:tcW w:w="425" w:type="dxa"/>
                                </w:tcPr>
                                <w:p w14:paraId="2A85362B"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一</w:t>
                                  </w:r>
                                </w:p>
                              </w:tc>
                              <w:tc>
                                <w:tcPr>
                                  <w:tcW w:w="709" w:type="dxa"/>
                                </w:tcPr>
                                <w:p w14:paraId="537BD471" w14:textId="522D9E50" w:rsidR="00CE57F9" w:rsidRPr="00D15D1C" w:rsidRDefault="00CE57F9" w:rsidP="006A1D28">
                                  <w:pPr>
                                    <w:spacing w:line="200" w:lineRule="exact"/>
                                    <w:jc w:val="center"/>
                                    <w:rPr>
                                      <w:rFonts w:ascii="標楷體" w:eastAsia="標楷體" w:hAnsi="標楷體" w:cs="Arial"/>
                                      <w:sz w:val="20"/>
                                      <w:shd w:val="clear" w:color="auto" w:fill="FFFFFF"/>
                                    </w:rPr>
                                  </w:pPr>
                                  <w:r w:rsidRPr="00565BDC">
                                    <w:rPr>
                                      <w:rFonts w:ascii="標楷體" w:eastAsia="標楷體" w:hAnsi="標楷體" w:hint="eastAsia"/>
                                      <w:sz w:val="20"/>
                                    </w:rPr>
                                    <w:sym w:font="Wingdings 2" w:char="F050"/>
                                  </w:r>
                                </w:p>
                              </w:tc>
                              <w:tc>
                                <w:tcPr>
                                  <w:tcW w:w="709" w:type="dxa"/>
                                </w:tcPr>
                                <w:p w14:paraId="5091D9D0" w14:textId="3B1F3928" w:rsidR="00CE57F9" w:rsidRPr="00D15D1C" w:rsidRDefault="00CE57F9" w:rsidP="006A1D28">
                                  <w:pPr>
                                    <w:spacing w:line="200" w:lineRule="exact"/>
                                    <w:jc w:val="center"/>
                                    <w:rPr>
                                      <w:rFonts w:ascii="標楷體" w:eastAsia="標楷體" w:hAnsi="標楷體" w:cs="Arial"/>
                                      <w:sz w:val="20"/>
                                      <w:shd w:val="clear" w:color="auto" w:fill="FFFFFF"/>
                                    </w:rPr>
                                  </w:pPr>
                                  <w:r w:rsidRPr="006737F7">
                                    <w:rPr>
                                      <w:rFonts w:ascii="標楷體" w:eastAsia="標楷體" w:hAnsi="標楷體" w:hint="eastAsia"/>
                                      <w:sz w:val="20"/>
                                    </w:rPr>
                                    <w:sym w:font="Wingdings 2" w:char="F050"/>
                                  </w:r>
                                </w:p>
                              </w:tc>
                              <w:tc>
                                <w:tcPr>
                                  <w:tcW w:w="984" w:type="dxa"/>
                                </w:tcPr>
                                <w:p w14:paraId="065DF228" w14:textId="37E0820F" w:rsidR="00CE57F9" w:rsidRPr="00D15D1C" w:rsidRDefault="00CE57F9" w:rsidP="006A1D28">
                                  <w:pPr>
                                    <w:spacing w:line="200" w:lineRule="exact"/>
                                    <w:jc w:val="center"/>
                                    <w:rPr>
                                      <w:rFonts w:ascii="標楷體" w:eastAsia="標楷體" w:hAnsi="標楷體" w:cs="Arial"/>
                                      <w:sz w:val="20"/>
                                      <w:shd w:val="clear" w:color="auto" w:fill="FFFFFF"/>
                                    </w:rPr>
                                  </w:pPr>
                                  <w:r w:rsidRPr="0016614A">
                                    <w:rPr>
                                      <w:rFonts w:ascii="標楷體" w:eastAsia="標楷體" w:hAnsi="標楷體" w:hint="eastAsia"/>
                                      <w:sz w:val="20"/>
                                    </w:rPr>
                                    <w:sym w:font="Wingdings 2" w:char="F050"/>
                                  </w:r>
                                </w:p>
                              </w:tc>
                            </w:tr>
                            <w:tr w:rsidR="00CE57F9" w:rsidRPr="00D15D1C" w14:paraId="70C6763C" w14:textId="77777777" w:rsidTr="00DA2751">
                              <w:trPr>
                                <w:trHeight w:hRule="exact" w:val="227"/>
                              </w:trPr>
                              <w:tc>
                                <w:tcPr>
                                  <w:tcW w:w="426" w:type="dxa"/>
                                  <w:shd w:val="clear" w:color="auto" w:fill="auto"/>
                                </w:tcPr>
                                <w:p w14:paraId="22CD3216"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18</w:t>
                                  </w:r>
                                </w:p>
                              </w:tc>
                              <w:tc>
                                <w:tcPr>
                                  <w:tcW w:w="1735" w:type="dxa"/>
                                  <w:shd w:val="clear" w:color="auto" w:fill="auto"/>
                                </w:tcPr>
                                <w:p w14:paraId="350747E4"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六甲斷層</w:t>
                                  </w:r>
                                </w:p>
                              </w:tc>
                              <w:tc>
                                <w:tcPr>
                                  <w:tcW w:w="314" w:type="dxa"/>
                                  <w:shd w:val="clear" w:color="auto" w:fill="auto"/>
                                </w:tcPr>
                                <w:p w14:paraId="735DBDC2"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一</w:t>
                                  </w:r>
                                </w:p>
                              </w:tc>
                              <w:tc>
                                <w:tcPr>
                                  <w:tcW w:w="786" w:type="dxa"/>
                                  <w:shd w:val="clear" w:color="auto" w:fill="auto"/>
                                </w:tcPr>
                                <w:p w14:paraId="6E45A3B3" w14:textId="3AEA3AB6"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708" w:type="dxa"/>
                                  <w:shd w:val="clear" w:color="auto" w:fill="auto"/>
                                </w:tcPr>
                                <w:p w14:paraId="00A5FD59" w14:textId="46DB39F9"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993" w:type="dxa"/>
                                  <w:shd w:val="clear" w:color="auto" w:fill="auto"/>
                                </w:tcPr>
                                <w:p w14:paraId="7AF4E16C" w14:textId="634BE7D6"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141" w:type="dxa"/>
                                  <w:tcBorders>
                                    <w:top w:val="nil"/>
                                    <w:bottom w:val="nil"/>
                                  </w:tcBorders>
                                </w:tcPr>
                                <w:p w14:paraId="1F78DEE1"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7B0B194E"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36</w:t>
                                  </w:r>
                                </w:p>
                              </w:tc>
                              <w:tc>
                                <w:tcPr>
                                  <w:tcW w:w="1559" w:type="dxa"/>
                                </w:tcPr>
                                <w:p w14:paraId="73D6AEAF"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利吉斷層</w:t>
                                  </w:r>
                                </w:p>
                              </w:tc>
                              <w:tc>
                                <w:tcPr>
                                  <w:tcW w:w="425" w:type="dxa"/>
                                </w:tcPr>
                                <w:p w14:paraId="0DF85867"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二</w:t>
                                  </w:r>
                                </w:p>
                              </w:tc>
                              <w:tc>
                                <w:tcPr>
                                  <w:tcW w:w="709" w:type="dxa"/>
                                </w:tcPr>
                                <w:p w14:paraId="0B641F65" w14:textId="7209E989" w:rsidR="00CE57F9" w:rsidRPr="00D15D1C" w:rsidRDefault="00CE57F9" w:rsidP="006A1D28">
                                  <w:pPr>
                                    <w:spacing w:line="200" w:lineRule="exact"/>
                                    <w:jc w:val="center"/>
                                    <w:rPr>
                                      <w:rFonts w:ascii="標楷體" w:eastAsia="標楷體" w:hAnsi="標楷體" w:cs="Arial"/>
                                      <w:sz w:val="20"/>
                                      <w:shd w:val="clear" w:color="auto" w:fill="FFFFFF"/>
                                    </w:rPr>
                                  </w:pPr>
                                  <w:r w:rsidRPr="00565BDC">
                                    <w:rPr>
                                      <w:rFonts w:ascii="標楷體" w:eastAsia="標楷體" w:hAnsi="標楷體" w:hint="eastAsia"/>
                                      <w:sz w:val="20"/>
                                    </w:rPr>
                                    <w:sym w:font="Wingdings 2" w:char="F050"/>
                                  </w:r>
                                </w:p>
                              </w:tc>
                              <w:tc>
                                <w:tcPr>
                                  <w:tcW w:w="709" w:type="dxa"/>
                                </w:tcPr>
                                <w:p w14:paraId="1B150D1B" w14:textId="01512316" w:rsidR="00CE57F9" w:rsidRPr="00D15D1C" w:rsidRDefault="00CE57F9" w:rsidP="006A1D28">
                                  <w:pPr>
                                    <w:spacing w:line="200" w:lineRule="exact"/>
                                    <w:jc w:val="center"/>
                                    <w:rPr>
                                      <w:rFonts w:ascii="標楷體" w:eastAsia="標楷體" w:hAnsi="標楷體" w:cs="Arial"/>
                                      <w:sz w:val="20"/>
                                      <w:shd w:val="clear" w:color="auto" w:fill="FFFFFF"/>
                                    </w:rPr>
                                  </w:pPr>
                                  <w:r w:rsidRPr="006737F7">
                                    <w:rPr>
                                      <w:rFonts w:ascii="標楷體" w:eastAsia="標楷體" w:hAnsi="標楷體" w:hint="eastAsia"/>
                                      <w:sz w:val="20"/>
                                    </w:rPr>
                                    <w:sym w:font="Wingdings 2" w:char="F050"/>
                                  </w:r>
                                </w:p>
                              </w:tc>
                              <w:tc>
                                <w:tcPr>
                                  <w:tcW w:w="984" w:type="dxa"/>
                                </w:tcPr>
                                <w:p w14:paraId="11A48D1E"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r>
                          </w:tbl>
                          <w:p w14:paraId="08B2E0CC" w14:textId="77777777" w:rsidR="00CE57F9" w:rsidRPr="00D15D1C" w:rsidRDefault="00CE57F9" w:rsidP="00DA2751">
                            <w:pPr>
                              <w:spacing w:beforeLines="20" w:before="72" w:line="200" w:lineRule="exact"/>
                              <w:rPr>
                                <w:rFonts w:ascii="標楷體" w:eastAsia="標楷體" w:hAnsi="標楷體" w:cs="Arial"/>
                                <w:sz w:val="18"/>
                                <w:shd w:val="clear" w:color="auto" w:fill="FFFFFF"/>
                              </w:rPr>
                            </w:pPr>
                            <w:r w:rsidRPr="00D15D1C">
                              <w:rPr>
                                <w:rFonts w:ascii="標楷體" w:eastAsia="標楷體" w:hAnsi="標楷體" w:cs="Arial" w:hint="eastAsia"/>
                                <w:sz w:val="18"/>
                                <w:shd w:val="clear" w:color="auto" w:fill="FFFFFF"/>
                              </w:rPr>
                              <w:t>註：1.一類斷層：1萬年內有活動紀錄。</w:t>
                            </w:r>
                          </w:p>
                          <w:p w14:paraId="5166B578" w14:textId="77777777" w:rsidR="00CE57F9" w:rsidRPr="00D15D1C" w:rsidRDefault="00CE57F9" w:rsidP="003E4899">
                            <w:pPr>
                              <w:spacing w:line="200" w:lineRule="exact"/>
                              <w:ind w:leftChars="150" w:left="360"/>
                              <w:rPr>
                                <w:rFonts w:ascii="標楷體" w:eastAsia="標楷體" w:hAnsi="標楷體" w:cs="Arial"/>
                                <w:sz w:val="18"/>
                                <w:shd w:val="clear" w:color="auto" w:fill="FFFFFF"/>
                              </w:rPr>
                            </w:pPr>
                            <w:r w:rsidRPr="00D15D1C">
                              <w:rPr>
                                <w:rFonts w:ascii="標楷體" w:eastAsia="標楷體" w:hAnsi="標楷體" w:cs="Arial" w:hint="eastAsia"/>
                                <w:sz w:val="18"/>
                                <w:shd w:val="clear" w:color="auto" w:fill="FFFFFF"/>
                              </w:rPr>
                              <w:t>2.二類斷層：1萬至10萬年內有活動紀錄。</w:t>
                            </w:r>
                          </w:p>
                          <w:p w14:paraId="6C4CA1BF" w14:textId="4A622471" w:rsidR="00CE57F9" w:rsidRPr="00B25672" w:rsidRDefault="00CE57F9" w:rsidP="00DA2751">
                            <w:pPr>
                              <w:spacing w:line="200" w:lineRule="exact"/>
                              <w:ind w:leftChars="150" w:left="360"/>
                            </w:pPr>
                            <w:r w:rsidRPr="00D15D1C">
                              <w:rPr>
                                <w:rFonts w:ascii="標楷體" w:eastAsia="標楷體" w:hAnsi="標楷體" w:cs="Arial" w:hint="eastAsia"/>
                                <w:sz w:val="18"/>
                                <w:shd w:val="clear" w:color="auto" w:fill="FFFFFF"/>
                              </w:rPr>
                              <w:t>3.</w:t>
                            </w:r>
                            <w:r w:rsidRPr="00D15D1C">
                              <w:rPr>
                                <w:rFonts w:ascii="標楷體" w:eastAsia="標楷體" w:hAnsi="標楷體" w:cs="Arial"/>
                                <w:sz w:val="18"/>
                                <w:shd w:val="clear" w:color="auto" w:fill="FFFFFF"/>
                              </w:rPr>
                              <w:t>資料來源：整理自內政部</w:t>
                            </w:r>
                            <w:r w:rsidRPr="00D15D1C">
                              <w:rPr>
                                <w:rFonts w:ascii="標楷體" w:eastAsia="標楷體" w:hAnsi="標楷體" w:cs="Arial" w:hint="eastAsia"/>
                                <w:sz w:val="18"/>
                                <w:shd w:val="clear" w:color="auto" w:fill="FFFFFF"/>
                              </w:rPr>
                              <w:t>及經濟部中央地質調查所</w:t>
                            </w:r>
                            <w:r w:rsidRPr="00346BDD">
                              <w:rPr>
                                <w:rFonts w:ascii="標楷體" w:eastAsia="標楷體" w:hAnsi="標楷體" w:cs="Arial" w:hint="eastAsia"/>
                                <w:sz w:val="18"/>
                                <w:shd w:val="clear" w:color="auto" w:fill="FFFFFF"/>
                              </w:rPr>
                              <w:t>截至</w:t>
                            </w:r>
                            <w:r w:rsidRPr="00346BDD">
                              <w:rPr>
                                <w:rFonts w:ascii="標楷體" w:eastAsia="標楷體" w:hAnsi="標楷體" w:cs="Arial"/>
                                <w:sz w:val="18"/>
                                <w:shd w:val="clear" w:color="auto" w:fill="FFFFFF"/>
                              </w:rPr>
                              <w:t>112年4月底</w:t>
                            </w:r>
                            <w:r w:rsidRPr="00D15D1C">
                              <w:rPr>
                                <w:rFonts w:ascii="標楷體" w:eastAsia="標楷體" w:hAnsi="標楷體" w:cs="Arial"/>
                                <w:sz w:val="18"/>
                                <w:shd w:val="clear" w:color="auto" w:fill="FFFFFF"/>
                              </w:rPr>
                              <w:t>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B61241" id="_x0000_s1131" type="#_x0000_t202" style="position:absolute;left:0;text-align:left;margin-left:.05pt;margin-top:120.3pt;width:497.45pt;height:296.6pt;z-index:251644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" stroked="f">
                <v:textbox>
                  <w:txbxContent>
                    <w:p w14:paraId="64EBC51E" w14:textId="77777777" w:rsidR="00CE57F9" w:rsidRDefault="00CE57F9" w:rsidP="00DA2751">
                      <w:pPr>
                        <w:jc w:val="center"/>
                        <w:rPr>
                          <w:rFonts w:ascii="標楷體" w:eastAsia="標楷體" w:hAnsi="標楷體" w:cs="Arial"/>
                          <w:b/>
                        </w:rPr>
                      </w:pPr>
                      <w:r w:rsidRPr="008C63F2">
                        <w:rPr>
                          <w:rFonts w:ascii="標楷體" w:eastAsia="標楷體" w:hAnsi="標楷體" w:hint="eastAsia"/>
                          <w:b/>
                          <w:shd w:val="clear" w:color="auto" w:fill="FFFFFF"/>
                        </w:rPr>
                        <w:t>表15</w:t>
                      </w:r>
                      <w:r>
                        <w:rPr>
                          <w:rFonts w:ascii="標楷體" w:eastAsia="標楷體" w:hAnsi="標楷體" w:hint="eastAsia"/>
                          <w:b/>
                        </w:rPr>
                        <w:t xml:space="preserve">　</w:t>
                      </w:r>
                      <w:r w:rsidRPr="008C63F2">
                        <w:rPr>
                          <w:rFonts w:ascii="標楷體" w:eastAsia="標楷體" w:hAnsi="標楷體" w:hint="eastAsia"/>
                          <w:b/>
                        </w:rPr>
                        <w:t>全臺</w:t>
                      </w:r>
                      <w:r w:rsidRPr="008C63F2">
                        <w:rPr>
                          <w:rFonts w:ascii="標楷體" w:eastAsia="標楷體" w:hAnsi="標楷體" w:cs="Arial"/>
                          <w:b/>
                          <w:shd w:val="clear" w:color="auto" w:fill="FFFFFF"/>
                        </w:rPr>
                        <w:t>活動斷層</w:t>
                      </w:r>
                      <w:r w:rsidRPr="008C63F2">
                        <w:rPr>
                          <w:rFonts w:ascii="標楷體" w:eastAsia="標楷體" w:hAnsi="標楷體" w:cs="Arial" w:hint="eastAsia"/>
                          <w:b/>
                          <w:shd w:val="clear" w:color="auto" w:fill="FFFFFF"/>
                        </w:rPr>
                        <w:t>類別、都市計畫區、</w:t>
                      </w:r>
                      <w:r w:rsidRPr="008C63F2">
                        <w:rPr>
                          <w:rFonts w:ascii="標楷體" w:eastAsia="標楷體" w:hAnsi="標楷體" w:cs="Arial" w:hint="eastAsia"/>
                          <w:b/>
                        </w:rPr>
                        <w:t>耐震設計規範及環境敏感區分布情形</w:t>
                      </w:r>
                    </w:p>
                    <w:tbl>
                      <w:tblPr>
                        <w:tblW w:w="99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26"/>
                        <w:gridCol w:w="1735"/>
                        <w:gridCol w:w="314"/>
                        <w:gridCol w:w="786"/>
                        <w:gridCol w:w="708"/>
                        <w:gridCol w:w="993"/>
                        <w:gridCol w:w="141"/>
                        <w:gridCol w:w="426"/>
                        <w:gridCol w:w="1559"/>
                        <w:gridCol w:w="425"/>
                        <w:gridCol w:w="709"/>
                        <w:gridCol w:w="709"/>
                        <w:gridCol w:w="984"/>
                      </w:tblGrid>
                      <w:tr w:rsidR="00CE57F9" w:rsidRPr="00D15D1C" w14:paraId="17EA416C" w14:textId="77777777" w:rsidTr="009F1BF7">
                        <w:trPr>
                          <w:tblHeader/>
                        </w:trPr>
                        <w:tc>
                          <w:tcPr>
                            <w:tcW w:w="426" w:type="dxa"/>
                            <w:tcBorders>
                              <w:top w:val="single" w:sz="4" w:space="0" w:color="auto"/>
                            </w:tcBorders>
                            <w:shd w:val="clear" w:color="auto" w:fill="auto"/>
                            <w:vAlign w:val="center"/>
                          </w:tcPr>
                          <w:p w14:paraId="43F5EE15"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編號</w:t>
                            </w:r>
                          </w:p>
                        </w:tc>
                        <w:tc>
                          <w:tcPr>
                            <w:tcW w:w="1735" w:type="dxa"/>
                            <w:tcBorders>
                              <w:top w:val="single" w:sz="4" w:space="0" w:color="auto"/>
                            </w:tcBorders>
                            <w:shd w:val="clear" w:color="auto" w:fill="auto"/>
                            <w:vAlign w:val="center"/>
                          </w:tcPr>
                          <w:p w14:paraId="4CBB81D5"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名稱</w:t>
                            </w:r>
                          </w:p>
                        </w:tc>
                        <w:tc>
                          <w:tcPr>
                            <w:tcW w:w="314" w:type="dxa"/>
                            <w:tcBorders>
                              <w:top w:val="single" w:sz="4" w:space="0" w:color="auto"/>
                            </w:tcBorders>
                            <w:shd w:val="clear" w:color="auto" w:fill="auto"/>
                            <w:vAlign w:val="center"/>
                          </w:tcPr>
                          <w:p w14:paraId="507098ED"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類別</w:t>
                            </w:r>
                          </w:p>
                        </w:tc>
                        <w:tc>
                          <w:tcPr>
                            <w:tcW w:w="786" w:type="dxa"/>
                            <w:tcBorders>
                              <w:top w:val="single" w:sz="4" w:space="0" w:color="auto"/>
                            </w:tcBorders>
                            <w:shd w:val="clear" w:color="auto" w:fill="auto"/>
                            <w:vAlign w:val="center"/>
                          </w:tcPr>
                          <w:p w14:paraId="0AA7A00E"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都市計畫區</w:t>
                            </w:r>
                          </w:p>
                        </w:tc>
                        <w:tc>
                          <w:tcPr>
                            <w:tcW w:w="708" w:type="dxa"/>
                            <w:tcBorders>
                              <w:top w:val="single" w:sz="4" w:space="0" w:color="auto"/>
                            </w:tcBorders>
                            <w:shd w:val="clear" w:color="auto" w:fill="auto"/>
                            <w:vAlign w:val="center"/>
                          </w:tcPr>
                          <w:p w14:paraId="5BB3F866"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提高耐震設計規範</w:t>
                            </w:r>
                          </w:p>
                        </w:tc>
                        <w:tc>
                          <w:tcPr>
                            <w:tcW w:w="993" w:type="dxa"/>
                            <w:tcBorders>
                              <w:top w:val="single" w:sz="4" w:space="0" w:color="auto"/>
                            </w:tcBorders>
                            <w:shd w:val="clear" w:color="auto" w:fill="auto"/>
                            <w:vAlign w:val="center"/>
                          </w:tcPr>
                          <w:p w14:paraId="224D4D8E"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劃設環境敏感區</w:t>
                            </w:r>
                          </w:p>
                        </w:tc>
                        <w:tc>
                          <w:tcPr>
                            <w:tcW w:w="141" w:type="dxa"/>
                            <w:tcBorders>
                              <w:top w:val="nil"/>
                              <w:bottom w:val="nil"/>
                            </w:tcBorders>
                          </w:tcPr>
                          <w:p w14:paraId="0AA4F4AA"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p>
                        </w:tc>
                        <w:tc>
                          <w:tcPr>
                            <w:tcW w:w="426" w:type="dxa"/>
                            <w:tcBorders>
                              <w:top w:val="single" w:sz="4" w:space="0" w:color="auto"/>
                            </w:tcBorders>
                            <w:vAlign w:val="center"/>
                          </w:tcPr>
                          <w:p w14:paraId="754ADA72"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編號</w:t>
                            </w:r>
                          </w:p>
                        </w:tc>
                        <w:tc>
                          <w:tcPr>
                            <w:tcW w:w="1559" w:type="dxa"/>
                            <w:tcBorders>
                              <w:top w:val="single" w:sz="4" w:space="0" w:color="auto"/>
                            </w:tcBorders>
                            <w:vAlign w:val="center"/>
                          </w:tcPr>
                          <w:p w14:paraId="53AB4C90"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名稱</w:t>
                            </w:r>
                          </w:p>
                        </w:tc>
                        <w:tc>
                          <w:tcPr>
                            <w:tcW w:w="425" w:type="dxa"/>
                            <w:tcBorders>
                              <w:top w:val="single" w:sz="4" w:space="0" w:color="auto"/>
                            </w:tcBorders>
                            <w:vAlign w:val="center"/>
                          </w:tcPr>
                          <w:p w14:paraId="6DA5019B"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類別</w:t>
                            </w:r>
                          </w:p>
                        </w:tc>
                        <w:tc>
                          <w:tcPr>
                            <w:tcW w:w="709" w:type="dxa"/>
                            <w:tcBorders>
                              <w:top w:val="single" w:sz="4" w:space="0" w:color="auto"/>
                            </w:tcBorders>
                            <w:vAlign w:val="center"/>
                          </w:tcPr>
                          <w:p w14:paraId="6E3B9A95"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都市計畫區</w:t>
                            </w:r>
                          </w:p>
                        </w:tc>
                        <w:tc>
                          <w:tcPr>
                            <w:tcW w:w="709" w:type="dxa"/>
                            <w:tcBorders>
                              <w:top w:val="single" w:sz="4" w:space="0" w:color="auto"/>
                            </w:tcBorders>
                            <w:vAlign w:val="center"/>
                          </w:tcPr>
                          <w:p w14:paraId="7FA628F5"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提高耐震設計規範</w:t>
                            </w:r>
                          </w:p>
                        </w:tc>
                        <w:tc>
                          <w:tcPr>
                            <w:tcW w:w="984" w:type="dxa"/>
                            <w:tcBorders>
                              <w:top w:val="single" w:sz="4" w:space="0" w:color="auto"/>
                            </w:tcBorders>
                            <w:vAlign w:val="center"/>
                          </w:tcPr>
                          <w:p w14:paraId="247E2F53" w14:textId="77777777" w:rsidR="00CE57F9" w:rsidRPr="00D15D1C" w:rsidRDefault="00CE57F9" w:rsidP="00B25672">
                            <w:pPr>
                              <w:adjustRightInd w:val="0"/>
                              <w:spacing w:line="200" w:lineRule="exact"/>
                              <w:ind w:leftChars="-10" w:left="-24" w:rightChars="-10" w:right="-24"/>
                              <w:jc w:val="center"/>
                              <w:rPr>
                                <w:rFonts w:ascii="標楷體" w:eastAsia="標楷體" w:hAnsi="標楷體" w:cs="Arial"/>
                                <w:sz w:val="20"/>
                              </w:rPr>
                            </w:pPr>
                            <w:r w:rsidRPr="00D15D1C">
                              <w:rPr>
                                <w:rFonts w:ascii="標楷體" w:eastAsia="標楷體" w:hAnsi="標楷體" w:cs="Arial" w:hint="eastAsia"/>
                                <w:sz w:val="20"/>
                              </w:rPr>
                              <w:t>劃設環境敏感區</w:t>
                            </w:r>
                          </w:p>
                        </w:tc>
                      </w:tr>
                      <w:tr w:rsidR="00CE57F9" w:rsidRPr="00D15D1C" w14:paraId="61127927" w14:textId="77777777" w:rsidTr="00DA2751">
                        <w:trPr>
                          <w:trHeight w:hRule="exact" w:val="227"/>
                        </w:trPr>
                        <w:tc>
                          <w:tcPr>
                            <w:tcW w:w="426" w:type="dxa"/>
                            <w:shd w:val="clear" w:color="auto" w:fill="auto"/>
                          </w:tcPr>
                          <w:p w14:paraId="10DC7D8A" w14:textId="77777777" w:rsidR="00CE57F9" w:rsidRPr="00D15D1C" w:rsidRDefault="00CE57F9" w:rsidP="00B25672">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1</w:t>
                            </w:r>
                          </w:p>
                        </w:tc>
                        <w:tc>
                          <w:tcPr>
                            <w:tcW w:w="1735" w:type="dxa"/>
                            <w:shd w:val="clear" w:color="auto" w:fill="auto"/>
                          </w:tcPr>
                          <w:p w14:paraId="75C8DE89" w14:textId="77777777" w:rsidR="00CE57F9" w:rsidRPr="00D15D1C" w:rsidRDefault="00CE57F9" w:rsidP="00B25672">
                            <w:pPr>
                              <w:spacing w:line="200" w:lineRule="exact"/>
                              <w:rPr>
                                <w:rFonts w:ascii="標楷體" w:eastAsia="標楷體" w:hAnsi="標楷體" w:cs="Arial"/>
                                <w:sz w:val="20"/>
                                <w:shd w:val="clear" w:color="auto" w:fill="FFFFFF"/>
                              </w:rPr>
                            </w:pPr>
                            <w:r w:rsidRPr="00D15D1C">
                              <w:rPr>
                                <w:rFonts w:ascii="標楷體" w:eastAsia="標楷體" w:hAnsi="標楷體"/>
                                <w:sz w:val="20"/>
                              </w:rPr>
                              <w:t>山腳斷層</w:t>
                            </w:r>
                          </w:p>
                        </w:tc>
                        <w:tc>
                          <w:tcPr>
                            <w:tcW w:w="314" w:type="dxa"/>
                            <w:shd w:val="clear" w:color="auto" w:fill="auto"/>
                          </w:tcPr>
                          <w:p w14:paraId="360E31F2" w14:textId="77777777" w:rsidR="00CE57F9" w:rsidRPr="00D15D1C" w:rsidRDefault="00CE57F9" w:rsidP="00B25672">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二</w:t>
                            </w:r>
                          </w:p>
                        </w:tc>
                        <w:tc>
                          <w:tcPr>
                            <w:tcW w:w="786" w:type="dxa"/>
                            <w:shd w:val="clear" w:color="auto" w:fill="auto"/>
                            <w:vAlign w:val="center"/>
                          </w:tcPr>
                          <w:p w14:paraId="599ED446" w14:textId="4ECB6074" w:rsidR="00CE57F9" w:rsidRPr="006A1D28" w:rsidRDefault="00CE57F9">
                            <w:pPr>
                              <w:spacing w:line="200" w:lineRule="exact"/>
                              <w:jc w:val="center"/>
                              <w:rPr>
                                <w:rFonts w:ascii="標楷體" w:eastAsia="標楷體" w:hAnsi="標楷體" w:cs="Arial"/>
                                <w:sz w:val="20"/>
                                <w:shd w:val="clear" w:color="auto" w:fill="FFFFFF"/>
                              </w:rPr>
                            </w:pPr>
                            <w:r w:rsidRPr="00DA2751">
                              <w:rPr>
                                <w:rFonts w:ascii="標楷體" w:eastAsia="標楷體" w:hAnsi="標楷體"/>
                                <w:sz w:val="20"/>
                              </w:rPr>
                              <w:sym w:font="Wingdings 2" w:char="F050"/>
                            </w:r>
                          </w:p>
                        </w:tc>
                        <w:tc>
                          <w:tcPr>
                            <w:tcW w:w="708" w:type="dxa"/>
                            <w:shd w:val="clear" w:color="auto" w:fill="auto"/>
                          </w:tcPr>
                          <w:p w14:paraId="3D426695" w14:textId="77777777" w:rsidR="00CE57F9" w:rsidRPr="00D15D1C" w:rsidRDefault="00CE57F9" w:rsidP="00B25672">
                            <w:pPr>
                              <w:spacing w:line="200" w:lineRule="exact"/>
                              <w:jc w:val="center"/>
                              <w:rPr>
                                <w:rFonts w:ascii="標楷體" w:eastAsia="標楷體" w:hAnsi="標楷體" w:cs="Arial"/>
                                <w:sz w:val="20"/>
                                <w:shd w:val="clear" w:color="auto" w:fill="FFFFFF"/>
                              </w:rPr>
                            </w:pPr>
                          </w:p>
                        </w:tc>
                        <w:tc>
                          <w:tcPr>
                            <w:tcW w:w="993" w:type="dxa"/>
                            <w:shd w:val="clear" w:color="auto" w:fill="auto"/>
                          </w:tcPr>
                          <w:p w14:paraId="37664436" w14:textId="77777777" w:rsidR="00CE57F9" w:rsidRPr="00D15D1C" w:rsidRDefault="00CE57F9" w:rsidP="00B25672">
                            <w:pPr>
                              <w:spacing w:line="200" w:lineRule="exact"/>
                              <w:jc w:val="center"/>
                              <w:rPr>
                                <w:rFonts w:ascii="標楷體" w:eastAsia="標楷體" w:hAnsi="標楷體" w:cs="Arial"/>
                                <w:sz w:val="20"/>
                                <w:shd w:val="clear" w:color="auto" w:fill="FFFFFF"/>
                              </w:rPr>
                            </w:pPr>
                          </w:p>
                        </w:tc>
                        <w:tc>
                          <w:tcPr>
                            <w:tcW w:w="141" w:type="dxa"/>
                            <w:tcBorders>
                              <w:top w:val="nil"/>
                              <w:bottom w:val="nil"/>
                            </w:tcBorders>
                          </w:tcPr>
                          <w:p w14:paraId="69539C8A" w14:textId="77777777" w:rsidR="00CE57F9" w:rsidRPr="00D15D1C" w:rsidRDefault="00CE57F9" w:rsidP="00B25672">
                            <w:pPr>
                              <w:spacing w:line="200" w:lineRule="exact"/>
                              <w:jc w:val="center"/>
                              <w:rPr>
                                <w:rFonts w:ascii="標楷體" w:eastAsia="標楷體" w:hAnsi="標楷體" w:cs="Arial"/>
                                <w:sz w:val="20"/>
                                <w:shd w:val="clear" w:color="auto" w:fill="FFFFFF"/>
                              </w:rPr>
                            </w:pPr>
                          </w:p>
                        </w:tc>
                        <w:tc>
                          <w:tcPr>
                            <w:tcW w:w="426" w:type="dxa"/>
                          </w:tcPr>
                          <w:p w14:paraId="47A93A91" w14:textId="77777777" w:rsidR="00CE57F9" w:rsidRPr="00D15D1C" w:rsidRDefault="00CE57F9" w:rsidP="00B25672">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19</w:t>
                            </w:r>
                          </w:p>
                        </w:tc>
                        <w:tc>
                          <w:tcPr>
                            <w:tcW w:w="1559" w:type="dxa"/>
                          </w:tcPr>
                          <w:p w14:paraId="42389DC0" w14:textId="77777777" w:rsidR="00CE57F9" w:rsidRPr="00D15D1C" w:rsidRDefault="00CE57F9" w:rsidP="00B25672">
                            <w:pPr>
                              <w:spacing w:line="200" w:lineRule="exact"/>
                              <w:rPr>
                                <w:rFonts w:ascii="標楷體" w:eastAsia="標楷體" w:hAnsi="標楷體"/>
                                <w:sz w:val="20"/>
                              </w:rPr>
                            </w:pPr>
                            <w:r w:rsidRPr="00D15D1C">
                              <w:rPr>
                                <w:rFonts w:ascii="標楷體" w:eastAsia="標楷體" w:hAnsi="標楷體"/>
                                <w:sz w:val="20"/>
                              </w:rPr>
                              <w:t>觸口斷層</w:t>
                            </w:r>
                          </w:p>
                        </w:tc>
                        <w:tc>
                          <w:tcPr>
                            <w:tcW w:w="425" w:type="dxa"/>
                          </w:tcPr>
                          <w:p w14:paraId="110896C2" w14:textId="77777777" w:rsidR="00CE57F9" w:rsidRPr="00D15D1C" w:rsidRDefault="00CE57F9" w:rsidP="00B25672">
                            <w:pPr>
                              <w:spacing w:line="200" w:lineRule="exact"/>
                              <w:jc w:val="center"/>
                              <w:rPr>
                                <w:rFonts w:ascii="標楷體" w:eastAsia="標楷體" w:hAnsi="標楷體"/>
                                <w:sz w:val="20"/>
                              </w:rPr>
                            </w:pPr>
                            <w:r w:rsidRPr="00D15D1C">
                              <w:rPr>
                                <w:rFonts w:ascii="標楷體" w:eastAsia="標楷體" w:hAnsi="標楷體"/>
                                <w:sz w:val="20"/>
                              </w:rPr>
                              <w:t>一</w:t>
                            </w:r>
                          </w:p>
                        </w:tc>
                        <w:tc>
                          <w:tcPr>
                            <w:tcW w:w="709" w:type="dxa"/>
                          </w:tcPr>
                          <w:p w14:paraId="118C594F" w14:textId="77777777" w:rsidR="00CE57F9" w:rsidRPr="00D15D1C" w:rsidRDefault="00CE57F9" w:rsidP="00B25672">
                            <w:pPr>
                              <w:spacing w:line="200" w:lineRule="exact"/>
                              <w:jc w:val="center"/>
                              <w:rPr>
                                <w:rFonts w:ascii="標楷體" w:eastAsia="標楷體" w:hAnsi="標楷體" w:cs="Arial"/>
                                <w:sz w:val="20"/>
                                <w:shd w:val="clear" w:color="auto" w:fill="FFFFFF"/>
                              </w:rPr>
                            </w:pPr>
                          </w:p>
                        </w:tc>
                        <w:tc>
                          <w:tcPr>
                            <w:tcW w:w="709" w:type="dxa"/>
                          </w:tcPr>
                          <w:p w14:paraId="504AF474" w14:textId="6B402F89" w:rsidR="00CE57F9" w:rsidRPr="00D15D1C" w:rsidRDefault="00CE57F9" w:rsidP="00B25672">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984" w:type="dxa"/>
                          </w:tcPr>
                          <w:p w14:paraId="6690EE4A" w14:textId="77777777" w:rsidR="00CE57F9" w:rsidRPr="00D15D1C" w:rsidRDefault="00CE57F9" w:rsidP="00B25672">
                            <w:pPr>
                              <w:spacing w:line="200" w:lineRule="exact"/>
                              <w:jc w:val="center"/>
                              <w:rPr>
                                <w:rFonts w:ascii="標楷體" w:eastAsia="標楷體" w:hAnsi="標楷體" w:cs="Arial"/>
                                <w:sz w:val="20"/>
                                <w:shd w:val="clear" w:color="auto" w:fill="FFFFFF"/>
                              </w:rPr>
                            </w:pPr>
                          </w:p>
                        </w:tc>
                      </w:tr>
                      <w:tr w:rsidR="00CE57F9" w:rsidRPr="00D15D1C" w14:paraId="5F0021A6" w14:textId="77777777" w:rsidTr="00DA2751">
                        <w:trPr>
                          <w:trHeight w:hRule="exact" w:val="227"/>
                        </w:trPr>
                        <w:tc>
                          <w:tcPr>
                            <w:tcW w:w="426" w:type="dxa"/>
                            <w:shd w:val="clear" w:color="auto" w:fill="auto"/>
                          </w:tcPr>
                          <w:p w14:paraId="1CBEB911"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2</w:t>
                            </w:r>
                          </w:p>
                        </w:tc>
                        <w:tc>
                          <w:tcPr>
                            <w:tcW w:w="1735" w:type="dxa"/>
                            <w:shd w:val="clear" w:color="auto" w:fill="auto"/>
                          </w:tcPr>
                          <w:p w14:paraId="5BCE8A3B"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湖口斷層</w:t>
                            </w:r>
                          </w:p>
                        </w:tc>
                        <w:tc>
                          <w:tcPr>
                            <w:tcW w:w="314" w:type="dxa"/>
                            <w:shd w:val="clear" w:color="auto" w:fill="auto"/>
                          </w:tcPr>
                          <w:p w14:paraId="1D99D719"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二</w:t>
                            </w:r>
                          </w:p>
                        </w:tc>
                        <w:tc>
                          <w:tcPr>
                            <w:tcW w:w="786" w:type="dxa"/>
                            <w:shd w:val="clear" w:color="auto" w:fill="auto"/>
                          </w:tcPr>
                          <w:p w14:paraId="31DD8F82" w14:textId="186C7C1B" w:rsidR="00CE57F9" w:rsidRPr="00D15D1C" w:rsidRDefault="00CE57F9" w:rsidP="006A1D28">
                            <w:pPr>
                              <w:spacing w:line="200" w:lineRule="exact"/>
                              <w:jc w:val="center"/>
                              <w:rPr>
                                <w:rFonts w:ascii="標楷體" w:eastAsia="標楷體" w:hAnsi="標楷體" w:cs="Arial"/>
                                <w:sz w:val="20"/>
                                <w:shd w:val="clear" w:color="auto" w:fill="FFFFFF"/>
                              </w:rPr>
                            </w:pPr>
                            <w:r w:rsidRPr="0050444D">
                              <w:rPr>
                                <w:rFonts w:ascii="標楷體" w:eastAsia="標楷體" w:hAnsi="標楷體" w:hint="eastAsia"/>
                                <w:sz w:val="20"/>
                              </w:rPr>
                              <w:sym w:font="Wingdings 2" w:char="F050"/>
                            </w:r>
                          </w:p>
                        </w:tc>
                        <w:tc>
                          <w:tcPr>
                            <w:tcW w:w="708" w:type="dxa"/>
                            <w:shd w:val="clear" w:color="auto" w:fill="auto"/>
                          </w:tcPr>
                          <w:p w14:paraId="1BD73543"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93" w:type="dxa"/>
                            <w:shd w:val="clear" w:color="auto" w:fill="auto"/>
                          </w:tcPr>
                          <w:p w14:paraId="2A23064F"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141" w:type="dxa"/>
                            <w:tcBorders>
                              <w:top w:val="nil"/>
                              <w:bottom w:val="nil"/>
                            </w:tcBorders>
                          </w:tcPr>
                          <w:p w14:paraId="1CB5DCAB"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07DF490B"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20</w:t>
                            </w:r>
                          </w:p>
                        </w:tc>
                        <w:tc>
                          <w:tcPr>
                            <w:tcW w:w="1559" w:type="dxa"/>
                          </w:tcPr>
                          <w:p w14:paraId="1C01D1F6"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口宵里斷層</w:t>
                            </w:r>
                          </w:p>
                        </w:tc>
                        <w:tc>
                          <w:tcPr>
                            <w:tcW w:w="425" w:type="dxa"/>
                          </w:tcPr>
                          <w:p w14:paraId="0CE08F3B"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二</w:t>
                            </w:r>
                          </w:p>
                        </w:tc>
                        <w:tc>
                          <w:tcPr>
                            <w:tcW w:w="709" w:type="dxa"/>
                          </w:tcPr>
                          <w:p w14:paraId="1DE37B24"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9" w:type="dxa"/>
                          </w:tcPr>
                          <w:p w14:paraId="3AF7CA1A"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84" w:type="dxa"/>
                          </w:tcPr>
                          <w:p w14:paraId="4F111FDC"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r>
                      <w:tr w:rsidR="00CE57F9" w:rsidRPr="00D15D1C" w14:paraId="3FF6AFAD" w14:textId="77777777" w:rsidTr="00DA2751">
                        <w:trPr>
                          <w:trHeight w:hRule="exact" w:val="227"/>
                        </w:trPr>
                        <w:tc>
                          <w:tcPr>
                            <w:tcW w:w="426" w:type="dxa"/>
                            <w:shd w:val="clear" w:color="auto" w:fill="auto"/>
                          </w:tcPr>
                          <w:p w14:paraId="2317B845"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3</w:t>
                            </w:r>
                          </w:p>
                        </w:tc>
                        <w:tc>
                          <w:tcPr>
                            <w:tcW w:w="1735" w:type="dxa"/>
                            <w:shd w:val="clear" w:color="auto" w:fill="auto"/>
                          </w:tcPr>
                          <w:p w14:paraId="6004F62C"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新竹斷層</w:t>
                            </w:r>
                          </w:p>
                        </w:tc>
                        <w:tc>
                          <w:tcPr>
                            <w:tcW w:w="314" w:type="dxa"/>
                            <w:shd w:val="clear" w:color="auto" w:fill="auto"/>
                          </w:tcPr>
                          <w:p w14:paraId="3964DE49"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二</w:t>
                            </w:r>
                          </w:p>
                        </w:tc>
                        <w:tc>
                          <w:tcPr>
                            <w:tcW w:w="786" w:type="dxa"/>
                            <w:shd w:val="clear" w:color="auto" w:fill="auto"/>
                          </w:tcPr>
                          <w:p w14:paraId="6DB06A5D" w14:textId="14E1C97D" w:rsidR="00CE57F9" w:rsidRPr="00D15D1C" w:rsidRDefault="00CE57F9" w:rsidP="006A1D28">
                            <w:pPr>
                              <w:spacing w:line="200" w:lineRule="exact"/>
                              <w:jc w:val="center"/>
                              <w:rPr>
                                <w:rFonts w:ascii="標楷體" w:eastAsia="標楷體" w:hAnsi="標楷體" w:cs="Arial"/>
                                <w:sz w:val="20"/>
                                <w:shd w:val="clear" w:color="auto" w:fill="FFFFFF"/>
                              </w:rPr>
                            </w:pPr>
                            <w:r w:rsidRPr="0050444D">
                              <w:rPr>
                                <w:rFonts w:ascii="標楷體" w:eastAsia="標楷體" w:hAnsi="標楷體" w:hint="eastAsia"/>
                                <w:sz w:val="20"/>
                              </w:rPr>
                              <w:sym w:font="Wingdings 2" w:char="F050"/>
                            </w:r>
                          </w:p>
                        </w:tc>
                        <w:tc>
                          <w:tcPr>
                            <w:tcW w:w="708" w:type="dxa"/>
                            <w:shd w:val="clear" w:color="auto" w:fill="auto"/>
                          </w:tcPr>
                          <w:p w14:paraId="23ED5571"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93" w:type="dxa"/>
                            <w:shd w:val="clear" w:color="auto" w:fill="auto"/>
                          </w:tcPr>
                          <w:p w14:paraId="62F39A01" w14:textId="34FB844C" w:rsidR="00CE57F9" w:rsidRPr="00D15D1C" w:rsidRDefault="00CE57F9" w:rsidP="006A1D28">
                            <w:pPr>
                              <w:spacing w:line="200" w:lineRule="exact"/>
                              <w:jc w:val="center"/>
                              <w:rPr>
                                <w:rFonts w:ascii="標楷體" w:eastAsia="標楷體" w:hAnsi="標楷體" w:cs="Arial"/>
                                <w:sz w:val="20"/>
                                <w:shd w:val="clear" w:color="auto" w:fill="FFFFFF"/>
                              </w:rPr>
                            </w:pPr>
                            <w:r w:rsidRPr="004804F4">
                              <w:rPr>
                                <w:rFonts w:ascii="標楷體" w:eastAsia="標楷體" w:hAnsi="標楷體" w:hint="eastAsia"/>
                                <w:sz w:val="20"/>
                              </w:rPr>
                              <w:sym w:font="Wingdings 2" w:char="F050"/>
                            </w:r>
                          </w:p>
                        </w:tc>
                        <w:tc>
                          <w:tcPr>
                            <w:tcW w:w="141" w:type="dxa"/>
                            <w:tcBorders>
                              <w:top w:val="nil"/>
                              <w:bottom w:val="nil"/>
                            </w:tcBorders>
                          </w:tcPr>
                          <w:p w14:paraId="3667FCEB"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4E5E9411"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21</w:t>
                            </w:r>
                          </w:p>
                        </w:tc>
                        <w:tc>
                          <w:tcPr>
                            <w:tcW w:w="1559" w:type="dxa"/>
                          </w:tcPr>
                          <w:p w14:paraId="1D634212"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新化斷層</w:t>
                            </w:r>
                          </w:p>
                        </w:tc>
                        <w:tc>
                          <w:tcPr>
                            <w:tcW w:w="425" w:type="dxa"/>
                          </w:tcPr>
                          <w:p w14:paraId="03EA639E"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一</w:t>
                            </w:r>
                          </w:p>
                        </w:tc>
                        <w:tc>
                          <w:tcPr>
                            <w:tcW w:w="709" w:type="dxa"/>
                          </w:tcPr>
                          <w:p w14:paraId="51FC44EB"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9" w:type="dxa"/>
                          </w:tcPr>
                          <w:p w14:paraId="55ECBEC4" w14:textId="300F20D1"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984" w:type="dxa"/>
                          </w:tcPr>
                          <w:p w14:paraId="765F4568" w14:textId="4F6AB729"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r>
                      <w:tr w:rsidR="00CE57F9" w:rsidRPr="00D15D1C" w14:paraId="0769FB7D" w14:textId="77777777" w:rsidTr="00DA2751">
                        <w:trPr>
                          <w:trHeight w:hRule="exact" w:val="227"/>
                        </w:trPr>
                        <w:tc>
                          <w:tcPr>
                            <w:tcW w:w="426" w:type="dxa"/>
                            <w:shd w:val="clear" w:color="auto" w:fill="auto"/>
                          </w:tcPr>
                          <w:p w14:paraId="75BE544A"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4</w:t>
                            </w:r>
                          </w:p>
                        </w:tc>
                        <w:tc>
                          <w:tcPr>
                            <w:tcW w:w="1735" w:type="dxa"/>
                            <w:shd w:val="clear" w:color="auto" w:fill="auto"/>
                          </w:tcPr>
                          <w:p w14:paraId="21B48FEC"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新城斷層</w:t>
                            </w:r>
                          </w:p>
                        </w:tc>
                        <w:tc>
                          <w:tcPr>
                            <w:tcW w:w="314" w:type="dxa"/>
                            <w:shd w:val="clear" w:color="auto" w:fill="auto"/>
                          </w:tcPr>
                          <w:p w14:paraId="27022016"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一</w:t>
                            </w:r>
                          </w:p>
                        </w:tc>
                        <w:tc>
                          <w:tcPr>
                            <w:tcW w:w="786" w:type="dxa"/>
                            <w:shd w:val="clear" w:color="auto" w:fill="auto"/>
                          </w:tcPr>
                          <w:p w14:paraId="1795AD2F" w14:textId="4C017370"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708" w:type="dxa"/>
                            <w:shd w:val="clear" w:color="auto" w:fill="auto"/>
                          </w:tcPr>
                          <w:p w14:paraId="64219899" w14:textId="6EB67DD4" w:rsidR="00CE57F9" w:rsidRPr="00D15D1C" w:rsidRDefault="00CE57F9" w:rsidP="006A1D28">
                            <w:pPr>
                              <w:spacing w:line="200" w:lineRule="exact"/>
                              <w:jc w:val="center"/>
                              <w:rPr>
                                <w:rFonts w:ascii="標楷體" w:eastAsia="標楷體" w:hAnsi="標楷體" w:cs="Arial"/>
                                <w:sz w:val="20"/>
                                <w:shd w:val="clear" w:color="auto" w:fill="FFFFFF"/>
                              </w:rPr>
                            </w:pPr>
                            <w:r w:rsidRPr="005A6F59">
                              <w:rPr>
                                <w:rFonts w:ascii="標楷體" w:eastAsia="標楷體" w:hAnsi="標楷體" w:hint="eastAsia"/>
                                <w:sz w:val="20"/>
                              </w:rPr>
                              <w:sym w:font="Wingdings 2" w:char="F050"/>
                            </w:r>
                          </w:p>
                        </w:tc>
                        <w:tc>
                          <w:tcPr>
                            <w:tcW w:w="993" w:type="dxa"/>
                            <w:shd w:val="clear" w:color="auto" w:fill="auto"/>
                          </w:tcPr>
                          <w:p w14:paraId="77E80C15" w14:textId="6A062EAA" w:rsidR="00CE57F9" w:rsidRPr="00D15D1C" w:rsidRDefault="00CE57F9" w:rsidP="006A1D28">
                            <w:pPr>
                              <w:spacing w:line="200" w:lineRule="exact"/>
                              <w:jc w:val="center"/>
                              <w:rPr>
                                <w:rFonts w:ascii="標楷體" w:eastAsia="標楷體" w:hAnsi="標楷體" w:cs="Arial"/>
                                <w:sz w:val="20"/>
                                <w:shd w:val="clear" w:color="auto" w:fill="FFFFFF"/>
                              </w:rPr>
                            </w:pPr>
                            <w:r w:rsidRPr="004804F4">
                              <w:rPr>
                                <w:rFonts w:ascii="標楷體" w:eastAsia="標楷體" w:hAnsi="標楷體" w:hint="eastAsia"/>
                                <w:sz w:val="20"/>
                              </w:rPr>
                              <w:sym w:font="Wingdings 2" w:char="F050"/>
                            </w:r>
                          </w:p>
                        </w:tc>
                        <w:tc>
                          <w:tcPr>
                            <w:tcW w:w="141" w:type="dxa"/>
                            <w:tcBorders>
                              <w:top w:val="nil"/>
                              <w:bottom w:val="nil"/>
                            </w:tcBorders>
                          </w:tcPr>
                          <w:p w14:paraId="1C246E0D"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3C9EBC45"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22</w:t>
                            </w:r>
                          </w:p>
                        </w:tc>
                        <w:tc>
                          <w:tcPr>
                            <w:tcW w:w="1559" w:type="dxa"/>
                          </w:tcPr>
                          <w:p w14:paraId="30A96AD9"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後甲里斷層</w:t>
                            </w:r>
                          </w:p>
                        </w:tc>
                        <w:tc>
                          <w:tcPr>
                            <w:tcW w:w="425" w:type="dxa"/>
                          </w:tcPr>
                          <w:p w14:paraId="6E74E11E"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二</w:t>
                            </w:r>
                          </w:p>
                        </w:tc>
                        <w:tc>
                          <w:tcPr>
                            <w:tcW w:w="709" w:type="dxa"/>
                          </w:tcPr>
                          <w:p w14:paraId="14ED3762" w14:textId="0A392B51"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709" w:type="dxa"/>
                          </w:tcPr>
                          <w:p w14:paraId="6B726B43"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84" w:type="dxa"/>
                          </w:tcPr>
                          <w:p w14:paraId="1F89E02E"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r>
                      <w:tr w:rsidR="00CE57F9" w:rsidRPr="00D15D1C" w14:paraId="452E2BAB" w14:textId="77777777" w:rsidTr="00DA2751">
                        <w:trPr>
                          <w:trHeight w:hRule="exact" w:val="227"/>
                        </w:trPr>
                        <w:tc>
                          <w:tcPr>
                            <w:tcW w:w="426" w:type="dxa"/>
                            <w:shd w:val="clear" w:color="auto" w:fill="auto"/>
                          </w:tcPr>
                          <w:p w14:paraId="07E1956C"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5</w:t>
                            </w:r>
                          </w:p>
                        </w:tc>
                        <w:tc>
                          <w:tcPr>
                            <w:tcW w:w="1735" w:type="dxa"/>
                            <w:shd w:val="clear" w:color="auto" w:fill="auto"/>
                          </w:tcPr>
                          <w:p w14:paraId="742E0DBF"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獅潭斷層</w:t>
                            </w:r>
                          </w:p>
                        </w:tc>
                        <w:tc>
                          <w:tcPr>
                            <w:tcW w:w="314" w:type="dxa"/>
                            <w:shd w:val="clear" w:color="auto" w:fill="auto"/>
                          </w:tcPr>
                          <w:p w14:paraId="25D25D76"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一</w:t>
                            </w:r>
                          </w:p>
                        </w:tc>
                        <w:tc>
                          <w:tcPr>
                            <w:tcW w:w="786" w:type="dxa"/>
                            <w:shd w:val="clear" w:color="auto" w:fill="auto"/>
                          </w:tcPr>
                          <w:p w14:paraId="12584220"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8" w:type="dxa"/>
                            <w:shd w:val="clear" w:color="auto" w:fill="auto"/>
                          </w:tcPr>
                          <w:p w14:paraId="5EED7953" w14:textId="4E3F8A0F" w:rsidR="00CE57F9" w:rsidRPr="00D15D1C" w:rsidRDefault="00CE57F9" w:rsidP="006A1D28">
                            <w:pPr>
                              <w:spacing w:line="200" w:lineRule="exact"/>
                              <w:jc w:val="center"/>
                              <w:rPr>
                                <w:rFonts w:ascii="標楷體" w:eastAsia="標楷體" w:hAnsi="標楷體" w:cs="Arial"/>
                                <w:sz w:val="20"/>
                                <w:shd w:val="clear" w:color="auto" w:fill="FFFFFF"/>
                              </w:rPr>
                            </w:pPr>
                            <w:r w:rsidRPr="005A6F59">
                              <w:rPr>
                                <w:rFonts w:ascii="標楷體" w:eastAsia="標楷體" w:hAnsi="標楷體" w:hint="eastAsia"/>
                                <w:sz w:val="20"/>
                              </w:rPr>
                              <w:sym w:font="Wingdings 2" w:char="F050"/>
                            </w:r>
                          </w:p>
                        </w:tc>
                        <w:tc>
                          <w:tcPr>
                            <w:tcW w:w="993" w:type="dxa"/>
                            <w:shd w:val="clear" w:color="auto" w:fill="auto"/>
                          </w:tcPr>
                          <w:p w14:paraId="57544BBA" w14:textId="76A02DCC" w:rsidR="00CE57F9" w:rsidRPr="00D15D1C" w:rsidRDefault="00CE57F9" w:rsidP="006A1D28">
                            <w:pPr>
                              <w:spacing w:line="200" w:lineRule="exact"/>
                              <w:jc w:val="center"/>
                              <w:rPr>
                                <w:rFonts w:ascii="標楷體" w:eastAsia="標楷體" w:hAnsi="標楷體" w:cs="Arial"/>
                                <w:sz w:val="20"/>
                                <w:shd w:val="clear" w:color="auto" w:fill="FFFFFF"/>
                              </w:rPr>
                            </w:pPr>
                            <w:r w:rsidRPr="004804F4">
                              <w:rPr>
                                <w:rFonts w:ascii="標楷體" w:eastAsia="標楷體" w:hAnsi="標楷體" w:hint="eastAsia"/>
                                <w:sz w:val="20"/>
                              </w:rPr>
                              <w:sym w:font="Wingdings 2" w:char="F050"/>
                            </w:r>
                          </w:p>
                        </w:tc>
                        <w:tc>
                          <w:tcPr>
                            <w:tcW w:w="141" w:type="dxa"/>
                            <w:tcBorders>
                              <w:top w:val="nil"/>
                              <w:bottom w:val="nil"/>
                            </w:tcBorders>
                          </w:tcPr>
                          <w:p w14:paraId="57EA11F5"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49BFD9B7"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23</w:t>
                            </w:r>
                          </w:p>
                        </w:tc>
                        <w:tc>
                          <w:tcPr>
                            <w:tcW w:w="1559" w:type="dxa"/>
                          </w:tcPr>
                          <w:p w14:paraId="60102908"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左鎮斷層</w:t>
                            </w:r>
                          </w:p>
                        </w:tc>
                        <w:tc>
                          <w:tcPr>
                            <w:tcW w:w="425" w:type="dxa"/>
                          </w:tcPr>
                          <w:p w14:paraId="6702F2CB"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二</w:t>
                            </w:r>
                          </w:p>
                        </w:tc>
                        <w:tc>
                          <w:tcPr>
                            <w:tcW w:w="709" w:type="dxa"/>
                          </w:tcPr>
                          <w:p w14:paraId="77293C3F"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9" w:type="dxa"/>
                          </w:tcPr>
                          <w:p w14:paraId="03F92950"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84" w:type="dxa"/>
                          </w:tcPr>
                          <w:p w14:paraId="08B28F3F"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r>
                      <w:tr w:rsidR="00CE57F9" w:rsidRPr="00D15D1C" w14:paraId="3F5DFA3F" w14:textId="77777777" w:rsidTr="00DA2751">
                        <w:trPr>
                          <w:trHeight w:hRule="exact" w:val="227"/>
                        </w:trPr>
                        <w:tc>
                          <w:tcPr>
                            <w:tcW w:w="426" w:type="dxa"/>
                            <w:shd w:val="clear" w:color="auto" w:fill="auto"/>
                          </w:tcPr>
                          <w:p w14:paraId="174E196A"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6</w:t>
                            </w:r>
                          </w:p>
                        </w:tc>
                        <w:tc>
                          <w:tcPr>
                            <w:tcW w:w="1735" w:type="dxa"/>
                            <w:shd w:val="clear" w:color="auto" w:fill="auto"/>
                          </w:tcPr>
                          <w:p w14:paraId="2A31A644"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三義斷層</w:t>
                            </w:r>
                          </w:p>
                        </w:tc>
                        <w:tc>
                          <w:tcPr>
                            <w:tcW w:w="314" w:type="dxa"/>
                            <w:shd w:val="clear" w:color="auto" w:fill="auto"/>
                          </w:tcPr>
                          <w:p w14:paraId="4DC43F5E"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一</w:t>
                            </w:r>
                          </w:p>
                        </w:tc>
                        <w:tc>
                          <w:tcPr>
                            <w:tcW w:w="786" w:type="dxa"/>
                            <w:shd w:val="clear" w:color="auto" w:fill="auto"/>
                          </w:tcPr>
                          <w:p w14:paraId="7CBFC99E" w14:textId="7A09EED5" w:rsidR="00CE57F9" w:rsidRPr="00D15D1C" w:rsidRDefault="00CE57F9" w:rsidP="006A1D28">
                            <w:pPr>
                              <w:spacing w:line="200" w:lineRule="exact"/>
                              <w:jc w:val="center"/>
                              <w:rPr>
                                <w:rFonts w:ascii="標楷體" w:eastAsia="標楷體" w:hAnsi="標楷體" w:cs="Arial"/>
                                <w:sz w:val="20"/>
                                <w:shd w:val="clear" w:color="auto" w:fill="FFFFFF"/>
                              </w:rPr>
                            </w:pPr>
                            <w:r w:rsidRPr="009E4F9C">
                              <w:rPr>
                                <w:rFonts w:ascii="標楷體" w:eastAsia="標楷體" w:hAnsi="標楷體" w:hint="eastAsia"/>
                                <w:sz w:val="20"/>
                              </w:rPr>
                              <w:sym w:font="Wingdings 2" w:char="F050"/>
                            </w:r>
                          </w:p>
                        </w:tc>
                        <w:tc>
                          <w:tcPr>
                            <w:tcW w:w="708" w:type="dxa"/>
                            <w:shd w:val="clear" w:color="auto" w:fill="auto"/>
                          </w:tcPr>
                          <w:p w14:paraId="64A6B5BF" w14:textId="6A1C47CE" w:rsidR="00CE57F9" w:rsidRPr="00D15D1C" w:rsidRDefault="00CE57F9" w:rsidP="006A1D28">
                            <w:pPr>
                              <w:spacing w:line="200" w:lineRule="exact"/>
                              <w:jc w:val="center"/>
                              <w:rPr>
                                <w:rFonts w:ascii="標楷體" w:eastAsia="標楷體" w:hAnsi="標楷體" w:cs="Arial"/>
                                <w:sz w:val="20"/>
                                <w:shd w:val="clear" w:color="auto" w:fill="FFFFFF"/>
                              </w:rPr>
                            </w:pPr>
                            <w:r w:rsidRPr="005A6F59">
                              <w:rPr>
                                <w:rFonts w:ascii="標楷體" w:eastAsia="標楷體" w:hAnsi="標楷體" w:hint="eastAsia"/>
                                <w:sz w:val="20"/>
                              </w:rPr>
                              <w:sym w:font="Wingdings 2" w:char="F050"/>
                            </w:r>
                          </w:p>
                        </w:tc>
                        <w:tc>
                          <w:tcPr>
                            <w:tcW w:w="993" w:type="dxa"/>
                            <w:shd w:val="clear" w:color="auto" w:fill="auto"/>
                          </w:tcPr>
                          <w:p w14:paraId="6A974A42" w14:textId="59FB8F5D" w:rsidR="00CE57F9" w:rsidRPr="00D15D1C" w:rsidRDefault="00CE57F9" w:rsidP="006A1D28">
                            <w:pPr>
                              <w:spacing w:line="200" w:lineRule="exact"/>
                              <w:jc w:val="center"/>
                              <w:rPr>
                                <w:rFonts w:ascii="標楷體" w:eastAsia="標楷體" w:hAnsi="標楷體" w:cs="Arial"/>
                                <w:sz w:val="20"/>
                                <w:shd w:val="clear" w:color="auto" w:fill="FFFFFF"/>
                              </w:rPr>
                            </w:pPr>
                            <w:r w:rsidRPr="004804F4">
                              <w:rPr>
                                <w:rFonts w:ascii="標楷體" w:eastAsia="標楷體" w:hAnsi="標楷體" w:hint="eastAsia"/>
                                <w:sz w:val="20"/>
                              </w:rPr>
                              <w:sym w:font="Wingdings 2" w:char="F050"/>
                            </w:r>
                          </w:p>
                        </w:tc>
                        <w:tc>
                          <w:tcPr>
                            <w:tcW w:w="141" w:type="dxa"/>
                            <w:tcBorders>
                              <w:top w:val="nil"/>
                              <w:bottom w:val="nil"/>
                            </w:tcBorders>
                          </w:tcPr>
                          <w:p w14:paraId="4908B911"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6EB09B03"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24</w:t>
                            </w:r>
                          </w:p>
                        </w:tc>
                        <w:tc>
                          <w:tcPr>
                            <w:tcW w:w="1559" w:type="dxa"/>
                          </w:tcPr>
                          <w:p w14:paraId="0837BA21"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小岡山斷層</w:t>
                            </w:r>
                          </w:p>
                        </w:tc>
                        <w:tc>
                          <w:tcPr>
                            <w:tcW w:w="425" w:type="dxa"/>
                          </w:tcPr>
                          <w:p w14:paraId="5CEC372A"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二</w:t>
                            </w:r>
                          </w:p>
                        </w:tc>
                        <w:tc>
                          <w:tcPr>
                            <w:tcW w:w="709" w:type="dxa"/>
                          </w:tcPr>
                          <w:p w14:paraId="6D0D226B"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9" w:type="dxa"/>
                          </w:tcPr>
                          <w:p w14:paraId="2BEE4CBF"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84" w:type="dxa"/>
                          </w:tcPr>
                          <w:p w14:paraId="70030830" w14:textId="22B7C159"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r>
                      <w:tr w:rsidR="00CE57F9" w:rsidRPr="00D15D1C" w14:paraId="472DAB9F" w14:textId="77777777" w:rsidTr="00DA2751">
                        <w:trPr>
                          <w:trHeight w:hRule="exact" w:val="227"/>
                        </w:trPr>
                        <w:tc>
                          <w:tcPr>
                            <w:tcW w:w="426" w:type="dxa"/>
                            <w:shd w:val="clear" w:color="auto" w:fill="auto"/>
                          </w:tcPr>
                          <w:p w14:paraId="13561071"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7</w:t>
                            </w:r>
                          </w:p>
                        </w:tc>
                        <w:tc>
                          <w:tcPr>
                            <w:tcW w:w="1735" w:type="dxa"/>
                            <w:shd w:val="clear" w:color="auto" w:fill="auto"/>
                          </w:tcPr>
                          <w:p w14:paraId="67C17273"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大甲斷層</w:t>
                            </w:r>
                          </w:p>
                        </w:tc>
                        <w:tc>
                          <w:tcPr>
                            <w:tcW w:w="314" w:type="dxa"/>
                            <w:shd w:val="clear" w:color="auto" w:fill="auto"/>
                          </w:tcPr>
                          <w:p w14:paraId="035096D9"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一</w:t>
                            </w:r>
                          </w:p>
                        </w:tc>
                        <w:tc>
                          <w:tcPr>
                            <w:tcW w:w="786" w:type="dxa"/>
                            <w:shd w:val="clear" w:color="auto" w:fill="auto"/>
                          </w:tcPr>
                          <w:p w14:paraId="45B7B9FB" w14:textId="7E812FA5" w:rsidR="00CE57F9" w:rsidRPr="00D15D1C" w:rsidRDefault="00CE57F9" w:rsidP="006A1D28">
                            <w:pPr>
                              <w:spacing w:line="200" w:lineRule="exact"/>
                              <w:jc w:val="center"/>
                              <w:rPr>
                                <w:rFonts w:ascii="標楷體" w:eastAsia="標楷體" w:hAnsi="標楷體" w:cs="Arial"/>
                                <w:sz w:val="20"/>
                                <w:shd w:val="clear" w:color="auto" w:fill="FFFFFF"/>
                              </w:rPr>
                            </w:pPr>
                            <w:r w:rsidRPr="009E4F9C">
                              <w:rPr>
                                <w:rFonts w:ascii="標楷體" w:eastAsia="標楷體" w:hAnsi="標楷體" w:hint="eastAsia"/>
                                <w:sz w:val="20"/>
                              </w:rPr>
                              <w:sym w:font="Wingdings 2" w:char="F050"/>
                            </w:r>
                          </w:p>
                        </w:tc>
                        <w:tc>
                          <w:tcPr>
                            <w:tcW w:w="708" w:type="dxa"/>
                            <w:shd w:val="clear" w:color="auto" w:fill="auto"/>
                          </w:tcPr>
                          <w:p w14:paraId="3466A00A" w14:textId="3D0DD59C" w:rsidR="00CE57F9" w:rsidRPr="00D15D1C" w:rsidRDefault="00CE57F9" w:rsidP="006A1D28">
                            <w:pPr>
                              <w:spacing w:line="200" w:lineRule="exact"/>
                              <w:jc w:val="center"/>
                              <w:rPr>
                                <w:rFonts w:ascii="標楷體" w:eastAsia="標楷體" w:hAnsi="標楷體" w:cs="Arial"/>
                                <w:sz w:val="20"/>
                                <w:shd w:val="clear" w:color="auto" w:fill="FFFFFF"/>
                              </w:rPr>
                            </w:pPr>
                            <w:r w:rsidRPr="005A6F59">
                              <w:rPr>
                                <w:rFonts w:ascii="標楷體" w:eastAsia="標楷體" w:hAnsi="標楷體" w:hint="eastAsia"/>
                                <w:sz w:val="20"/>
                              </w:rPr>
                              <w:sym w:font="Wingdings 2" w:char="F050"/>
                            </w:r>
                          </w:p>
                        </w:tc>
                        <w:tc>
                          <w:tcPr>
                            <w:tcW w:w="993" w:type="dxa"/>
                            <w:shd w:val="clear" w:color="auto" w:fill="auto"/>
                          </w:tcPr>
                          <w:p w14:paraId="60165F8C" w14:textId="56C8A780" w:rsidR="00CE57F9" w:rsidRPr="00D15D1C" w:rsidRDefault="00CE57F9" w:rsidP="006A1D28">
                            <w:pPr>
                              <w:spacing w:line="200" w:lineRule="exact"/>
                              <w:jc w:val="center"/>
                              <w:rPr>
                                <w:rFonts w:ascii="標楷體" w:eastAsia="標楷體" w:hAnsi="標楷體" w:cs="Arial"/>
                                <w:sz w:val="20"/>
                                <w:shd w:val="clear" w:color="auto" w:fill="FFFFFF"/>
                              </w:rPr>
                            </w:pPr>
                            <w:r w:rsidRPr="004804F4">
                              <w:rPr>
                                <w:rFonts w:ascii="標楷體" w:eastAsia="標楷體" w:hAnsi="標楷體" w:hint="eastAsia"/>
                                <w:sz w:val="20"/>
                              </w:rPr>
                              <w:sym w:font="Wingdings 2" w:char="F050"/>
                            </w:r>
                          </w:p>
                        </w:tc>
                        <w:tc>
                          <w:tcPr>
                            <w:tcW w:w="141" w:type="dxa"/>
                            <w:tcBorders>
                              <w:top w:val="nil"/>
                              <w:bottom w:val="nil"/>
                            </w:tcBorders>
                          </w:tcPr>
                          <w:p w14:paraId="555C5560"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524423B5"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25</w:t>
                            </w:r>
                          </w:p>
                        </w:tc>
                        <w:tc>
                          <w:tcPr>
                            <w:tcW w:w="1559" w:type="dxa"/>
                          </w:tcPr>
                          <w:p w14:paraId="1B1ABCCF"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車瓜林斷層</w:t>
                            </w:r>
                          </w:p>
                        </w:tc>
                        <w:tc>
                          <w:tcPr>
                            <w:tcW w:w="425" w:type="dxa"/>
                          </w:tcPr>
                          <w:p w14:paraId="6BCA13CF"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一</w:t>
                            </w:r>
                          </w:p>
                        </w:tc>
                        <w:tc>
                          <w:tcPr>
                            <w:tcW w:w="709" w:type="dxa"/>
                          </w:tcPr>
                          <w:p w14:paraId="4266D865" w14:textId="6ACEAD91"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709" w:type="dxa"/>
                          </w:tcPr>
                          <w:p w14:paraId="7E887F9E"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84" w:type="dxa"/>
                          </w:tcPr>
                          <w:p w14:paraId="5594C3F0"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r>
                      <w:tr w:rsidR="00CE57F9" w:rsidRPr="00D15D1C" w14:paraId="72FA82FB" w14:textId="77777777" w:rsidTr="00DA2751">
                        <w:trPr>
                          <w:trHeight w:hRule="exact" w:val="227"/>
                        </w:trPr>
                        <w:tc>
                          <w:tcPr>
                            <w:tcW w:w="426" w:type="dxa"/>
                            <w:shd w:val="clear" w:color="auto" w:fill="auto"/>
                          </w:tcPr>
                          <w:p w14:paraId="3E1DE002"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8</w:t>
                            </w:r>
                          </w:p>
                        </w:tc>
                        <w:tc>
                          <w:tcPr>
                            <w:tcW w:w="1735" w:type="dxa"/>
                            <w:shd w:val="clear" w:color="auto" w:fill="auto"/>
                          </w:tcPr>
                          <w:p w14:paraId="1B278020"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鐵砧山斷層</w:t>
                            </w:r>
                          </w:p>
                        </w:tc>
                        <w:tc>
                          <w:tcPr>
                            <w:tcW w:w="314" w:type="dxa"/>
                            <w:shd w:val="clear" w:color="auto" w:fill="auto"/>
                          </w:tcPr>
                          <w:p w14:paraId="556B0578"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一</w:t>
                            </w:r>
                          </w:p>
                        </w:tc>
                        <w:tc>
                          <w:tcPr>
                            <w:tcW w:w="786" w:type="dxa"/>
                            <w:shd w:val="clear" w:color="auto" w:fill="auto"/>
                          </w:tcPr>
                          <w:p w14:paraId="05BDAF21"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8" w:type="dxa"/>
                            <w:shd w:val="clear" w:color="auto" w:fill="auto"/>
                          </w:tcPr>
                          <w:p w14:paraId="58F432FE" w14:textId="15E58C3D" w:rsidR="00CE57F9" w:rsidRPr="00D15D1C" w:rsidRDefault="00CE57F9" w:rsidP="006A1D28">
                            <w:pPr>
                              <w:spacing w:line="200" w:lineRule="exact"/>
                              <w:jc w:val="center"/>
                              <w:rPr>
                                <w:rFonts w:ascii="標楷體" w:eastAsia="標楷體" w:hAnsi="標楷體" w:cs="Arial"/>
                                <w:sz w:val="20"/>
                                <w:shd w:val="clear" w:color="auto" w:fill="FFFFFF"/>
                              </w:rPr>
                            </w:pPr>
                            <w:r w:rsidRPr="005A6F59">
                              <w:rPr>
                                <w:rFonts w:ascii="標楷體" w:eastAsia="標楷體" w:hAnsi="標楷體" w:hint="eastAsia"/>
                                <w:sz w:val="20"/>
                              </w:rPr>
                              <w:sym w:font="Wingdings 2" w:char="F050"/>
                            </w:r>
                          </w:p>
                        </w:tc>
                        <w:tc>
                          <w:tcPr>
                            <w:tcW w:w="993" w:type="dxa"/>
                            <w:shd w:val="clear" w:color="auto" w:fill="auto"/>
                          </w:tcPr>
                          <w:p w14:paraId="2B552858"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141" w:type="dxa"/>
                            <w:tcBorders>
                              <w:top w:val="nil"/>
                              <w:bottom w:val="nil"/>
                            </w:tcBorders>
                          </w:tcPr>
                          <w:p w14:paraId="7CF98B49"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0C616F20"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26</w:t>
                            </w:r>
                          </w:p>
                        </w:tc>
                        <w:tc>
                          <w:tcPr>
                            <w:tcW w:w="1559" w:type="dxa"/>
                          </w:tcPr>
                          <w:p w14:paraId="10F0DEFE"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旗山斷層</w:t>
                            </w:r>
                          </w:p>
                        </w:tc>
                        <w:tc>
                          <w:tcPr>
                            <w:tcW w:w="425" w:type="dxa"/>
                          </w:tcPr>
                          <w:p w14:paraId="03A76AE1"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一</w:t>
                            </w:r>
                          </w:p>
                        </w:tc>
                        <w:tc>
                          <w:tcPr>
                            <w:tcW w:w="709" w:type="dxa"/>
                          </w:tcPr>
                          <w:p w14:paraId="48BBDA7B" w14:textId="2241BDAE"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709" w:type="dxa"/>
                          </w:tcPr>
                          <w:p w14:paraId="69B988FB" w14:textId="4F16748E"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984" w:type="dxa"/>
                          </w:tcPr>
                          <w:p w14:paraId="0DC8FF65" w14:textId="2B825C34"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r>
                      <w:tr w:rsidR="00CE57F9" w:rsidRPr="00D15D1C" w14:paraId="49C25EF9" w14:textId="77777777" w:rsidTr="00DA2751">
                        <w:trPr>
                          <w:trHeight w:hRule="exact" w:val="227"/>
                        </w:trPr>
                        <w:tc>
                          <w:tcPr>
                            <w:tcW w:w="426" w:type="dxa"/>
                            <w:shd w:val="clear" w:color="auto" w:fill="auto"/>
                          </w:tcPr>
                          <w:p w14:paraId="0F7FC75B"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9</w:t>
                            </w:r>
                          </w:p>
                        </w:tc>
                        <w:tc>
                          <w:tcPr>
                            <w:tcW w:w="1735" w:type="dxa"/>
                            <w:shd w:val="clear" w:color="auto" w:fill="auto"/>
                          </w:tcPr>
                          <w:p w14:paraId="340F9E63"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屯子腳斷層</w:t>
                            </w:r>
                          </w:p>
                        </w:tc>
                        <w:tc>
                          <w:tcPr>
                            <w:tcW w:w="314" w:type="dxa"/>
                            <w:shd w:val="clear" w:color="auto" w:fill="auto"/>
                          </w:tcPr>
                          <w:p w14:paraId="563C1BDF"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一</w:t>
                            </w:r>
                          </w:p>
                        </w:tc>
                        <w:tc>
                          <w:tcPr>
                            <w:tcW w:w="786" w:type="dxa"/>
                            <w:shd w:val="clear" w:color="auto" w:fill="auto"/>
                          </w:tcPr>
                          <w:p w14:paraId="5B062708" w14:textId="431810F4" w:rsidR="00CE57F9" w:rsidRPr="00D15D1C" w:rsidRDefault="00CE57F9" w:rsidP="006A1D28">
                            <w:pPr>
                              <w:spacing w:line="200" w:lineRule="exact"/>
                              <w:jc w:val="center"/>
                              <w:rPr>
                                <w:rFonts w:ascii="標楷體" w:eastAsia="標楷體" w:hAnsi="標楷體" w:cs="Arial"/>
                                <w:sz w:val="20"/>
                                <w:shd w:val="clear" w:color="auto" w:fill="FFFFFF"/>
                              </w:rPr>
                            </w:pPr>
                            <w:r w:rsidRPr="00AE28DF">
                              <w:rPr>
                                <w:rFonts w:ascii="標楷體" w:eastAsia="標楷體" w:hAnsi="標楷體" w:hint="eastAsia"/>
                                <w:sz w:val="20"/>
                              </w:rPr>
                              <w:sym w:font="Wingdings 2" w:char="F050"/>
                            </w:r>
                          </w:p>
                        </w:tc>
                        <w:tc>
                          <w:tcPr>
                            <w:tcW w:w="708" w:type="dxa"/>
                            <w:shd w:val="clear" w:color="auto" w:fill="auto"/>
                          </w:tcPr>
                          <w:p w14:paraId="161442C3" w14:textId="0D4F4739" w:rsidR="00CE57F9" w:rsidRPr="00D15D1C" w:rsidRDefault="00CE57F9" w:rsidP="006A1D28">
                            <w:pPr>
                              <w:spacing w:line="200" w:lineRule="exact"/>
                              <w:jc w:val="center"/>
                              <w:rPr>
                                <w:rFonts w:ascii="標楷體" w:eastAsia="標楷體" w:hAnsi="標楷體" w:cs="Arial"/>
                                <w:sz w:val="20"/>
                                <w:shd w:val="clear" w:color="auto" w:fill="FFFFFF"/>
                              </w:rPr>
                            </w:pPr>
                            <w:r w:rsidRPr="005A6F59">
                              <w:rPr>
                                <w:rFonts w:ascii="標楷體" w:eastAsia="標楷體" w:hAnsi="標楷體" w:hint="eastAsia"/>
                                <w:sz w:val="20"/>
                              </w:rPr>
                              <w:sym w:font="Wingdings 2" w:char="F050"/>
                            </w:r>
                          </w:p>
                        </w:tc>
                        <w:tc>
                          <w:tcPr>
                            <w:tcW w:w="993" w:type="dxa"/>
                            <w:shd w:val="clear" w:color="auto" w:fill="auto"/>
                          </w:tcPr>
                          <w:p w14:paraId="2251F90D" w14:textId="356BFC5F"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141" w:type="dxa"/>
                            <w:tcBorders>
                              <w:top w:val="nil"/>
                              <w:bottom w:val="nil"/>
                            </w:tcBorders>
                          </w:tcPr>
                          <w:p w14:paraId="3DCC22C4"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5B5E9823"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27</w:t>
                            </w:r>
                          </w:p>
                        </w:tc>
                        <w:tc>
                          <w:tcPr>
                            <w:tcW w:w="1559" w:type="dxa"/>
                          </w:tcPr>
                          <w:p w14:paraId="56FF55DF"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潮州斷層</w:t>
                            </w:r>
                          </w:p>
                        </w:tc>
                        <w:tc>
                          <w:tcPr>
                            <w:tcW w:w="425" w:type="dxa"/>
                          </w:tcPr>
                          <w:p w14:paraId="1C8E4014"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二</w:t>
                            </w:r>
                          </w:p>
                        </w:tc>
                        <w:tc>
                          <w:tcPr>
                            <w:tcW w:w="709" w:type="dxa"/>
                          </w:tcPr>
                          <w:p w14:paraId="183D009B"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9" w:type="dxa"/>
                          </w:tcPr>
                          <w:p w14:paraId="774CFCC4"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84" w:type="dxa"/>
                          </w:tcPr>
                          <w:p w14:paraId="5F89EFD3"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r>
                      <w:tr w:rsidR="00CE57F9" w:rsidRPr="00D15D1C" w14:paraId="78C376F6" w14:textId="77777777" w:rsidTr="00DA2751">
                        <w:trPr>
                          <w:trHeight w:hRule="exact" w:val="227"/>
                        </w:trPr>
                        <w:tc>
                          <w:tcPr>
                            <w:tcW w:w="426" w:type="dxa"/>
                            <w:shd w:val="clear" w:color="auto" w:fill="auto"/>
                          </w:tcPr>
                          <w:p w14:paraId="40C250D2"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10</w:t>
                            </w:r>
                          </w:p>
                        </w:tc>
                        <w:tc>
                          <w:tcPr>
                            <w:tcW w:w="1735" w:type="dxa"/>
                            <w:shd w:val="clear" w:color="auto" w:fill="auto"/>
                          </w:tcPr>
                          <w:p w14:paraId="79A3645F"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彰化斷層</w:t>
                            </w:r>
                          </w:p>
                        </w:tc>
                        <w:tc>
                          <w:tcPr>
                            <w:tcW w:w="314" w:type="dxa"/>
                            <w:shd w:val="clear" w:color="auto" w:fill="auto"/>
                          </w:tcPr>
                          <w:p w14:paraId="0C4E99C9"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一</w:t>
                            </w:r>
                          </w:p>
                        </w:tc>
                        <w:tc>
                          <w:tcPr>
                            <w:tcW w:w="786" w:type="dxa"/>
                            <w:shd w:val="clear" w:color="auto" w:fill="auto"/>
                          </w:tcPr>
                          <w:p w14:paraId="3E6E5E81" w14:textId="0ABD97DD" w:rsidR="00CE57F9" w:rsidRPr="00D15D1C" w:rsidRDefault="00CE57F9" w:rsidP="006A1D28">
                            <w:pPr>
                              <w:spacing w:line="200" w:lineRule="exact"/>
                              <w:jc w:val="center"/>
                              <w:rPr>
                                <w:rFonts w:ascii="標楷體" w:eastAsia="標楷體" w:hAnsi="標楷體" w:cs="Arial"/>
                                <w:sz w:val="20"/>
                                <w:shd w:val="clear" w:color="auto" w:fill="FFFFFF"/>
                              </w:rPr>
                            </w:pPr>
                            <w:r w:rsidRPr="00AE28DF">
                              <w:rPr>
                                <w:rFonts w:ascii="標楷體" w:eastAsia="標楷體" w:hAnsi="標楷體" w:hint="eastAsia"/>
                                <w:sz w:val="20"/>
                              </w:rPr>
                              <w:sym w:font="Wingdings 2" w:char="F050"/>
                            </w:r>
                          </w:p>
                        </w:tc>
                        <w:tc>
                          <w:tcPr>
                            <w:tcW w:w="708" w:type="dxa"/>
                            <w:shd w:val="clear" w:color="auto" w:fill="auto"/>
                          </w:tcPr>
                          <w:p w14:paraId="2B2C5454" w14:textId="2677BA7A" w:rsidR="00CE57F9" w:rsidRPr="00D15D1C" w:rsidRDefault="00CE57F9" w:rsidP="006A1D28">
                            <w:pPr>
                              <w:spacing w:line="200" w:lineRule="exact"/>
                              <w:jc w:val="center"/>
                              <w:rPr>
                                <w:rFonts w:ascii="標楷體" w:eastAsia="標楷體" w:hAnsi="標楷體" w:cs="Arial"/>
                                <w:sz w:val="20"/>
                                <w:shd w:val="clear" w:color="auto" w:fill="FFFFFF"/>
                              </w:rPr>
                            </w:pPr>
                            <w:r w:rsidRPr="005A6F59">
                              <w:rPr>
                                <w:rFonts w:ascii="標楷體" w:eastAsia="標楷體" w:hAnsi="標楷體" w:hint="eastAsia"/>
                                <w:sz w:val="20"/>
                              </w:rPr>
                              <w:sym w:font="Wingdings 2" w:char="F050"/>
                            </w:r>
                          </w:p>
                        </w:tc>
                        <w:tc>
                          <w:tcPr>
                            <w:tcW w:w="993" w:type="dxa"/>
                            <w:shd w:val="clear" w:color="auto" w:fill="auto"/>
                          </w:tcPr>
                          <w:p w14:paraId="5EABEFB5"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141" w:type="dxa"/>
                            <w:tcBorders>
                              <w:top w:val="nil"/>
                              <w:bottom w:val="nil"/>
                            </w:tcBorders>
                          </w:tcPr>
                          <w:p w14:paraId="0517E0C1"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0015F21B"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28</w:t>
                            </w:r>
                          </w:p>
                        </w:tc>
                        <w:tc>
                          <w:tcPr>
                            <w:tcW w:w="1559" w:type="dxa"/>
                          </w:tcPr>
                          <w:p w14:paraId="64F5ACCE"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恆春斷層</w:t>
                            </w:r>
                          </w:p>
                        </w:tc>
                        <w:tc>
                          <w:tcPr>
                            <w:tcW w:w="425" w:type="dxa"/>
                          </w:tcPr>
                          <w:p w14:paraId="3FF3411D"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二</w:t>
                            </w:r>
                          </w:p>
                        </w:tc>
                        <w:tc>
                          <w:tcPr>
                            <w:tcW w:w="709" w:type="dxa"/>
                          </w:tcPr>
                          <w:p w14:paraId="7215DAB0"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9" w:type="dxa"/>
                          </w:tcPr>
                          <w:p w14:paraId="4B737405"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84" w:type="dxa"/>
                          </w:tcPr>
                          <w:p w14:paraId="2736B4D1"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r>
                      <w:tr w:rsidR="00CE57F9" w:rsidRPr="00D15D1C" w14:paraId="2D7758A6" w14:textId="77777777" w:rsidTr="00DA2751">
                        <w:trPr>
                          <w:trHeight w:hRule="exact" w:val="227"/>
                        </w:trPr>
                        <w:tc>
                          <w:tcPr>
                            <w:tcW w:w="426" w:type="dxa"/>
                            <w:shd w:val="clear" w:color="auto" w:fill="auto"/>
                          </w:tcPr>
                          <w:p w14:paraId="7DB7AEAE"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11</w:t>
                            </w:r>
                          </w:p>
                        </w:tc>
                        <w:tc>
                          <w:tcPr>
                            <w:tcW w:w="1735" w:type="dxa"/>
                            <w:shd w:val="clear" w:color="auto" w:fill="auto"/>
                          </w:tcPr>
                          <w:p w14:paraId="0AB53809"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車籠埔斷層</w:t>
                            </w:r>
                          </w:p>
                        </w:tc>
                        <w:tc>
                          <w:tcPr>
                            <w:tcW w:w="314" w:type="dxa"/>
                            <w:shd w:val="clear" w:color="auto" w:fill="auto"/>
                          </w:tcPr>
                          <w:p w14:paraId="65335742"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一</w:t>
                            </w:r>
                          </w:p>
                        </w:tc>
                        <w:tc>
                          <w:tcPr>
                            <w:tcW w:w="786" w:type="dxa"/>
                            <w:shd w:val="clear" w:color="auto" w:fill="auto"/>
                          </w:tcPr>
                          <w:p w14:paraId="7DA75C55" w14:textId="5A398ED8" w:rsidR="00CE57F9" w:rsidRPr="00D15D1C" w:rsidRDefault="00CE57F9" w:rsidP="006A1D28">
                            <w:pPr>
                              <w:spacing w:line="200" w:lineRule="exact"/>
                              <w:jc w:val="center"/>
                              <w:rPr>
                                <w:rFonts w:ascii="標楷體" w:eastAsia="標楷體" w:hAnsi="標楷體" w:cs="Arial"/>
                                <w:sz w:val="20"/>
                                <w:shd w:val="clear" w:color="auto" w:fill="FFFFFF"/>
                              </w:rPr>
                            </w:pPr>
                            <w:r w:rsidRPr="00AE28DF">
                              <w:rPr>
                                <w:rFonts w:ascii="標楷體" w:eastAsia="標楷體" w:hAnsi="標楷體" w:hint="eastAsia"/>
                                <w:sz w:val="20"/>
                              </w:rPr>
                              <w:sym w:font="Wingdings 2" w:char="F050"/>
                            </w:r>
                          </w:p>
                        </w:tc>
                        <w:tc>
                          <w:tcPr>
                            <w:tcW w:w="708" w:type="dxa"/>
                            <w:shd w:val="clear" w:color="auto" w:fill="auto"/>
                          </w:tcPr>
                          <w:p w14:paraId="188E3586" w14:textId="6D29DAF8" w:rsidR="00CE57F9" w:rsidRPr="00D15D1C" w:rsidRDefault="00CE57F9" w:rsidP="006A1D28">
                            <w:pPr>
                              <w:spacing w:line="200" w:lineRule="exact"/>
                              <w:jc w:val="center"/>
                              <w:rPr>
                                <w:rFonts w:ascii="標楷體" w:eastAsia="標楷體" w:hAnsi="標楷體" w:cs="Arial"/>
                                <w:sz w:val="20"/>
                                <w:shd w:val="clear" w:color="auto" w:fill="FFFFFF"/>
                              </w:rPr>
                            </w:pPr>
                            <w:r w:rsidRPr="005A6F59">
                              <w:rPr>
                                <w:rFonts w:ascii="標楷體" w:eastAsia="標楷體" w:hAnsi="標楷體" w:hint="eastAsia"/>
                                <w:sz w:val="20"/>
                              </w:rPr>
                              <w:sym w:font="Wingdings 2" w:char="F050"/>
                            </w:r>
                          </w:p>
                        </w:tc>
                        <w:tc>
                          <w:tcPr>
                            <w:tcW w:w="993" w:type="dxa"/>
                            <w:shd w:val="clear" w:color="auto" w:fill="auto"/>
                          </w:tcPr>
                          <w:p w14:paraId="22A806E9" w14:textId="79C24883"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141" w:type="dxa"/>
                            <w:tcBorders>
                              <w:top w:val="nil"/>
                              <w:bottom w:val="nil"/>
                            </w:tcBorders>
                          </w:tcPr>
                          <w:p w14:paraId="231DD916"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4B1DDC8F"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29</w:t>
                            </w:r>
                          </w:p>
                        </w:tc>
                        <w:tc>
                          <w:tcPr>
                            <w:tcW w:w="1559" w:type="dxa"/>
                          </w:tcPr>
                          <w:p w14:paraId="53A3434C"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米崙斷層</w:t>
                            </w:r>
                          </w:p>
                        </w:tc>
                        <w:tc>
                          <w:tcPr>
                            <w:tcW w:w="425" w:type="dxa"/>
                          </w:tcPr>
                          <w:p w14:paraId="3959A349"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一</w:t>
                            </w:r>
                          </w:p>
                        </w:tc>
                        <w:tc>
                          <w:tcPr>
                            <w:tcW w:w="709" w:type="dxa"/>
                          </w:tcPr>
                          <w:p w14:paraId="3ED9F7D8" w14:textId="2D64C380"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709" w:type="dxa"/>
                          </w:tcPr>
                          <w:p w14:paraId="4B05E885" w14:textId="0DACCD5C" w:rsidR="00CE57F9" w:rsidRPr="00D15D1C" w:rsidRDefault="00CE57F9" w:rsidP="006A1D28">
                            <w:pPr>
                              <w:spacing w:line="200" w:lineRule="exact"/>
                              <w:jc w:val="center"/>
                              <w:rPr>
                                <w:rFonts w:ascii="標楷體" w:eastAsia="標楷體" w:hAnsi="標楷體" w:cs="Arial"/>
                                <w:sz w:val="20"/>
                                <w:shd w:val="clear" w:color="auto" w:fill="FFFFFF"/>
                              </w:rPr>
                            </w:pPr>
                            <w:r w:rsidRPr="003757D6">
                              <w:rPr>
                                <w:rFonts w:ascii="標楷體" w:eastAsia="標楷體" w:hAnsi="標楷體" w:hint="eastAsia"/>
                                <w:sz w:val="20"/>
                              </w:rPr>
                              <w:sym w:font="Wingdings 2" w:char="F050"/>
                            </w:r>
                          </w:p>
                        </w:tc>
                        <w:tc>
                          <w:tcPr>
                            <w:tcW w:w="984" w:type="dxa"/>
                          </w:tcPr>
                          <w:p w14:paraId="3CB601FF" w14:textId="394EFD51" w:rsidR="00CE57F9" w:rsidRPr="00D15D1C" w:rsidRDefault="00CE57F9" w:rsidP="006A1D28">
                            <w:pPr>
                              <w:spacing w:line="200" w:lineRule="exact"/>
                              <w:jc w:val="center"/>
                              <w:rPr>
                                <w:rFonts w:ascii="標楷體" w:eastAsia="標楷體" w:hAnsi="標楷體" w:cs="Arial"/>
                                <w:sz w:val="20"/>
                                <w:shd w:val="clear" w:color="auto" w:fill="FFFFFF"/>
                              </w:rPr>
                            </w:pPr>
                            <w:r w:rsidRPr="000E29F9">
                              <w:rPr>
                                <w:rFonts w:ascii="標楷體" w:eastAsia="標楷體" w:hAnsi="標楷體" w:hint="eastAsia"/>
                                <w:sz w:val="20"/>
                              </w:rPr>
                              <w:sym w:font="Wingdings 2" w:char="F050"/>
                            </w:r>
                          </w:p>
                        </w:tc>
                      </w:tr>
                      <w:tr w:rsidR="00CE57F9" w:rsidRPr="00D15D1C" w14:paraId="11A8201E" w14:textId="77777777" w:rsidTr="00DA2751">
                        <w:trPr>
                          <w:trHeight w:hRule="exact" w:val="227"/>
                        </w:trPr>
                        <w:tc>
                          <w:tcPr>
                            <w:tcW w:w="426" w:type="dxa"/>
                            <w:shd w:val="clear" w:color="auto" w:fill="auto"/>
                          </w:tcPr>
                          <w:p w14:paraId="569096F2"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12</w:t>
                            </w:r>
                          </w:p>
                        </w:tc>
                        <w:tc>
                          <w:tcPr>
                            <w:tcW w:w="1735" w:type="dxa"/>
                            <w:shd w:val="clear" w:color="auto" w:fill="auto"/>
                          </w:tcPr>
                          <w:p w14:paraId="03FB9610"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大茅埔－雙冬斷層</w:t>
                            </w:r>
                          </w:p>
                        </w:tc>
                        <w:tc>
                          <w:tcPr>
                            <w:tcW w:w="314" w:type="dxa"/>
                            <w:shd w:val="clear" w:color="auto" w:fill="auto"/>
                          </w:tcPr>
                          <w:p w14:paraId="65B8969D"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一</w:t>
                            </w:r>
                          </w:p>
                        </w:tc>
                        <w:tc>
                          <w:tcPr>
                            <w:tcW w:w="786" w:type="dxa"/>
                            <w:shd w:val="clear" w:color="auto" w:fill="auto"/>
                          </w:tcPr>
                          <w:p w14:paraId="7576E4B7"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8" w:type="dxa"/>
                            <w:shd w:val="clear" w:color="auto" w:fill="auto"/>
                          </w:tcPr>
                          <w:p w14:paraId="6D313EF5" w14:textId="2658DD6D" w:rsidR="00CE57F9" w:rsidRPr="00D15D1C" w:rsidRDefault="00CE57F9" w:rsidP="006A1D28">
                            <w:pPr>
                              <w:spacing w:line="200" w:lineRule="exact"/>
                              <w:jc w:val="center"/>
                              <w:rPr>
                                <w:rFonts w:ascii="標楷體" w:eastAsia="標楷體" w:hAnsi="標楷體" w:cs="Arial"/>
                                <w:sz w:val="20"/>
                                <w:shd w:val="clear" w:color="auto" w:fill="FFFFFF"/>
                              </w:rPr>
                            </w:pPr>
                            <w:r w:rsidRPr="005A6F59">
                              <w:rPr>
                                <w:rFonts w:ascii="標楷體" w:eastAsia="標楷體" w:hAnsi="標楷體" w:hint="eastAsia"/>
                                <w:sz w:val="20"/>
                              </w:rPr>
                              <w:sym w:font="Wingdings 2" w:char="F050"/>
                            </w:r>
                          </w:p>
                        </w:tc>
                        <w:tc>
                          <w:tcPr>
                            <w:tcW w:w="993" w:type="dxa"/>
                            <w:shd w:val="clear" w:color="auto" w:fill="auto"/>
                          </w:tcPr>
                          <w:p w14:paraId="15492E39"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141" w:type="dxa"/>
                            <w:tcBorders>
                              <w:top w:val="nil"/>
                              <w:bottom w:val="nil"/>
                            </w:tcBorders>
                          </w:tcPr>
                          <w:p w14:paraId="337F05DE"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2B10E23A"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30</w:t>
                            </w:r>
                          </w:p>
                        </w:tc>
                        <w:tc>
                          <w:tcPr>
                            <w:tcW w:w="1559" w:type="dxa"/>
                          </w:tcPr>
                          <w:p w14:paraId="41C396F9"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嶺頂斷層</w:t>
                            </w:r>
                          </w:p>
                        </w:tc>
                        <w:tc>
                          <w:tcPr>
                            <w:tcW w:w="425" w:type="dxa"/>
                          </w:tcPr>
                          <w:p w14:paraId="0783A860"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二</w:t>
                            </w:r>
                          </w:p>
                        </w:tc>
                        <w:tc>
                          <w:tcPr>
                            <w:tcW w:w="709" w:type="dxa"/>
                          </w:tcPr>
                          <w:p w14:paraId="60DF1D26"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9" w:type="dxa"/>
                          </w:tcPr>
                          <w:p w14:paraId="6A6E366F" w14:textId="3A335FA3" w:rsidR="00CE57F9" w:rsidRPr="00D15D1C" w:rsidRDefault="00CE57F9" w:rsidP="006A1D28">
                            <w:pPr>
                              <w:spacing w:line="200" w:lineRule="exact"/>
                              <w:jc w:val="center"/>
                              <w:rPr>
                                <w:rFonts w:ascii="標楷體" w:eastAsia="標楷體" w:hAnsi="標楷體" w:cs="Arial"/>
                                <w:sz w:val="20"/>
                                <w:shd w:val="clear" w:color="auto" w:fill="FFFFFF"/>
                              </w:rPr>
                            </w:pPr>
                            <w:r w:rsidRPr="003757D6">
                              <w:rPr>
                                <w:rFonts w:ascii="標楷體" w:eastAsia="標楷體" w:hAnsi="標楷體" w:hint="eastAsia"/>
                                <w:sz w:val="20"/>
                              </w:rPr>
                              <w:sym w:font="Wingdings 2" w:char="F050"/>
                            </w:r>
                          </w:p>
                        </w:tc>
                        <w:tc>
                          <w:tcPr>
                            <w:tcW w:w="984" w:type="dxa"/>
                          </w:tcPr>
                          <w:p w14:paraId="212B354A" w14:textId="5FE8BD2A" w:rsidR="00CE57F9" w:rsidRPr="00D15D1C" w:rsidRDefault="00CE57F9" w:rsidP="006A1D28">
                            <w:pPr>
                              <w:spacing w:line="200" w:lineRule="exact"/>
                              <w:jc w:val="center"/>
                              <w:rPr>
                                <w:rFonts w:ascii="標楷體" w:eastAsia="標楷體" w:hAnsi="標楷體" w:cs="Arial"/>
                                <w:sz w:val="20"/>
                                <w:shd w:val="clear" w:color="auto" w:fill="FFFFFF"/>
                              </w:rPr>
                            </w:pPr>
                            <w:r w:rsidRPr="000E29F9">
                              <w:rPr>
                                <w:rFonts w:ascii="標楷體" w:eastAsia="標楷體" w:hAnsi="標楷體" w:hint="eastAsia"/>
                                <w:sz w:val="20"/>
                              </w:rPr>
                              <w:sym w:font="Wingdings 2" w:char="F050"/>
                            </w:r>
                          </w:p>
                        </w:tc>
                      </w:tr>
                      <w:tr w:rsidR="00CE57F9" w:rsidRPr="00D15D1C" w14:paraId="32C82E30" w14:textId="77777777" w:rsidTr="00DA2751">
                        <w:trPr>
                          <w:trHeight w:hRule="exact" w:val="227"/>
                        </w:trPr>
                        <w:tc>
                          <w:tcPr>
                            <w:tcW w:w="426" w:type="dxa"/>
                            <w:shd w:val="clear" w:color="auto" w:fill="auto"/>
                          </w:tcPr>
                          <w:p w14:paraId="79E4D644"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13</w:t>
                            </w:r>
                          </w:p>
                        </w:tc>
                        <w:tc>
                          <w:tcPr>
                            <w:tcW w:w="1735" w:type="dxa"/>
                            <w:shd w:val="clear" w:color="auto" w:fill="auto"/>
                          </w:tcPr>
                          <w:p w14:paraId="5AFCF7D2"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初鄉斷層</w:t>
                            </w:r>
                          </w:p>
                        </w:tc>
                        <w:tc>
                          <w:tcPr>
                            <w:tcW w:w="314" w:type="dxa"/>
                            <w:shd w:val="clear" w:color="auto" w:fill="auto"/>
                          </w:tcPr>
                          <w:p w14:paraId="35BC1CB7"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二</w:t>
                            </w:r>
                          </w:p>
                        </w:tc>
                        <w:tc>
                          <w:tcPr>
                            <w:tcW w:w="786" w:type="dxa"/>
                            <w:shd w:val="clear" w:color="auto" w:fill="auto"/>
                          </w:tcPr>
                          <w:p w14:paraId="0CA661C4"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8" w:type="dxa"/>
                            <w:shd w:val="clear" w:color="auto" w:fill="auto"/>
                          </w:tcPr>
                          <w:p w14:paraId="6601420A"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93" w:type="dxa"/>
                            <w:shd w:val="clear" w:color="auto" w:fill="auto"/>
                          </w:tcPr>
                          <w:p w14:paraId="594F6F6B"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141" w:type="dxa"/>
                            <w:tcBorders>
                              <w:top w:val="nil"/>
                              <w:bottom w:val="nil"/>
                            </w:tcBorders>
                          </w:tcPr>
                          <w:p w14:paraId="57724A64"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569CB518"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31</w:t>
                            </w:r>
                          </w:p>
                        </w:tc>
                        <w:tc>
                          <w:tcPr>
                            <w:tcW w:w="1559" w:type="dxa"/>
                          </w:tcPr>
                          <w:p w14:paraId="54DC4098"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瑞穗斷層</w:t>
                            </w:r>
                          </w:p>
                        </w:tc>
                        <w:tc>
                          <w:tcPr>
                            <w:tcW w:w="425" w:type="dxa"/>
                          </w:tcPr>
                          <w:p w14:paraId="20A6F01F"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一</w:t>
                            </w:r>
                          </w:p>
                        </w:tc>
                        <w:tc>
                          <w:tcPr>
                            <w:tcW w:w="709" w:type="dxa"/>
                          </w:tcPr>
                          <w:p w14:paraId="3F569420"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9" w:type="dxa"/>
                          </w:tcPr>
                          <w:p w14:paraId="777D78AC" w14:textId="7EADE300" w:rsidR="00CE57F9" w:rsidRPr="00D15D1C" w:rsidRDefault="00CE57F9" w:rsidP="006A1D28">
                            <w:pPr>
                              <w:spacing w:line="200" w:lineRule="exact"/>
                              <w:jc w:val="center"/>
                              <w:rPr>
                                <w:rFonts w:ascii="標楷體" w:eastAsia="標楷體" w:hAnsi="標楷體" w:cs="Arial"/>
                                <w:sz w:val="20"/>
                                <w:shd w:val="clear" w:color="auto" w:fill="FFFFFF"/>
                              </w:rPr>
                            </w:pPr>
                            <w:r w:rsidRPr="003757D6">
                              <w:rPr>
                                <w:rFonts w:ascii="標楷體" w:eastAsia="標楷體" w:hAnsi="標楷體" w:hint="eastAsia"/>
                                <w:sz w:val="20"/>
                              </w:rPr>
                              <w:sym w:font="Wingdings 2" w:char="F050"/>
                            </w:r>
                          </w:p>
                        </w:tc>
                        <w:tc>
                          <w:tcPr>
                            <w:tcW w:w="984" w:type="dxa"/>
                          </w:tcPr>
                          <w:p w14:paraId="238B51A7" w14:textId="6FEA62AB" w:rsidR="00CE57F9" w:rsidRPr="00D15D1C" w:rsidRDefault="00CE57F9" w:rsidP="006A1D28">
                            <w:pPr>
                              <w:spacing w:line="200" w:lineRule="exact"/>
                              <w:jc w:val="center"/>
                              <w:rPr>
                                <w:rFonts w:ascii="標楷體" w:eastAsia="標楷體" w:hAnsi="標楷體" w:cs="Arial"/>
                                <w:sz w:val="20"/>
                                <w:shd w:val="clear" w:color="auto" w:fill="FFFFFF"/>
                              </w:rPr>
                            </w:pPr>
                            <w:r w:rsidRPr="000E29F9">
                              <w:rPr>
                                <w:rFonts w:ascii="標楷體" w:eastAsia="標楷體" w:hAnsi="標楷體" w:hint="eastAsia"/>
                                <w:sz w:val="20"/>
                              </w:rPr>
                              <w:sym w:font="Wingdings 2" w:char="F050"/>
                            </w:r>
                          </w:p>
                        </w:tc>
                      </w:tr>
                      <w:tr w:rsidR="00CE57F9" w:rsidRPr="00D15D1C" w14:paraId="4AD94E1F" w14:textId="77777777" w:rsidTr="00DA2751">
                        <w:trPr>
                          <w:trHeight w:hRule="exact" w:val="227"/>
                        </w:trPr>
                        <w:tc>
                          <w:tcPr>
                            <w:tcW w:w="426" w:type="dxa"/>
                            <w:shd w:val="clear" w:color="auto" w:fill="auto"/>
                          </w:tcPr>
                          <w:p w14:paraId="44A0BBF5"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14</w:t>
                            </w:r>
                          </w:p>
                        </w:tc>
                        <w:tc>
                          <w:tcPr>
                            <w:tcW w:w="1735" w:type="dxa"/>
                            <w:shd w:val="clear" w:color="auto" w:fill="auto"/>
                          </w:tcPr>
                          <w:p w14:paraId="65577BA5"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九芎坑斷層</w:t>
                            </w:r>
                          </w:p>
                        </w:tc>
                        <w:tc>
                          <w:tcPr>
                            <w:tcW w:w="314" w:type="dxa"/>
                            <w:shd w:val="clear" w:color="auto" w:fill="auto"/>
                          </w:tcPr>
                          <w:p w14:paraId="682F5A61"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二</w:t>
                            </w:r>
                          </w:p>
                        </w:tc>
                        <w:tc>
                          <w:tcPr>
                            <w:tcW w:w="786" w:type="dxa"/>
                            <w:shd w:val="clear" w:color="auto" w:fill="auto"/>
                          </w:tcPr>
                          <w:p w14:paraId="7BAB3B96" w14:textId="0DD83B13" w:rsidR="00CE57F9" w:rsidRPr="00D15D1C" w:rsidRDefault="00CE57F9" w:rsidP="006A1D28">
                            <w:pPr>
                              <w:spacing w:line="200" w:lineRule="exact"/>
                              <w:jc w:val="center"/>
                              <w:rPr>
                                <w:rFonts w:ascii="標楷體" w:eastAsia="標楷體" w:hAnsi="標楷體" w:cs="Arial"/>
                                <w:sz w:val="20"/>
                                <w:shd w:val="clear" w:color="auto" w:fill="FFFFFF"/>
                              </w:rPr>
                            </w:pPr>
                            <w:r w:rsidRPr="00CA7525">
                              <w:rPr>
                                <w:rFonts w:ascii="標楷體" w:eastAsia="標楷體" w:hAnsi="標楷體" w:hint="eastAsia"/>
                                <w:sz w:val="20"/>
                              </w:rPr>
                              <w:sym w:font="Wingdings 2" w:char="F050"/>
                            </w:r>
                          </w:p>
                        </w:tc>
                        <w:tc>
                          <w:tcPr>
                            <w:tcW w:w="708" w:type="dxa"/>
                            <w:shd w:val="clear" w:color="auto" w:fill="auto"/>
                          </w:tcPr>
                          <w:p w14:paraId="7319EF76"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93" w:type="dxa"/>
                            <w:shd w:val="clear" w:color="auto" w:fill="auto"/>
                          </w:tcPr>
                          <w:p w14:paraId="45047961" w14:textId="3B5F129B" w:rsidR="00CE57F9" w:rsidRPr="00D15D1C" w:rsidRDefault="00CE57F9" w:rsidP="006A1D28">
                            <w:pPr>
                              <w:spacing w:line="200" w:lineRule="exact"/>
                              <w:jc w:val="center"/>
                              <w:rPr>
                                <w:rFonts w:ascii="標楷體" w:eastAsia="標楷體" w:hAnsi="標楷體" w:cs="Arial"/>
                                <w:sz w:val="20"/>
                                <w:shd w:val="clear" w:color="auto" w:fill="FFFFFF"/>
                              </w:rPr>
                            </w:pPr>
                            <w:r w:rsidRPr="009C3FFC">
                              <w:rPr>
                                <w:rFonts w:ascii="標楷體" w:eastAsia="標楷體" w:hAnsi="標楷體" w:hint="eastAsia"/>
                                <w:sz w:val="20"/>
                              </w:rPr>
                              <w:sym w:font="Wingdings 2" w:char="F050"/>
                            </w:r>
                          </w:p>
                        </w:tc>
                        <w:tc>
                          <w:tcPr>
                            <w:tcW w:w="141" w:type="dxa"/>
                            <w:tcBorders>
                              <w:top w:val="nil"/>
                              <w:bottom w:val="nil"/>
                            </w:tcBorders>
                          </w:tcPr>
                          <w:p w14:paraId="57B14D49"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47EEDB8F"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32</w:t>
                            </w:r>
                          </w:p>
                        </w:tc>
                        <w:tc>
                          <w:tcPr>
                            <w:tcW w:w="1559" w:type="dxa"/>
                          </w:tcPr>
                          <w:p w14:paraId="3169E853"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奇美斷層</w:t>
                            </w:r>
                          </w:p>
                        </w:tc>
                        <w:tc>
                          <w:tcPr>
                            <w:tcW w:w="425" w:type="dxa"/>
                          </w:tcPr>
                          <w:p w14:paraId="470276CB"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二</w:t>
                            </w:r>
                          </w:p>
                        </w:tc>
                        <w:tc>
                          <w:tcPr>
                            <w:tcW w:w="709" w:type="dxa"/>
                          </w:tcPr>
                          <w:p w14:paraId="44941DE4" w14:textId="4959A1D2" w:rsidR="00CE57F9" w:rsidRPr="00D15D1C" w:rsidRDefault="00CE57F9" w:rsidP="006A1D28">
                            <w:pPr>
                              <w:spacing w:line="200" w:lineRule="exact"/>
                              <w:jc w:val="center"/>
                              <w:rPr>
                                <w:rFonts w:ascii="標楷體" w:eastAsia="標楷體" w:hAnsi="標楷體" w:cs="Arial"/>
                                <w:sz w:val="20"/>
                                <w:shd w:val="clear" w:color="auto" w:fill="FFFFFF"/>
                              </w:rPr>
                            </w:pPr>
                            <w:r w:rsidRPr="002374CA">
                              <w:rPr>
                                <w:rFonts w:ascii="標楷體" w:eastAsia="標楷體" w:hAnsi="標楷體" w:hint="eastAsia"/>
                                <w:sz w:val="20"/>
                              </w:rPr>
                              <w:sym w:font="Wingdings 2" w:char="F050"/>
                            </w:r>
                          </w:p>
                        </w:tc>
                        <w:tc>
                          <w:tcPr>
                            <w:tcW w:w="709" w:type="dxa"/>
                          </w:tcPr>
                          <w:p w14:paraId="014B8CFF"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84" w:type="dxa"/>
                          </w:tcPr>
                          <w:p w14:paraId="4A6CCBF5" w14:textId="0EA1C325" w:rsidR="00CE57F9" w:rsidRPr="00D15D1C" w:rsidRDefault="00CE57F9" w:rsidP="006A1D28">
                            <w:pPr>
                              <w:spacing w:line="200" w:lineRule="exact"/>
                              <w:jc w:val="center"/>
                              <w:rPr>
                                <w:rFonts w:ascii="標楷體" w:eastAsia="標楷體" w:hAnsi="標楷體" w:cs="Arial"/>
                                <w:sz w:val="20"/>
                                <w:shd w:val="clear" w:color="auto" w:fill="FFFFFF"/>
                              </w:rPr>
                            </w:pPr>
                            <w:r w:rsidRPr="000E29F9">
                              <w:rPr>
                                <w:rFonts w:ascii="標楷體" w:eastAsia="標楷體" w:hAnsi="標楷體" w:hint="eastAsia"/>
                                <w:sz w:val="20"/>
                              </w:rPr>
                              <w:sym w:font="Wingdings 2" w:char="F050"/>
                            </w:r>
                          </w:p>
                        </w:tc>
                      </w:tr>
                      <w:tr w:rsidR="00CE57F9" w:rsidRPr="00D15D1C" w14:paraId="063DD647" w14:textId="77777777" w:rsidTr="00DA2751">
                        <w:trPr>
                          <w:trHeight w:hRule="exact" w:val="227"/>
                        </w:trPr>
                        <w:tc>
                          <w:tcPr>
                            <w:tcW w:w="426" w:type="dxa"/>
                            <w:shd w:val="clear" w:color="auto" w:fill="auto"/>
                          </w:tcPr>
                          <w:p w14:paraId="0D96D195"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15</w:t>
                            </w:r>
                          </w:p>
                        </w:tc>
                        <w:tc>
                          <w:tcPr>
                            <w:tcW w:w="1735" w:type="dxa"/>
                            <w:shd w:val="clear" w:color="auto" w:fill="auto"/>
                          </w:tcPr>
                          <w:p w14:paraId="6DF2FE31"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梅山斷層</w:t>
                            </w:r>
                          </w:p>
                        </w:tc>
                        <w:tc>
                          <w:tcPr>
                            <w:tcW w:w="314" w:type="dxa"/>
                            <w:shd w:val="clear" w:color="auto" w:fill="auto"/>
                          </w:tcPr>
                          <w:p w14:paraId="1E0E9F6E"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一</w:t>
                            </w:r>
                          </w:p>
                        </w:tc>
                        <w:tc>
                          <w:tcPr>
                            <w:tcW w:w="786" w:type="dxa"/>
                            <w:shd w:val="clear" w:color="auto" w:fill="auto"/>
                          </w:tcPr>
                          <w:p w14:paraId="3206FBBB" w14:textId="6EC80B5A" w:rsidR="00CE57F9" w:rsidRPr="00D15D1C" w:rsidRDefault="00CE57F9" w:rsidP="006A1D28">
                            <w:pPr>
                              <w:spacing w:line="200" w:lineRule="exact"/>
                              <w:jc w:val="center"/>
                              <w:rPr>
                                <w:rFonts w:ascii="標楷體" w:eastAsia="標楷體" w:hAnsi="標楷體" w:cs="Arial"/>
                                <w:sz w:val="20"/>
                                <w:shd w:val="clear" w:color="auto" w:fill="FFFFFF"/>
                              </w:rPr>
                            </w:pPr>
                            <w:r w:rsidRPr="00CA7525">
                              <w:rPr>
                                <w:rFonts w:ascii="標楷體" w:eastAsia="標楷體" w:hAnsi="標楷體" w:hint="eastAsia"/>
                                <w:sz w:val="20"/>
                              </w:rPr>
                              <w:sym w:font="Wingdings 2" w:char="F050"/>
                            </w:r>
                          </w:p>
                        </w:tc>
                        <w:tc>
                          <w:tcPr>
                            <w:tcW w:w="708" w:type="dxa"/>
                            <w:shd w:val="clear" w:color="auto" w:fill="auto"/>
                          </w:tcPr>
                          <w:p w14:paraId="50F3F452" w14:textId="0B685C48" w:rsidR="00CE57F9" w:rsidRPr="00D15D1C" w:rsidRDefault="00CE57F9" w:rsidP="006A1D28">
                            <w:pPr>
                              <w:spacing w:line="200" w:lineRule="exact"/>
                              <w:jc w:val="center"/>
                              <w:rPr>
                                <w:rFonts w:ascii="標楷體" w:eastAsia="標楷體" w:hAnsi="標楷體" w:cs="Arial"/>
                                <w:sz w:val="20"/>
                                <w:shd w:val="clear" w:color="auto" w:fill="FFFFFF"/>
                              </w:rPr>
                            </w:pPr>
                            <w:r w:rsidRPr="000D33EE">
                              <w:rPr>
                                <w:rFonts w:ascii="標楷體" w:eastAsia="標楷體" w:hAnsi="標楷體" w:hint="eastAsia"/>
                                <w:sz w:val="20"/>
                              </w:rPr>
                              <w:sym w:font="Wingdings 2" w:char="F050"/>
                            </w:r>
                          </w:p>
                        </w:tc>
                        <w:tc>
                          <w:tcPr>
                            <w:tcW w:w="993" w:type="dxa"/>
                            <w:shd w:val="clear" w:color="auto" w:fill="auto"/>
                          </w:tcPr>
                          <w:p w14:paraId="39F0E141" w14:textId="3DA8EEE1" w:rsidR="00CE57F9" w:rsidRPr="00D15D1C" w:rsidRDefault="00CE57F9" w:rsidP="006A1D28">
                            <w:pPr>
                              <w:spacing w:line="200" w:lineRule="exact"/>
                              <w:jc w:val="center"/>
                              <w:rPr>
                                <w:rFonts w:ascii="標楷體" w:eastAsia="標楷體" w:hAnsi="標楷體" w:cs="Arial"/>
                                <w:sz w:val="20"/>
                                <w:shd w:val="clear" w:color="auto" w:fill="FFFFFF"/>
                              </w:rPr>
                            </w:pPr>
                            <w:r w:rsidRPr="009C3FFC">
                              <w:rPr>
                                <w:rFonts w:ascii="標楷體" w:eastAsia="標楷體" w:hAnsi="標楷體" w:hint="eastAsia"/>
                                <w:sz w:val="20"/>
                              </w:rPr>
                              <w:sym w:font="Wingdings 2" w:char="F050"/>
                            </w:r>
                          </w:p>
                        </w:tc>
                        <w:tc>
                          <w:tcPr>
                            <w:tcW w:w="141" w:type="dxa"/>
                            <w:tcBorders>
                              <w:top w:val="nil"/>
                              <w:bottom w:val="nil"/>
                            </w:tcBorders>
                          </w:tcPr>
                          <w:p w14:paraId="68FE50EE"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7F739DE3"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33</w:t>
                            </w:r>
                          </w:p>
                        </w:tc>
                        <w:tc>
                          <w:tcPr>
                            <w:tcW w:w="1559" w:type="dxa"/>
                          </w:tcPr>
                          <w:p w14:paraId="117D0F18"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玉里斷層</w:t>
                            </w:r>
                          </w:p>
                        </w:tc>
                        <w:tc>
                          <w:tcPr>
                            <w:tcW w:w="425" w:type="dxa"/>
                          </w:tcPr>
                          <w:p w14:paraId="05B8C87D"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一</w:t>
                            </w:r>
                          </w:p>
                        </w:tc>
                        <w:tc>
                          <w:tcPr>
                            <w:tcW w:w="709" w:type="dxa"/>
                          </w:tcPr>
                          <w:p w14:paraId="1CF022CD" w14:textId="14E0F479" w:rsidR="00CE57F9" w:rsidRPr="00D15D1C" w:rsidRDefault="00CE57F9" w:rsidP="006A1D28">
                            <w:pPr>
                              <w:spacing w:line="200" w:lineRule="exact"/>
                              <w:jc w:val="center"/>
                              <w:rPr>
                                <w:rFonts w:ascii="標楷體" w:eastAsia="標楷體" w:hAnsi="標楷體" w:cs="Arial"/>
                                <w:sz w:val="20"/>
                                <w:shd w:val="clear" w:color="auto" w:fill="FFFFFF"/>
                              </w:rPr>
                            </w:pPr>
                            <w:r w:rsidRPr="002374CA">
                              <w:rPr>
                                <w:rFonts w:ascii="標楷體" w:eastAsia="標楷體" w:hAnsi="標楷體" w:hint="eastAsia"/>
                                <w:sz w:val="20"/>
                              </w:rPr>
                              <w:sym w:font="Wingdings 2" w:char="F050"/>
                            </w:r>
                          </w:p>
                        </w:tc>
                        <w:tc>
                          <w:tcPr>
                            <w:tcW w:w="709" w:type="dxa"/>
                          </w:tcPr>
                          <w:p w14:paraId="4373DF93" w14:textId="150F8B6B" w:rsidR="00CE57F9" w:rsidRPr="00D15D1C" w:rsidRDefault="00CE57F9" w:rsidP="006A1D28">
                            <w:pPr>
                              <w:spacing w:line="200" w:lineRule="exact"/>
                              <w:jc w:val="center"/>
                              <w:rPr>
                                <w:rFonts w:ascii="標楷體" w:eastAsia="標楷體" w:hAnsi="標楷體" w:cs="Arial"/>
                                <w:sz w:val="20"/>
                                <w:shd w:val="clear" w:color="auto" w:fill="FFFFFF"/>
                              </w:rPr>
                            </w:pPr>
                            <w:r w:rsidRPr="006737F7">
                              <w:rPr>
                                <w:rFonts w:ascii="標楷體" w:eastAsia="標楷體" w:hAnsi="標楷體" w:hint="eastAsia"/>
                                <w:sz w:val="20"/>
                              </w:rPr>
                              <w:sym w:font="Wingdings 2" w:char="F050"/>
                            </w:r>
                          </w:p>
                        </w:tc>
                        <w:tc>
                          <w:tcPr>
                            <w:tcW w:w="984" w:type="dxa"/>
                          </w:tcPr>
                          <w:p w14:paraId="4F54E0B8"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r>
                      <w:tr w:rsidR="00CE57F9" w:rsidRPr="00D15D1C" w14:paraId="3C09A7A4" w14:textId="77777777" w:rsidTr="00DA2751">
                        <w:trPr>
                          <w:trHeight w:hRule="exact" w:val="227"/>
                        </w:trPr>
                        <w:tc>
                          <w:tcPr>
                            <w:tcW w:w="426" w:type="dxa"/>
                            <w:shd w:val="clear" w:color="auto" w:fill="auto"/>
                          </w:tcPr>
                          <w:p w14:paraId="0D5216B2"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16</w:t>
                            </w:r>
                          </w:p>
                        </w:tc>
                        <w:tc>
                          <w:tcPr>
                            <w:tcW w:w="1735" w:type="dxa"/>
                            <w:shd w:val="clear" w:color="auto" w:fill="auto"/>
                          </w:tcPr>
                          <w:p w14:paraId="213D6749" w14:textId="77777777" w:rsidR="00CE57F9" w:rsidRPr="00D15D1C" w:rsidRDefault="00CE57F9" w:rsidP="006A1D28">
                            <w:pPr>
                              <w:spacing w:line="200" w:lineRule="exact"/>
                              <w:rPr>
                                <w:rFonts w:ascii="標楷體" w:eastAsia="標楷體" w:hAnsi="標楷體" w:cs="Arial"/>
                                <w:sz w:val="20"/>
                                <w:shd w:val="clear" w:color="auto" w:fill="FFFFFF"/>
                              </w:rPr>
                            </w:pPr>
                            <w:r w:rsidRPr="00D15D1C">
                              <w:rPr>
                                <w:rFonts w:ascii="標楷體" w:eastAsia="標楷體" w:hAnsi="標楷體"/>
                                <w:sz w:val="20"/>
                              </w:rPr>
                              <w:t>大尖山斷層</w:t>
                            </w:r>
                          </w:p>
                        </w:tc>
                        <w:tc>
                          <w:tcPr>
                            <w:tcW w:w="314" w:type="dxa"/>
                            <w:shd w:val="clear" w:color="auto" w:fill="auto"/>
                          </w:tcPr>
                          <w:p w14:paraId="4BB00CF9"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sz w:val="20"/>
                              </w:rPr>
                              <w:t>一</w:t>
                            </w:r>
                          </w:p>
                        </w:tc>
                        <w:tc>
                          <w:tcPr>
                            <w:tcW w:w="786" w:type="dxa"/>
                            <w:shd w:val="clear" w:color="auto" w:fill="auto"/>
                          </w:tcPr>
                          <w:p w14:paraId="3BEE81CD"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8" w:type="dxa"/>
                            <w:shd w:val="clear" w:color="auto" w:fill="auto"/>
                          </w:tcPr>
                          <w:p w14:paraId="47F66B0A" w14:textId="106449F6" w:rsidR="00CE57F9" w:rsidRPr="00D15D1C" w:rsidRDefault="00CE57F9" w:rsidP="006A1D28">
                            <w:pPr>
                              <w:spacing w:line="200" w:lineRule="exact"/>
                              <w:jc w:val="center"/>
                              <w:rPr>
                                <w:rFonts w:ascii="標楷體" w:eastAsia="標楷體" w:hAnsi="標楷體" w:cs="Arial"/>
                                <w:sz w:val="20"/>
                                <w:shd w:val="clear" w:color="auto" w:fill="FFFFFF"/>
                              </w:rPr>
                            </w:pPr>
                            <w:r w:rsidRPr="000D33EE">
                              <w:rPr>
                                <w:rFonts w:ascii="標楷體" w:eastAsia="標楷體" w:hAnsi="標楷體" w:hint="eastAsia"/>
                                <w:sz w:val="20"/>
                              </w:rPr>
                              <w:sym w:font="Wingdings 2" w:char="F050"/>
                            </w:r>
                          </w:p>
                        </w:tc>
                        <w:tc>
                          <w:tcPr>
                            <w:tcW w:w="993" w:type="dxa"/>
                            <w:shd w:val="clear" w:color="auto" w:fill="auto"/>
                          </w:tcPr>
                          <w:p w14:paraId="5375491B" w14:textId="72761DC8" w:rsidR="00CE57F9" w:rsidRPr="00D15D1C" w:rsidRDefault="00CE57F9" w:rsidP="006A1D28">
                            <w:pPr>
                              <w:spacing w:line="200" w:lineRule="exact"/>
                              <w:jc w:val="center"/>
                              <w:rPr>
                                <w:rFonts w:ascii="標楷體" w:eastAsia="標楷體" w:hAnsi="標楷體" w:cs="Arial"/>
                                <w:sz w:val="20"/>
                                <w:shd w:val="clear" w:color="auto" w:fill="FFFFFF"/>
                              </w:rPr>
                            </w:pPr>
                            <w:r w:rsidRPr="009C3FFC">
                              <w:rPr>
                                <w:rFonts w:ascii="標楷體" w:eastAsia="標楷體" w:hAnsi="標楷體" w:hint="eastAsia"/>
                                <w:sz w:val="20"/>
                              </w:rPr>
                              <w:sym w:font="Wingdings 2" w:char="F050"/>
                            </w:r>
                          </w:p>
                        </w:tc>
                        <w:tc>
                          <w:tcPr>
                            <w:tcW w:w="141" w:type="dxa"/>
                            <w:tcBorders>
                              <w:top w:val="nil"/>
                              <w:bottom w:val="nil"/>
                            </w:tcBorders>
                          </w:tcPr>
                          <w:p w14:paraId="55826EEB"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07E60C9C"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34</w:t>
                            </w:r>
                          </w:p>
                        </w:tc>
                        <w:tc>
                          <w:tcPr>
                            <w:tcW w:w="1559" w:type="dxa"/>
                          </w:tcPr>
                          <w:p w14:paraId="1F7E6AFB"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池上斷層</w:t>
                            </w:r>
                          </w:p>
                        </w:tc>
                        <w:tc>
                          <w:tcPr>
                            <w:tcW w:w="425" w:type="dxa"/>
                          </w:tcPr>
                          <w:p w14:paraId="4FDADC66"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一</w:t>
                            </w:r>
                          </w:p>
                        </w:tc>
                        <w:tc>
                          <w:tcPr>
                            <w:tcW w:w="709" w:type="dxa"/>
                          </w:tcPr>
                          <w:p w14:paraId="1A461E42"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9" w:type="dxa"/>
                          </w:tcPr>
                          <w:p w14:paraId="0F037E5B" w14:textId="3861836F" w:rsidR="00CE57F9" w:rsidRPr="00D15D1C" w:rsidRDefault="00CE57F9" w:rsidP="006A1D28">
                            <w:pPr>
                              <w:spacing w:line="200" w:lineRule="exact"/>
                              <w:jc w:val="center"/>
                              <w:rPr>
                                <w:rFonts w:ascii="標楷體" w:eastAsia="標楷體" w:hAnsi="標楷體" w:cs="Arial"/>
                                <w:sz w:val="20"/>
                                <w:shd w:val="clear" w:color="auto" w:fill="FFFFFF"/>
                              </w:rPr>
                            </w:pPr>
                            <w:r w:rsidRPr="006737F7">
                              <w:rPr>
                                <w:rFonts w:ascii="標楷體" w:eastAsia="標楷體" w:hAnsi="標楷體" w:hint="eastAsia"/>
                                <w:sz w:val="20"/>
                              </w:rPr>
                              <w:sym w:font="Wingdings 2" w:char="F050"/>
                            </w:r>
                          </w:p>
                        </w:tc>
                        <w:tc>
                          <w:tcPr>
                            <w:tcW w:w="984" w:type="dxa"/>
                          </w:tcPr>
                          <w:p w14:paraId="14131B43" w14:textId="0FFC03E2" w:rsidR="00CE57F9" w:rsidRPr="00D15D1C" w:rsidRDefault="00CE57F9" w:rsidP="006A1D28">
                            <w:pPr>
                              <w:spacing w:line="200" w:lineRule="exact"/>
                              <w:jc w:val="center"/>
                              <w:rPr>
                                <w:rFonts w:ascii="標楷體" w:eastAsia="標楷體" w:hAnsi="標楷體" w:cs="Arial"/>
                                <w:sz w:val="20"/>
                                <w:shd w:val="clear" w:color="auto" w:fill="FFFFFF"/>
                              </w:rPr>
                            </w:pPr>
                            <w:r w:rsidRPr="0016614A">
                              <w:rPr>
                                <w:rFonts w:ascii="標楷體" w:eastAsia="標楷體" w:hAnsi="標楷體" w:hint="eastAsia"/>
                                <w:sz w:val="20"/>
                              </w:rPr>
                              <w:sym w:font="Wingdings 2" w:char="F050"/>
                            </w:r>
                          </w:p>
                        </w:tc>
                      </w:tr>
                      <w:tr w:rsidR="00CE57F9" w:rsidRPr="00D15D1C" w14:paraId="5D1FAA18" w14:textId="77777777" w:rsidTr="00DA2751">
                        <w:trPr>
                          <w:trHeight w:hRule="exact" w:val="227"/>
                        </w:trPr>
                        <w:tc>
                          <w:tcPr>
                            <w:tcW w:w="426" w:type="dxa"/>
                            <w:shd w:val="clear" w:color="auto" w:fill="auto"/>
                          </w:tcPr>
                          <w:p w14:paraId="5971114C"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17</w:t>
                            </w:r>
                          </w:p>
                        </w:tc>
                        <w:tc>
                          <w:tcPr>
                            <w:tcW w:w="1735" w:type="dxa"/>
                            <w:shd w:val="clear" w:color="auto" w:fill="auto"/>
                          </w:tcPr>
                          <w:p w14:paraId="61B17ED4"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木屐寮斷層</w:t>
                            </w:r>
                          </w:p>
                        </w:tc>
                        <w:tc>
                          <w:tcPr>
                            <w:tcW w:w="314" w:type="dxa"/>
                            <w:shd w:val="clear" w:color="auto" w:fill="auto"/>
                          </w:tcPr>
                          <w:p w14:paraId="715B6C45"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二</w:t>
                            </w:r>
                          </w:p>
                        </w:tc>
                        <w:tc>
                          <w:tcPr>
                            <w:tcW w:w="786" w:type="dxa"/>
                            <w:shd w:val="clear" w:color="auto" w:fill="auto"/>
                          </w:tcPr>
                          <w:p w14:paraId="5B558A6D"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708" w:type="dxa"/>
                            <w:shd w:val="clear" w:color="auto" w:fill="auto"/>
                          </w:tcPr>
                          <w:p w14:paraId="7BAC5F12"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993" w:type="dxa"/>
                            <w:shd w:val="clear" w:color="auto" w:fill="auto"/>
                          </w:tcPr>
                          <w:p w14:paraId="1EC82FD3"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141" w:type="dxa"/>
                            <w:tcBorders>
                              <w:top w:val="nil"/>
                              <w:bottom w:val="nil"/>
                            </w:tcBorders>
                          </w:tcPr>
                          <w:p w14:paraId="00DF75EB"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17BB57B2"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35</w:t>
                            </w:r>
                          </w:p>
                        </w:tc>
                        <w:tc>
                          <w:tcPr>
                            <w:tcW w:w="1559" w:type="dxa"/>
                          </w:tcPr>
                          <w:p w14:paraId="091FF84C"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鹿野斷層</w:t>
                            </w:r>
                          </w:p>
                        </w:tc>
                        <w:tc>
                          <w:tcPr>
                            <w:tcW w:w="425" w:type="dxa"/>
                          </w:tcPr>
                          <w:p w14:paraId="2A85362B"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一</w:t>
                            </w:r>
                          </w:p>
                        </w:tc>
                        <w:tc>
                          <w:tcPr>
                            <w:tcW w:w="709" w:type="dxa"/>
                          </w:tcPr>
                          <w:p w14:paraId="537BD471" w14:textId="522D9E50" w:rsidR="00CE57F9" w:rsidRPr="00D15D1C" w:rsidRDefault="00CE57F9" w:rsidP="006A1D28">
                            <w:pPr>
                              <w:spacing w:line="200" w:lineRule="exact"/>
                              <w:jc w:val="center"/>
                              <w:rPr>
                                <w:rFonts w:ascii="標楷體" w:eastAsia="標楷體" w:hAnsi="標楷體" w:cs="Arial"/>
                                <w:sz w:val="20"/>
                                <w:shd w:val="clear" w:color="auto" w:fill="FFFFFF"/>
                              </w:rPr>
                            </w:pPr>
                            <w:r w:rsidRPr="00565BDC">
                              <w:rPr>
                                <w:rFonts w:ascii="標楷體" w:eastAsia="標楷體" w:hAnsi="標楷體" w:hint="eastAsia"/>
                                <w:sz w:val="20"/>
                              </w:rPr>
                              <w:sym w:font="Wingdings 2" w:char="F050"/>
                            </w:r>
                          </w:p>
                        </w:tc>
                        <w:tc>
                          <w:tcPr>
                            <w:tcW w:w="709" w:type="dxa"/>
                          </w:tcPr>
                          <w:p w14:paraId="5091D9D0" w14:textId="3B1F3928" w:rsidR="00CE57F9" w:rsidRPr="00D15D1C" w:rsidRDefault="00CE57F9" w:rsidP="006A1D28">
                            <w:pPr>
                              <w:spacing w:line="200" w:lineRule="exact"/>
                              <w:jc w:val="center"/>
                              <w:rPr>
                                <w:rFonts w:ascii="標楷體" w:eastAsia="標楷體" w:hAnsi="標楷體" w:cs="Arial"/>
                                <w:sz w:val="20"/>
                                <w:shd w:val="clear" w:color="auto" w:fill="FFFFFF"/>
                              </w:rPr>
                            </w:pPr>
                            <w:r w:rsidRPr="006737F7">
                              <w:rPr>
                                <w:rFonts w:ascii="標楷體" w:eastAsia="標楷體" w:hAnsi="標楷體" w:hint="eastAsia"/>
                                <w:sz w:val="20"/>
                              </w:rPr>
                              <w:sym w:font="Wingdings 2" w:char="F050"/>
                            </w:r>
                          </w:p>
                        </w:tc>
                        <w:tc>
                          <w:tcPr>
                            <w:tcW w:w="984" w:type="dxa"/>
                          </w:tcPr>
                          <w:p w14:paraId="065DF228" w14:textId="37E0820F" w:rsidR="00CE57F9" w:rsidRPr="00D15D1C" w:rsidRDefault="00CE57F9" w:rsidP="006A1D28">
                            <w:pPr>
                              <w:spacing w:line="200" w:lineRule="exact"/>
                              <w:jc w:val="center"/>
                              <w:rPr>
                                <w:rFonts w:ascii="標楷體" w:eastAsia="標楷體" w:hAnsi="標楷體" w:cs="Arial"/>
                                <w:sz w:val="20"/>
                                <w:shd w:val="clear" w:color="auto" w:fill="FFFFFF"/>
                              </w:rPr>
                            </w:pPr>
                            <w:r w:rsidRPr="0016614A">
                              <w:rPr>
                                <w:rFonts w:ascii="標楷體" w:eastAsia="標楷體" w:hAnsi="標楷體" w:hint="eastAsia"/>
                                <w:sz w:val="20"/>
                              </w:rPr>
                              <w:sym w:font="Wingdings 2" w:char="F050"/>
                            </w:r>
                          </w:p>
                        </w:tc>
                      </w:tr>
                      <w:tr w:rsidR="00CE57F9" w:rsidRPr="00D15D1C" w14:paraId="70C6763C" w14:textId="77777777" w:rsidTr="00DA2751">
                        <w:trPr>
                          <w:trHeight w:hRule="exact" w:val="227"/>
                        </w:trPr>
                        <w:tc>
                          <w:tcPr>
                            <w:tcW w:w="426" w:type="dxa"/>
                            <w:shd w:val="clear" w:color="auto" w:fill="auto"/>
                          </w:tcPr>
                          <w:p w14:paraId="22CD3216"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18</w:t>
                            </w:r>
                          </w:p>
                        </w:tc>
                        <w:tc>
                          <w:tcPr>
                            <w:tcW w:w="1735" w:type="dxa"/>
                            <w:shd w:val="clear" w:color="auto" w:fill="auto"/>
                          </w:tcPr>
                          <w:p w14:paraId="350747E4"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六甲斷層</w:t>
                            </w:r>
                          </w:p>
                        </w:tc>
                        <w:tc>
                          <w:tcPr>
                            <w:tcW w:w="314" w:type="dxa"/>
                            <w:shd w:val="clear" w:color="auto" w:fill="auto"/>
                          </w:tcPr>
                          <w:p w14:paraId="735DBDC2"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一</w:t>
                            </w:r>
                          </w:p>
                        </w:tc>
                        <w:tc>
                          <w:tcPr>
                            <w:tcW w:w="786" w:type="dxa"/>
                            <w:shd w:val="clear" w:color="auto" w:fill="auto"/>
                          </w:tcPr>
                          <w:p w14:paraId="6E45A3B3" w14:textId="3AEA3AB6"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708" w:type="dxa"/>
                            <w:shd w:val="clear" w:color="auto" w:fill="auto"/>
                          </w:tcPr>
                          <w:p w14:paraId="00A5FD59" w14:textId="46DB39F9"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993" w:type="dxa"/>
                            <w:shd w:val="clear" w:color="auto" w:fill="auto"/>
                          </w:tcPr>
                          <w:p w14:paraId="7AF4E16C" w14:textId="634BE7D6" w:rsidR="00CE57F9" w:rsidRPr="00D15D1C" w:rsidRDefault="00CE57F9" w:rsidP="006A1D28">
                            <w:pPr>
                              <w:spacing w:line="200" w:lineRule="exact"/>
                              <w:jc w:val="center"/>
                              <w:rPr>
                                <w:rFonts w:ascii="標楷體" w:eastAsia="標楷體" w:hAnsi="標楷體" w:cs="Arial"/>
                                <w:sz w:val="20"/>
                                <w:shd w:val="clear" w:color="auto" w:fill="FFFFFF"/>
                              </w:rPr>
                            </w:pPr>
                            <w:r w:rsidRPr="00120502">
                              <w:rPr>
                                <w:rFonts w:ascii="標楷體" w:eastAsia="標楷體" w:hAnsi="標楷體" w:hint="eastAsia"/>
                                <w:sz w:val="20"/>
                              </w:rPr>
                              <w:sym w:font="Wingdings 2" w:char="F050"/>
                            </w:r>
                          </w:p>
                        </w:tc>
                        <w:tc>
                          <w:tcPr>
                            <w:tcW w:w="141" w:type="dxa"/>
                            <w:tcBorders>
                              <w:top w:val="nil"/>
                              <w:bottom w:val="nil"/>
                            </w:tcBorders>
                          </w:tcPr>
                          <w:p w14:paraId="1F78DEE1"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c>
                          <w:tcPr>
                            <w:tcW w:w="426" w:type="dxa"/>
                          </w:tcPr>
                          <w:p w14:paraId="7B0B194E" w14:textId="77777777" w:rsidR="00CE57F9" w:rsidRPr="00D15D1C" w:rsidRDefault="00CE57F9" w:rsidP="006A1D28">
                            <w:pPr>
                              <w:spacing w:line="200" w:lineRule="exact"/>
                              <w:jc w:val="center"/>
                              <w:rPr>
                                <w:rFonts w:ascii="標楷體" w:eastAsia="標楷體" w:hAnsi="標楷體" w:cs="Arial"/>
                                <w:sz w:val="20"/>
                                <w:shd w:val="clear" w:color="auto" w:fill="FFFFFF"/>
                              </w:rPr>
                            </w:pPr>
                            <w:r w:rsidRPr="00D15D1C">
                              <w:rPr>
                                <w:rFonts w:ascii="標楷體" w:eastAsia="標楷體" w:hAnsi="標楷體" w:cs="Arial" w:hint="eastAsia"/>
                                <w:sz w:val="20"/>
                                <w:shd w:val="clear" w:color="auto" w:fill="FFFFFF"/>
                              </w:rPr>
                              <w:t>36</w:t>
                            </w:r>
                          </w:p>
                        </w:tc>
                        <w:tc>
                          <w:tcPr>
                            <w:tcW w:w="1559" w:type="dxa"/>
                          </w:tcPr>
                          <w:p w14:paraId="73D6AEAF" w14:textId="77777777" w:rsidR="00CE57F9" w:rsidRPr="00D15D1C" w:rsidRDefault="00CE57F9" w:rsidP="006A1D28">
                            <w:pPr>
                              <w:spacing w:line="200" w:lineRule="exact"/>
                              <w:rPr>
                                <w:rFonts w:ascii="標楷體" w:eastAsia="標楷體" w:hAnsi="標楷體"/>
                                <w:sz w:val="20"/>
                              </w:rPr>
                            </w:pPr>
                            <w:r w:rsidRPr="00D15D1C">
                              <w:rPr>
                                <w:rFonts w:ascii="標楷體" w:eastAsia="標楷體" w:hAnsi="標楷體"/>
                                <w:sz w:val="20"/>
                              </w:rPr>
                              <w:t>利吉斷層</w:t>
                            </w:r>
                          </w:p>
                        </w:tc>
                        <w:tc>
                          <w:tcPr>
                            <w:tcW w:w="425" w:type="dxa"/>
                          </w:tcPr>
                          <w:p w14:paraId="0DF85867" w14:textId="77777777" w:rsidR="00CE57F9" w:rsidRPr="00D15D1C" w:rsidRDefault="00CE57F9" w:rsidP="006A1D28">
                            <w:pPr>
                              <w:spacing w:line="200" w:lineRule="exact"/>
                              <w:jc w:val="center"/>
                              <w:rPr>
                                <w:rFonts w:ascii="標楷體" w:eastAsia="標楷體" w:hAnsi="標楷體"/>
                                <w:sz w:val="20"/>
                              </w:rPr>
                            </w:pPr>
                            <w:r w:rsidRPr="00D15D1C">
                              <w:rPr>
                                <w:rFonts w:ascii="標楷體" w:eastAsia="標楷體" w:hAnsi="標楷體"/>
                                <w:sz w:val="20"/>
                              </w:rPr>
                              <w:t>二</w:t>
                            </w:r>
                          </w:p>
                        </w:tc>
                        <w:tc>
                          <w:tcPr>
                            <w:tcW w:w="709" w:type="dxa"/>
                          </w:tcPr>
                          <w:p w14:paraId="0B641F65" w14:textId="7209E989" w:rsidR="00CE57F9" w:rsidRPr="00D15D1C" w:rsidRDefault="00CE57F9" w:rsidP="006A1D28">
                            <w:pPr>
                              <w:spacing w:line="200" w:lineRule="exact"/>
                              <w:jc w:val="center"/>
                              <w:rPr>
                                <w:rFonts w:ascii="標楷體" w:eastAsia="標楷體" w:hAnsi="標楷體" w:cs="Arial"/>
                                <w:sz w:val="20"/>
                                <w:shd w:val="clear" w:color="auto" w:fill="FFFFFF"/>
                              </w:rPr>
                            </w:pPr>
                            <w:r w:rsidRPr="00565BDC">
                              <w:rPr>
                                <w:rFonts w:ascii="標楷體" w:eastAsia="標楷體" w:hAnsi="標楷體" w:hint="eastAsia"/>
                                <w:sz w:val="20"/>
                              </w:rPr>
                              <w:sym w:font="Wingdings 2" w:char="F050"/>
                            </w:r>
                          </w:p>
                        </w:tc>
                        <w:tc>
                          <w:tcPr>
                            <w:tcW w:w="709" w:type="dxa"/>
                          </w:tcPr>
                          <w:p w14:paraId="1B150D1B" w14:textId="01512316" w:rsidR="00CE57F9" w:rsidRPr="00D15D1C" w:rsidRDefault="00CE57F9" w:rsidP="006A1D28">
                            <w:pPr>
                              <w:spacing w:line="200" w:lineRule="exact"/>
                              <w:jc w:val="center"/>
                              <w:rPr>
                                <w:rFonts w:ascii="標楷體" w:eastAsia="標楷體" w:hAnsi="標楷體" w:cs="Arial"/>
                                <w:sz w:val="20"/>
                                <w:shd w:val="clear" w:color="auto" w:fill="FFFFFF"/>
                              </w:rPr>
                            </w:pPr>
                            <w:r w:rsidRPr="006737F7">
                              <w:rPr>
                                <w:rFonts w:ascii="標楷體" w:eastAsia="標楷體" w:hAnsi="標楷體" w:hint="eastAsia"/>
                                <w:sz w:val="20"/>
                              </w:rPr>
                              <w:sym w:font="Wingdings 2" w:char="F050"/>
                            </w:r>
                          </w:p>
                        </w:tc>
                        <w:tc>
                          <w:tcPr>
                            <w:tcW w:w="984" w:type="dxa"/>
                          </w:tcPr>
                          <w:p w14:paraId="11A48D1E" w14:textId="77777777" w:rsidR="00CE57F9" w:rsidRPr="00D15D1C" w:rsidRDefault="00CE57F9" w:rsidP="006A1D28">
                            <w:pPr>
                              <w:spacing w:line="200" w:lineRule="exact"/>
                              <w:jc w:val="center"/>
                              <w:rPr>
                                <w:rFonts w:ascii="標楷體" w:eastAsia="標楷體" w:hAnsi="標楷體" w:cs="Arial"/>
                                <w:sz w:val="20"/>
                                <w:shd w:val="clear" w:color="auto" w:fill="FFFFFF"/>
                              </w:rPr>
                            </w:pPr>
                          </w:p>
                        </w:tc>
                      </w:tr>
                    </w:tbl>
                    <w:p w14:paraId="08B2E0CC" w14:textId="77777777" w:rsidR="00CE57F9" w:rsidRPr="00D15D1C" w:rsidRDefault="00CE57F9" w:rsidP="00DA2751">
                      <w:pPr>
                        <w:spacing w:beforeLines="20" w:before="72" w:line="200" w:lineRule="exact"/>
                        <w:rPr>
                          <w:rFonts w:ascii="標楷體" w:eastAsia="標楷體" w:hAnsi="標楷體" w:cs="Arial"/>
                          <w:sz w:val="18"/>
                          <w:shd w:val="clear" w:color="auto" w:fill="FFFFFF"/>
                        </w:rPr>
                      </w:pPr>
                      <w:r w:rsidRPr="00D15D1C">
                        <w:rPr>
                          <w:rFonts w:ascii="標楷體" w:eastAsia="標楷體" w:hAnsi="標楷體" w:cs="Arial" w:hint="eastAsia"/>
                          <w:sz w:val="18"/>
                          <w:shd w:val="clear" w:color="auto" w:fill="FFFFFF"/>
                        </w:rPr>
                        <w:t>註：1.一類斷層：1萬年內有活動紀錄。</w:t>
                      </w:r>
                    </w:p>
                    <w:p w14:paraId="5166B578" w14:textId="77777777" w:rsidR="00CE57F9" w:rsidRPr="00D15D1C" w:rsidRDefault="00CE57F9" w:rsidP="003E4899">
                      <w:pPr>
                        <w:spacing w:line="200" w:lineRule="exact"/>
                        <w:ind w:leftChars="150" w:left="360"/>
                        <w:rPr>
                          <w:rFonts w:ascii="標楷體" w:eastAsia="標楷體" w:hAnsi="標楷體" w:cs="Arial"/>
                          <w:sz w:val="18"/>
                          <w:shd w:val="clear" w:color="auto" w:fill="FFFFFF"/>
                        </w:rPr>
                      </w:pPr>
                      <w:r w:rsidRPr="00D15D1C">
                        <w:rPr>
                          <w:rFonts w:ascii="標楷體" w:eastAsia="標楷體" w:hAnsi="標楷體" w:cs="Arial" w:hint="eastAsia"/>
                          <w:sz w:val="18"/>
                          <w:shd w:val="clear" w:color="auto" w:fill="FFFFFF"/>
                        </w:rPr>
                        <w:t>2.二類斷層：1萬至10萬年內有活動紀錄。</w:t>
                      </w:r>
                    </w:p>
                    <w:p w14:paraId="6C4CA1BF" w14:textId="4A622471" w:rsidR="00CE57F9" w:rsidRPr="00B25672" w:rsidRDefault="00CE57F9" w:rsidP="00DA2751">
                      <w:pPr>
                        <w:spacing w:line="200" w:lineRule="exact"/>
                        <w:ind w:leftChars="150" w:left="360"/>
                      </w:pPr>
                      <w:r w:rsidRPr="00D15D1C">
                        <w:rPr>
                          <w:rFonts w:ascii="標楷體" w:eastAsia="標楷體" w:hAnsi="標楷體" w:cs="Arial" w:hint="eastAsia"/>
                          <w:sz w:val="18"/>
                          <w:shd w:val="clear" w:color="auto" w:fill="FFFFFF"/>
                        </w:rPr>
                        <w:t>3.</w:t>
                      </w:r>
                      <w:r w:rsidRPr="00D15D1C">
                        <w:rPr>
                          <w:rFonts w:ascii="標楷體" w:eastAsia="標楷體" w:hAnsi="標楷體" w:cs="Arial"/>
                          <w:sz w:val="18"/>
                          <w:shd w:val="clear" w:color="auto" w:fill="FFFFFF"/>
                        </w:rPr>
                        <w:t>資料來源：整理自內政部</w:t>
                      </w:r>
                      <w:r w:rsidRPr="00D15D1C">
                        <w:rPr>
                          <w:rFonts w:ascii="標楷體" w:eastAsia="標楷體" w:hAnsi="標楷體" w:cs="Arial" w:hint="eastAsia"/>
                          <w:sz w:val="18"/>
                          <w:shd w:val="clear" w:color="auto" w:fill="FFFFFF"/>
                        </w:rPr>
                        <w:t>及經濟部中央地質調查所</w:t>
                      </w:r>
                      <w:r w:rsidRPr="00346BDD">
                        <w:rPr>
                          <w:rFonts w:ascii="標楷體" w:eastAsia="標楷體" w:hAnsi="標楷體" w:cs="Arial" w:hint="eastAsia"/>
                          <w:sz w:val="18"/>
                          <w:shd w:val="clear" w:color="auto" w:fill="FFFFFF"/>
                        </w:rPr>
                        <w:t>截至</w:t>
                      </w:r>
                      <w:r w:rsidRPr="00346BDD">
                        <w:rPr>
                          <w:rFonts w:ascii="標楷體" w:eastAsia="標楷體" w:hAnsi="標楷體" w:cs="Arial"/>
                          <w:sz w:val="18"/>
                          <w:shd w:val="clear" w:color="auto" w:fill="FFFFFF"/>
                        </w:rPr>
                        <w:t>112年4月底</w:t>
                      </w:r>
                      <w:r w:rsidRPr="00D15D1C">
                        <w:rPr>
                          <w:rFonts w:ascii="標楷體" w:eastAsia="標楷體" w:hAnsi="標楷體" w:cs="Arial"/>
                          <w:sz w:val="18"/>
                          <w:shd w:val="clear" w:color="auto" w:fill="FFFFFF"/>
                        </w:rPr>
                        <w:t>網站資料。</w:t>
                      </w:r>
                    </w:p>
                  </w:txbxContent>
                </v:textbox>
                <w10:wrap type="square"/>
              </v:shape>
            </w:pict>
          </mc:Fallback>
        </mc:AlternateContent>
      </w:r>
      <w:r w:rsidRPr="009D11AD">
        <w:rPr>
          <w:rFonts w:ascii="標楷體" w:eastAsia="標楷體" w:hAnsi="標楷體" w:hint="eastAsia"/>
          <w:szCs w:val="24"/>
        </w:rPr>
        <w:t>規範及解說」，提高建築物耐震設計標準</w:t>
      </w:r>
      <w:r w:rsidRPr="009D11AD">
        <w:rPr>
          <w:rFonts w:ascii="標楷體" w:eastAsia="標楷體" w:hAnsi="標楷體" w:hint="eastAsia"/>
          <w:szCs w:val="24"/>
          <w:shd w:val="clear" w:color="auto" w:fill="FFFFFF"/>
        </w:rPr>
        <w:t>（</w:t>
      </w:r>
      <w:r w:rsidRPr="00346BDD">
        <w:rPr>
          <w:rFonts w:ascii="標楷體" w:eastAsia="標楷體" w:hAnsi="標楷體" w:hint="eastAsia"/>
          <w:szCs w:val="24"/>
          <w:shd w:val="clear" w:color="auto" w:fill="FFFFFF"/>
        </w:rPr>
        <w:t>表</w:t>
      </w:r>
      <w:r w:rsidR="008C63F2" w:rsidRPr="00346BDD">
        <w:rPr>
          <w:rFonts w:ascii="標楷體" w:eastAsia="標楷體" w:hAnsi="標楷體" w:hint="eastAsia"/>
          <w:szCs w:val="24"/>
          <w:shd w:val="clear" w:color="auto" w:fill="FFFFFF"/>
        </w:rPr>
        <w:t>15</w:t>
      </w:r>
      <w:r w:rsidRPr="009D11AD">
        <w:rPr>
          <w:rFonts w:ascii="標楷體" w:eastAsia="標楷體" w:hAnsi="標楷體" w:hint="eastAsia"/>
          <w:szCs w:val="24"/>
          <w:shd w:val="clear" w:color="auto" w:fill="FFFFFF"/>
        </w:rPr>
        <w:t>）</w:t>
      </w:r>
      <w:r w:rsidRPr="009D11AD">
        <w:rPr>
          <w:rFonts w:ascii="標楷體" w:eastAsia="標楷體" w:hAnsi="標楷體" w:hint="eastAsia"/>
          <w:szCs w:val="24"/>
        </w:rPr>
        <w:t>。經查活動斷層</w:t>
      </w:r>
      <w:r w:rsidR="00CF569B">
        <w:rPr>
          <w:rFonts w:ascii="標楷體" w:eastAsia="標楷體" w:hAnsi="標楷體" w:hint="eastAsia"/>
          <w:szCs w:val="24"/>
        </w:rPr>
        <w:t>地質敏感區</w:t>
      </w:r>
      <w:r w:rsidRPr="009D11AD">
        <w:rPr>
          <w:rFonts w:ascii="標楷體" w:eastAsia="標楷體" w:hAnsi="標楷體" w:hint="eastAsia"/>
          <w:szCs w:val="24"/>
        </w:rPr>
        <w:t>上之都市更新辦理情形，核有：</w:t>
      </w:r>
      <w:r w:rsidRPr="009D11AD">
        <w:rPr>
          <w:rFonts w:ascii="標楷體" w:eastAsia="標楷體" w:hAnsi="標楷體"/>
          <w:szCs w:val="24"/>
        </w:rPr>
        <w:t>1</w:t>
      </w:r>
      <w:r w:rsidR="00F00E61" w:rsidRPr="009D11AD">
        <w:rPr>
          <w:rFonts w:ascii="標楷體" w:eastAsia="標楷體" w:hAnsi="標楷體" w:hint="eastAsia"/>
          <w:szCs w:val="24"/>
        </w:rPr>
        <w:t>.</w:t>
      </w:r>
      <w:r w:rsidRPr="009D11AD">
        <w:rPr>
          <w:rFonts w:ascii="標楷體" w:eastAsia="標楷體" w:hAnsi="標楷體" w:hint="eastAsia"/>
          <w:szCs w:val="24"/>
        </w:rPr>
        <w:t>部分地方主管機關對活動斷層暨其地質敏感區，未依都市更新條例規定積極檢討並劃設更新地區，及輔導民眾辦理都市更新事宜，倘發生地質災害，恐造成當地民眾生命財產嚴重損害；2</w:t>
      </w:r>
      <w:r w:rsidR="00F00E61" w:rsidRPr="009D11AD">
        <w:rPr>
          <w:rFonts w:ascii="標楷體" w:eastAsia="標楷體" w:hAnsi="標楷體" w:hint="eastAsia"/>
          <w:szCs w:val="24"/>
        </w:rPr>
        <w:t>.</w:t>
      </w:r>
      <w:r w:rsidRPr="009D11AD">
        <w:rPr>
          <w:rFonts w:ascii="標楷體" w:eastAsia="標楷體" w:hAnsi="標楷體" w:hint="eastAsia"/>
          <w:szCs w:val="24"/>
        </w:rPr>
        <w:t>內政部針對經濟部公布之36條活動斷層，尚有14條活動斷層</w:t>
      </w:r>
      <w:r w:rsidR="00CF569B">
        <w:rPr>
          <w:rFonts w:ascii="標楷體" w:eastAsia="標楷體" w:hAnsi="標楷體" w:hint="eastAsia"/>
          <w:szCs w:val="24"/>
        </w:rPr>
        <w:t>地質敏感區</w:t>
      </w:r>
      <w:r w:rsidRPr="009D11AD">
        <w:rPr>
          <w:rFonts w:ascii="標楷體" w:eastAsia="標楷體" w:hAnsi="標楷體" w:hint="eastAsia"/>
          <w:szCs w:val="24"/>
        </w:rPr>
        <w:t>迄未評估是否修訂建築物耐震設計標準，其中7條之土地上已劃設都市計畫之住宅區、商業區及工業區，並吸引人口聚集，</w:t>
      </w:r>
      <w:r w:rsidR="00D672C5" w:rsidRPr="00346BDD">
        <w:rPr>
          <w:rFonts w:ascii="標楷體" w:eastAsia="標楷體" w:hAnsi="標楷體" w:hint="eastAsia"/>
          <w:szCs w:val="24"/>
        </w:rPr>
        <w:t>甚有</w:t>
      </w:r>
      <w:r w:rsidR="00D672C5" w:rsidRPr="00346BDD">
        <w:rPr>
          <w:rFonts w:ascii="標楷體" w:eastAsia="標楷體" w:hAnsi="標楷體"/>
          <w:szCs w:val="24"/>
        </w:rPr>
        <w:t>3條業由經濟部公告為活動斷層地質敏感區</w:t>
      </w:r>
      <w:r w:rsidRPr="00346BDD">
        <w:rPr>
          <w:rFonts w:ascii="標楷體" w:eastAsia="標楷體" w:hAnsi="標楷體" w:hint="eastAsia"/>
          <w:szCs w:val="24"/>
        </w:rPr>
        <w:t>，</w:t>
      </w:r>
      <w:r w:rsidR="00D672C5" w:rsidRPr="00346BDD">
        <w:rPr>
          <w:rFonts w:ascii="標楷體" w:eastAsia="標楷體" w:hAnsi="標楷體" w:hint="eastAsia"/>
          <w:szCs w:val="24"/>
        </w:rPr>
        <w:t>倘未來依現行建築物耐震設計標準進行都市更新或新建案，恐有建築物耐震安全之潛在風險等情事，經函請行政院研謀改善。據復：</w:t>
      </w:r>
      <w:r w:rsidR="00D672C5" w:rsidRPr="00346BDD">
        <w:rPr>
          <w:rFonts w:ascii="標楷體" w:eastAsia="標楷體" w:hAnsi="標楷體"/>
          <w:szCs w:val="24"/>
        </w:rPr>
        <w:t>1</w:t>
      </w:r>
      <w:r w:rsidR="00D672C5" w:rsidRPr="00346BDD">
        <w:rPr>
          <w:rFonts w:ascii="標楷體" w:eastAsia="標楷體" w:hAnsi="標楷體" w:hint="eastAsia"/>
          <w:szCs w:val="24"/>
        </w:rPr>
        <w:t>.已請各地方政府全面調查評估，考量活動斷層暨其地質敏感區等因素劃定更新地區，以引導及協助民眾辦理都市更新。另針對災害潛勢地區，經由都市整體性角度規劃都市更新，並因地制宜將災害潛勢地區納入都市計畫通盤檢討，俾賡續推展都市更新或相關計畫之執行；</w:t>
      </w:r>
      <w:r w:rsidR="00D672C5" w:rsidRPr="00346BDD">
        <w:rPr>
          <w:rFonts w:ascii="標楷體" w:eastAsia="標楷體" w:hAnsi="標楷體"/>
          <w:szCs w:val="24"/>
        </w:rPr>
        <w:t>2</w:t>
      </w:r>
      <w:r w:rsidR="00D672C5" w:rsidRPr="00346BDD">
        <w:rPr>
          <w:rFonts w:ascii="標楷體" w:eastAsia="標楷體" w:hAnsi="標楷體" w:hint="eastAsia"/>
          <w:szCs w:val="24"/>
        </w:rPr>
        <w:t>.將請財團法人國家實驗研究院國家地震工程研究中心協助蒐集相關斷層、地震及地層地質等基本資料，經分析獲得各項耐震係數及提送相關研究成果後，再邀集相關領域專家學者召開檢討會議，賡續修正建築物耐震設計相關法令</w:t>
      </w:r>
      <w:r w:rsidRPr="00346BDD">
        <w:rPr>
          <w:rFonts w:ascii="標楷體" w:eastAsia="標楷體" w:hAnsi="標楷體" w:hint="eastAsia"/>
          <w:szCs w:val="24"/>
        </w:rPr>
        <w:t>。</w:t>
      </w:r>
    </w:p>
    <w:p w14:paraId="2EA951D5" w14:textId="6C8E40AF" w:rsidR="00E95664" w:rsidRPr="009D11AD" w:rsidRDefault="00B03793" w:rsidP="00DA2751">
      <w:pPr>
        <w:overflowPunct w:val="0"/>
        <w:snapToGrid w:val="0"/>
        <w:spacing w:beforeLines="20" w:before="72" w:afterLines="20" w:after="72" w:line="460" w:lineRule="exact"/>
        <w:ind w:firstLineChars="200" w:firstLine="561"/>
        <w:jc w:val="both"/>
        <w:rPr>
          <w:rFonts w:ascii="標楷體" w:eastAsia="標楷體" w:hAnsi="標楷體"/>
          <w:b/>
          <w:color w:val="000000" w:themeColor="text1"/>
          <w:sz w:val="28"/>
          <w:szCs w:val="28"/>
        </w:rPr>
      </w:pPr>
      <w:r w:rsidRPr="009D11AD">
        <w:rPr>
          <w:rFonts w:ascii="標楷體" w:eastAsia="標楷體" w:hAnsi="標楷體" w:hint="eastAsia"/>
          <w:b/>
          <w:color w:val="000000" w:themeColor="text1"/>
          <w:sz w:val="28"/>
          <w:szCs w:val="28"/>
        </w:rPr>
        <w:lastRenderedPageBreak/>
        <w:t>（十九）　政府持續投入鉅額經費推動重大公共建設計畫，有助增進國家整體發展及人民生活品質，惟國內營建人力短缺問題，及相關公共建設之計畫擬編、</w:t>
      </w:r>
      <w:r w:rsidRPr="00346BDD">
        <w:rPr>
          <w:rFonts w:ascii="標楷體" w:eastAsia="標楷體" w:hAnsi="標楷體" w:hint="eastAsia"/>
          <w:b/>
          <w:color w:val="000000" w:themeColor="text1"/>
          <w:sz w:val="28"/>
          <w:szCs w:val="28"/>
        </w:rPr>
        <w:t>管控機制、總結及營運評估</w:t>
      </w:r>
      <w:r w:rsidRPr="009D11AD">
        <w:rPr>
          <w:rFonts w:ascii="標楷體" w:eastAsia="標楷體" w:hAnsi="標楷體" w:hint="eastAsia"/>
          <w:b/>
          <w:color w:val="000000" w:themeColor="text1"/>
          <w:sz w:val="28"/>
          <w:szCs w:val="28"/>
        </w:rPr>
        <w:t>、評核等作業，尚待追蹤改善成效，並持續加強或落實依規定辦理，以提升計畫執行效能。</w:t>
      </w:r>
    </w:p>
    <w:p w14:paraId="4CACAA11" w14:textId="32C699CA" w:rsidR="00B03793" w:rsidRPr="009D11AD" w:rsidRDefault="00DE5B0D" w:rsidP="00043ED0">
      <w:pPr>
        <w:widowControl/>
        <w:overflowPunct w:val="0"/>
        <w:spacing w:line="430" w:lineRule="exact"/>
        <w:ind w:firstLineChars="200" w:firstLine="480"/>
        <w:jc w:val="both"/>
        <w:rPr>
          <w:rFonts w:ascii="標楷體" w:eastAsia="標楷體" w:hAnsi="標楷體"/>
        </w:rPr>
      </w:pPr>
      <w:r w:rsidRPr="009D11AD">
        <w:rPr>
          <w:rFonts w:ascii="標楷體" w:eastAsia="標楷體" w:hAnsi="標楷體"/>
          <w:noProof/>
          <w:color w:val="000000" w:themeColor="text1"/>
        </w:rPr>
        <mc:AlternateContent>
          <mc:Choice Requires="wps">
            <w:drawing>
              <wp:anchor distT="0" distB="0" distL="114300" distR="114300" simplePos="0" relativeHeight="251660800" behindDoc="0" locked="0" layoutInCell="1" allowOverlap="1" wp14:anchorId="2BC3B660" wp14:editId="75C0CB72">
                <wp:simplePos x="0" y="0"/>
                <wp:positionH relativeFrom="margin">
                  <wp:posOffset>2266315</wp:posOffset>
                </wp:positionH>
                <wp:positionV relativeFrom="paragraph">
                  <wp:posOffset>493395</wp:posOffset>
                </wp:positionV>
                <wp:extent cx="4022725" cy="3450590"/>
                <wp:effectExtent l="0" t="0" r="0" b="0"/>
                <wp:wrapSquare wrapText="bothSides"/>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2725" cy="3450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243BF8" w14:textId="400DBF17" w:rsidR="00CE57F9" w:rsidRPr="00B03793" w:rsidRDefault="00CE57F9" w:rsidP="00DA2751">
                            <w:pPr>
                              <w:ind w:left="721" w:hangingChars="300" w:hanging="721"/>
                              <w:jc w:val="center"/>
                              <w:rPr>
                                <w:rFonts w:ascii="標楷體" w:eastAsia="標楷體" w:hAnsi="標楷體"/>
                                <w:b/>
                                <w:snapToGrid w:val="0"/>
                                <w:color w:val="000000" w:themeColor="text1"/>
                              </w:rPr>
                            </w:pPr>
                            <w:r w:rsidRPr="00B03793">
                              <w:rPr>
                                <w:rFonts w:ascii="標楷體" w:eastAsia="標楷體" w:hAnsi="標楷體" w:hint="eastAsia"/>
                                <w:b/>
                                <w:snapToGrid w:val="0"/>
                                <w:color w:val="000000" w:themeColor="text1"/>
                              </w:rPr>
                              <w:t>圖</w:t>
                            </w:r>
                            <w:r>
                              <w:rPr>
                                <w:rFonts w:ascii="標楷體" w:eastAsia="標楷體" w:hAnsi="標楷體"/>
                                <w:b/>
                                <w:snapToGrid w:val="0"/>
                                <w:color w:val="000000" w:themeColor="text1"/>
                              </w:rPr>
                              <w:t>8</w:t>
                            </w:r>
                            <w:r w:rsidRPr="00B03793">
                              <w:rPr>
                                <w:rFonts w:ascii="標楷體" w:eastAsia="標楷體" w:hAnsi="標楷體" w:hint="eastAsia"/>
                                <w:b/>
                                <w:snapToGrid w:val="0"/>
                                <w:color w:val="000000" w:themeColor="text1"/>
                              </w:rPr>
                              <w:t xml:space="preserve">　重大公共建設計畫預算執行情形</w:t>
                            </w:r>
                          </w:p>
                          <w:p w14:paraId="2E1D7542" w14:textId="77777777" w:rsidR="00CE57F9" w:rsidRDefault="00CE57F9" w:rsidP="00B54645">
                            <w:pPr>
                              <w:ind w:leftChars="-1" w:left="12" w:hangingChars="7" w:hanging="14"/>
                              <w:jc w:val="both"/>
                              <w:rPr>
                                <w:rFonts w:ascii="標楷體" w:eastAsia="標楷體" w:hAnsi="標楷體"/>
                                <w:b/>
                                <w:snapToGrid w:val="0"/>
                              </w:rPr>
                            </w:pPr>
                            <w:r w:rsidRPr="00F00B95">
                              <w:rPr>
                                <w:rFonts w:ascii="標楷體" w:eastAsia="標楷體" w:hAnsi="標楷體"/>
                                <w:b/>
                                <w:noProof/>
                                <w:snapToGrid w:val="0"/>
                                <w:sz w:val="20"/>
                              </w:rPr>
                              <w:drawing>
                                <wp:inline distT="0" distB="0" distL="0" distR="0" wp14:anchorId="13C5E88F" wp14:editId="65F04C24">
                                  <wp:extent cx="3887635" cy="2766679"/>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87635" cy="2766679"/>
                                          </a:xfrm>
                                          <a:prstGeom prst="rect">
                                            <a:avLst/>
                                          </a:prstGeom>
                                          <a:noFill/>
                                          <a:ln>
                                            <a:noFill/>
                                          </a:ln>
                                        </pic:spPr>
                                      </pic:pic>
                                    </a:graphicData>
                                  </a:graphic>
                                </wp:inline>
                              </w:drawing>
                            </w:r>
                          </w:p>
                          <w:p w14:paraId="3B28287D" w14:textId="77777777" w:rsidR="00CE57F9" w:rsidRPr="00444579" w:rsidRDefault="00CE57F9" w:rsidP="00337DF3">
                            <w:pPr>
                              <w:spacing w:line="200" w:lineRule="exact"/>
                              <w:ind w:left="868" w:hangingChars="482" w:hanging="868"/>
                              <w:rPr>
                                <w:rFonts w:ascii="標楷體" w:eastAsia="標楷體" w:hAnsi="標楷體"/>
                                <w:sz w:val="18"/>
                                <w:szCs w:val="18"/>
                              </w:rPr>
                            </w:pPr>
                            <w:r>
                              <w:rPr>
                                <w:rFonts w:ascii="標楷體" w:eastAsia="標楷體" w:hAnsi="標楷體" w:hint="eastAsia"/>
                                <w:sz w:val="18"/>
                                <w:szCs w:val="18"/>
                              </w:rPr>
                              <w:t>資料來</w:t>
                            </w:r>
                            <w:r w:rsidRPr="00444579">
                              <w:rPr>
                                <w:rFonts w:ascii="標楷體" w:eastAsia="標楷體" w:hAnsi="標楷體" w:hint="eastAsia"/>
                                <w:sz w:val="18"/>
                                <w:szCs w:val="18"/>
                              </w:rPr>
                              <w:t>源</w:t>
                            </w:r>
                            <w:r w:rsidRPr="00444579">
                              <w:rPr>
                                <w:rFonts w:ascii="標楷體" w:eastAsia="標楷體" w:hAnsi="標楷體"/>
                                <w:sz w:val="18"/>
                                <w:szCs w:val="18"/>
                              </w:rPr>
                              <w:t>：</w:t>
                            </w:r>
                            <w:r w:rsidRPr="00444579">
                              <w:rPr>
                                <w:rFonts w:ascii="標楷體" w:eastAsia="標楷體" w:hAnsi="標楷體" w:hint="eastAsia"/>
                                <w:sz w:val="18"/>
                                <w:szCs w:val="18"/>
                              </w:rPr>
                              <w:t>整理自行政院公共工程委員會提供資料。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BC3B660" id="文字方塊 10" o:spid="_x0000_s1132" type="#_x0000_t202" style="position:absolute;left:0;text-align:left;margin-left:178.45pt;margin-top:38.85pt;width:316.75pt;height:271.7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" stroked="f">
                <v:textbox>
                  <w:txbxContent>
                    <w:p w14:paraId="69243BF8" w14:textId="400DBF17" w:rsidR="00CE57F9" w:rsidRPr="00B03793" w:rsidRDefault="00CE57F9" w:rsidP="00DA2751">
                      <w:pPr>
                        <w:ind w:left="721" w:hangingChars="300" w:hanging="721"/>
                        <w:jc w:val="center"/>
                        <w:rPr>
                          <w:rFonts w:ascii="標楷體" w:eastAsia="標楷體" w:hAnsi="標楷體"/>
                          <w:b/>
                          <w:snapToGrid w:val="0"/>
                          <w:color w:val="000000" w:themeColor="text1"/>
                        </w:rPr>
                      </w:pPr>
                      <w:r w:rsidRPr="00B03793">
                        <w:rPr>
                          <w:rFonts w:ascii="標楷體" w:eastAsia="標楷體" w:hAnsi="標楷體" w:hint="eastAsia"/>
                          <w:b/>
                          <w:snapToGrid w:val="0"/>
                          <w:color w:val="000000" w:themeColor="text1"/>
                        </w:rPr>
                        <w:t>圖</w:t>
                      </w:r>
                      <w:r>
                        <w:rPr>
                          <w:rFonts w:ascii="標楷體" w:eastAsia="標楷體" w:hAnsi="標楷體"/>
                          <w:b/>
                          <w:snapToGrid w:val="0"/>
                          <w:color w:val="000000" w:themeColor="text1"/>
                        </w:rPr>
                        <w:t>8</w:t>
                      </w:r>
                      <w:r w:rsidRPr="00B03793">
                        <w:rPr>
                          <w:rFonts w:ascii="標楷體" w:eastAsia="標楷體" w:hAnsi="標楷體" w:hint="eastAsia"/>
                          <w:b/>
                          <w:snapToGrid w:val="0"/>
                          <w:color w:val="000000" w:themeColor="text1"/>
                        </w:rPr>
                        <w:t xml:space="preserve">　重大公共建設計畫預算執行情形</w:t>
                      </w:r>
                    </w:p>
                    <w:p w14:paraId="2E1D7542" w14:textId="77777777" w:rsidR="00CE57F9" w:rsidRDefault="00CE57F9" w:rsidP="00B54645">
                      <w:pPr>
                        <w:ind w:leftChars="-1" w:left="12" w:hangingChars="7" w:hanging="14"/>
                        <w:jc w:val="both"/>
                        <w:rPr>
                          <w:rFonts w:ascii="標楷體" w:eastAsia="標楷體" w:hAnsi="標楷體"/>
                          <w:b/>
                          <w:snapToGrid w:val="0"/>
                        </w:rPr>
                      </w:pPr>
                      <w:r w:rsidRPr="00F00B95">
                        <w:rPr>
                          <w:rFonts w:ascii="標楷體" w:eastAsia="標楷體" w:hAnsi="標楷體"/>
                          <w:b/>
                          <w:noProof/>
                          <w:snapToGrid w:val="0"/>
                          <w:sz w:val="20"/>
                        </w:rPr>
                        <w:drawing>
                          <wp:inline distT="0" distB="0" distL="0" distR="0" wp14:anchorId="13C5E88F" wp14:editId="65F04C24">
                            <wp:extent cx="3887635" cy="2766679"/>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87635" cy="2766679"/>
                                    </a:xfrm>
                                    <a:prstGeom prst="rect">
                                      <a:avLst/>
                                    </a:prstGeom>
                                    <a:noFill/>
                                    <a:ln>
                                      <a:noFill/>
                                    </a:ln>
                                  </pic:spPr>
                                </pic:pic>
                              </a:graphicData>
                            </a:graphic>
                          </wp:inline>
                        </w:drawing>
                      </w:r>
                    </w:p>
                    <w:p w14:paraId="3B28287D" w14:textId="77777777" w:rsidR="00CE57F9" w:rsidRPr="00444579" w:rsidRDefault="00CE57F9" w:rsidP="00337DF3">
                      <w:pPr>
                        <w:spacing w:line="200" w:lineRule="exact"/>
                        <w:ind w:left="868" w:hangingChars="482" w:hanging="868"/>
                        <w:rPr>
                          <w:rFonts w:ascii="標楷體" w:eastAsia="標楷體" w:hAnsi="標楷體"/>
                          <w:sz w:val="18"/>
                          <w:szCs w:val="18"/>
                        </w:rPr>
                      </w:pPr>
                      <w:r>
                        <w:rPr>
                          <w:rFonts w:ascii="標楷體" w:eastAsia="標楷體" w:hAnsi="標楷體" w:hint="eastAsia"/>
                          <w:sz w:val="18"/>
                          <w:szCs w:val="18"/>
                        </w:rPr>
                        <w:t>資料來</w:t>
                      </w:r>
                      <w:r w:rsidRPr="00444579">
                        <w:rPr>
                          <w:rFonts w:ascii="標楷體" w:eastAsia="標楷體" w:hAnsi="標楷體" w:hint="eastAsia"/>
                          <w:sz w:val="18"/>
                          <w:szCs w:val="18"/>
                        </w:rPr>
                        <w:t>源</w:t>
                      </w:r>
                      <w:r w:rsidRPr="00444579">
                        <w:rPr>
                          <w:rFonts w:ascii="標楷體" w:eastAsia="標楷體" w:hAnsi="標楷體"/>
                          <w:sz w:val="18"/>
                          <w:szCs w:val="18"/>
                        </w:rPr>
                        <w:t>：</w:t>
                      </w:r>
                      <w:r w:rsidRPr="00444579">
                        <w:rPr>
                          <w:rFonts w:ascii="標楷體" w:eastAsia="標楷體" w:hAnsi="標楷體" w:hint="eastAsia"/>
                          <w:sz w:val="18"/>
                          <w:szCs w:val="18"/>
                        </w:rPr>
                        <w:t>整理自行政院公共工程委員會提供資料。</w:t>
                      </w:r>
                    </w:p>
                  </w:txbxContent>
                </v:textbox>
                <w10:wrap type="square" anchorx="margin"/>
              </v:shape>
            </w:pict>
          </mc:Fallback>
        </mc:AlternateContent>
      </w:r>
      <w:r w:rsidR="00B03793" w:rsidRPr="009D11AD">
        <w:rPr>
          <w:rFonts w:ascii="標楷體" w:eastAsia="標楷體" w:hAnsi="標楷體" w:hint="eastAsia"/>
          <w:color w:val="000000" w:themeColor="text1"/>
        </w:rPr>
        <w:t>政府為確保國家經濟持續發展，提升國家競爭力，每年均編列鉅額預算，持續推動重大公共建設計畫</w:t>
      </w:r>
      <w:r w:rsidR="00B03793" w:rsidRPr="009D11AD">
        <w:rPr>
          <w:rFonts w:ascii="標楷體" w:eastAsia="標楷體" w:hAnsi="標楷體" w:hint="eastAsia"/>
          <w:color w:val="000000" w:themeColor="text1"/>
          <w:kern w:val="0"/>
          <w:szCs w:val="32"/>
        </w:rPr>
        <w:t>，有助增進國家整體發展及人民生活品質</w:t>
      </w:r>
      <w:r w:rsidR="00B03793" w:rsidRPr="009D11AD">
        <w:rPr>
          <w:rFonts w:ascii="標楷體" w:eastAsia="標楷體" w:hAnsi="標楷體" w:hint="eastAsia"/>
          <w:color w:val="000000" w:themeColor="text1"/>
        </w:rPr>
        <w:t>。111年度行政院公共工程委員會列管之行政院所屬各機關重大公共建設計畫合計208項，年計畫經費3,331億8</w:t>
      </w:r>
      <w:r w:rsidR="00B03793" w:rsidRPr="009D11AD">
        <w:rPr>
          <w:rFonts w:ascii="標楷體" w:eastAsia="標楷體" w:hAnsi="標楷體"/>
          <w:color w:val="000000" w:themeColor="text1"/>
        </w:rPr>
        <w:t>,</w:t>
      </w:r>
      <w:r w:rsidR="00B03793" w:rsidRPr="009D11AD">
        <w:rPr>
          <w:rFonts w:ascii="標楷體" w:eastAsia="標楷體" w:hAnsi="標楷體" w:hint="eastAsia"/>
          <w:color w:val="000000" w:themeColor="text1"/>
        </w:rPr>
        <w:t>346萬餘元，年累計執行數3,235億2</w:t>
      </w:r>
      <w:r w:rsidR="00B03793" w:rsidRPr="009D11AD">
        <w:rPr>
          <w:rFonts w:ascii="標楷體" w:eastAsia="標楷體" w:hAnsi="標楷體"/>
          <w:color w:val="000000" w:themeColor="text1"/>
        </w:rPr>
        <w:t>,215</w:t>
      </w:r>
      <w:r w:rsidR="00B03793" w:rsidRPr="009D11AD">
        <w:rPr>
          <w:rFonts w:ascii="標楷體" w:eastAsia="標楷體" w:hAnsi="標楷體" w:hint="eastAsia"/>
          <w:color w:val="000000" w:themeColor="text1"/>
        </w:rPr>
        <w:t>萬餘元</w:t>
      </w:r>
      <w:r w:rsidR="00B03793" w:rsidRPr="009D11AD">
        <w:rPr>
          <w:rFonts w:ascii="標楷體" w:eastAsia="標楷體" w:hAnsi="標楷體" w:hint="eastAsia"/>
        </w:rPr>
        <w:t>，執行率97.10％，為近5年度（107至111年度）之次高（</w:t>
      </w:r>
      <w:r w:rsidR="00B03793" w:rsidRPr="00346BDD">
        <w:rPr>
          <w:rFonts w:ascii="標楷體" w:eastAsia="標楷體" w:hAnsi="標楷體" w:hint="eastAsia"/>
        </w:rPr>
        <w:t>圖</w:t>
      </w:r>
      <w:r w:rsidR="00105077" w:rsidRPr="00346BDD">
        <w:rPr>
          <w:rFonts w:ascii="標楷體" w:eastAsia="標楷體" w:hAnsi="標楷體" w:hint="eastAsia"/>
        </w:rPr>
        <w:t>8</w:t>
      </w:r>
      <w:r w:rsidR="00B03793" w:rsidRPr="009D11AD">
        <w:rPr>
          <w:rFonts w:ascii="標楷體" w:eastAsia="標楷體" w:hAnsi="標楷體" w:hint="eastAsia"/>
        </w:rPr>
        <w:t>）。經查行政院所屬各機關重大公共建設計畫執行情形，核有：1.我國勞動力人口呈現長期下降趨勢，營建工程缺工問題仍待政府積極因應處理，</w:t>
      </w:r>
      <w:r w:rsidR="00271BE5" w:rsidRPr="009D11AD">
        <w:rPr>
          <w:rFonts w:ascii="標楷體" w:eastAsia="標楷體" w:hAnsi="標楷體" w:hint="eastAsia"/>
        </w:rPr>
        <w:t>行政院公共工程委員會</w:t>
      </w:r>
      <w:r w:rsidR="00B03793" w:rsidRPr="009D11AD">
        <w:rPr>
          <w:rFonts w:ascii="標楷體" w:eastAsia="標楷體" w:hAnsi="標楷體" w:hint="eastAsia"/>
        </w:rPr>
        <w:t>為解決公共工程缺工問題，雖已研訂公共工程自動化及預鑄化之規劃設計參考指引，以緩解營建人力短缺問題，惟後續仍須中央目的事業主管依工程特性另訂相關指引、建立推動機制、適時統計分析執行成效等，亟待督促持續監督、追蹤及輔導辦理情形，以減輕本國勞工勞動需求壓力；</w:t>
      </w:r>
      <w:r w:rsidR="00B03793" w:rsidRPr="009D11AD">
        <w:rPr>
          <w:rFonts w:ascii="標楷體" w:eastAsia="標楷體" w:hAnsi="標楷體"/>
        </w:rPr>
        <w:t>2</w:t>
      </w:r>
      <w:r w:rsidR="00B03793" w:rsidRPr="009D11AD">
        <w:rPr>
          <w:rFonts w:ascii="標楷體" w:eastAsia="標楷體" w:hAnsi="標楷體" w:hint="eastAsia"/>
        </w:rPr>
        <w:t>.公共建設計畫經濟效益評估及財務</w:t>
      </w:r>
      <w:r w:rsidR="00BB1F18">
        <w:rPr>
          <w:rFonts w:ascii="標楷體" w:eastAsia="標楷體" w:hAnsi="標楷體" w:hint="eastAsia"/>
        </w:rPr>
        <w:t>計畫作業</w:t>
      </w:r>
      <w:r w:rsidR="00B03793" w:rsidRPr="009D11AD">
        <w:rPr>
          <w:rFonts w:ascii="標楷體" w:eastAsia="標楷體" w:hAnsi="標楷體" w:hint="eastAsia"/>
        </w:rPr>
        <w:t>手冊出版已逾14年，部分納列之經濟效益評估案例，其計算內容有誤，且</w:t>
      </w:r>
      <w:r w:rsidR="00D274C2" w:rsidRPr="009D11AD">
        <w:rPr>
          <w:rFonts w:ascii="標楷體" w:eastAsia="標楷體" w:hAnsi="標楷體" w:hint="eastAsia"/>
        </w:rPr>
        <w:t>國家發展委員會</w:t>
      </w:r>
      <w:r w:rsidR="00B03793" w:rsidRPr="009D11AD">
        <w:rPr>
          <w:rFonts w:ascii="標楷體" w:eastAsia="標楷體" w:hAnsi="標楷體" w:hint="eastAsia"/>
        </w:rPr>
        <w:t>委託研究計畫就該手冊亦提出具體修正建議，亟待督促適時滾動檢討修正該手冊內容，俾供各機關遵循參考，以強化計畫經濟及財務效益評估作業；3.部分計畫年計畫經費執行率雖達95％以上，惟均有於年度內辦理計畫修正，展延計畫期程及調整年度經費情形，顯示</w:t>
      </w:r>
      <w:r w:rsidR="007A1528">
        <w:rPr>
          <w:rFonts w:ascii="標楷體" w:eastAsia="標楷體" w:hAnsi="標楷體" w:hint="eastAsia"/>
        </w:rPr>
        <w:t>現行</w:t>
      </w:r>
      <w:r w:rsidR="00B03793" w:rsidRPr="009D11AD">
        <w:rPr>
          <w:rFonts w:ascii="標楷體" w:eastAsia="標楷體" w:hAnsi="標楷體" w:hint="eastAsia"/>
        </w:rPr>
        <w:t>著重於預算執行之控管方式，</w:t>
      </w:r>
      <w:r w:rsidR="00B03793" w:rsidRPr="00346BDD">
        <w:rPr>
          <w:rFonts w:ascii="標楷體" w:eastAsia="標楷體" w:hAnsi="標楷體" w:hint="eastAsia"/>
        </w:rPr>
        <w:t>無法覈實反映計畫實際執行進度與原計畫之差異，亟待督促研謀強化相關管控機制，</w:t>
      </w:r>
      <w:r w:rsidR="00B03793" w:rsidRPr="007E1B44">
        <w:rPr>
          <w:rFonts w:ascii="標楷體" w:eastAsia="標楷體" w:hAnsi="標楷體" w:hint="eastAsia"/>
        </w:rPr>
        <w:t>評估將計畫經費與期程變動情形納為計畫管考會議參據</w:t>
      </w:r>
      <w:r w:rsidR="007E1B44" w:rsidRPr="007E1B44">
        <w:rPr>
          <w:rFonts w:ascii="標楷體" w:eastAsia="標楷體" w:hAnsi="標楷體" w:hint="eastAsia"/>
        </w:rPr>
        <w:t>，</w:t>
      </w:r>
      <w:r w:rsidR="007E1B44" w:rsidRPr="00E223CE">
        <w:rPr>
          <w:rFonts w:ascii="標楷體" w:eastAsia="標楷體" w:hAnsi="標楷體" w:hint="eastAsia"/>
        </w:rPr>
        <w:t>以提升執行成效</w:t>
      </w:r>
      <w:r w:rsidR="00B03793" w:rsidRPr="00E223CE">
        <w:rPr>
          <w:rFonts w:ascii="標楷體" w:eastAsia="標楷體" w:hAnsi="標楷體" w:hint="eastAsia"/>
        </w:rPr>
        <w:t>；</w:t>
      </w:r>
      <w:r w:rsidR="00B03793" w:rsidRPr="009D11AD">
        <w:rPr>
          <w:rFonts w:ascii="標楷體" w:eastAsia="標楷體" w:hAnsi="標楷體" w:hint="eastAsia"/>
        </w:rPr>
        <w:t>4.公共建設個案計畫總結評估報告暨其審查結果，頗值機關間相互借鏡及增進人民對公共事務之瞭解與監督，惟均未公開揭露，又公共建設計畫營運評估作業之揭露機制亦尚待確立，亟待督促妥善因應，以落實政府資訊公開透明原則；5.部分個案作</w:t>
      </w:r>
      <w:r w:rsidR="00B03793" w:rsidRPr="00A75A1F">
        <w:rPr>
          <w:rFonts w:ascii="標楷體" w:eastAsia="標楷體" w:hAnsi="標楷體" w:hint="eastAsia"/>
        </w:rPr>
        <w:t>業計畫評核指標有重複訂定、缺乏挑戰性、過於寬鬆或非屬結果導向指標等未臻周妥情事，影</w:t>
      </w:r>
      <w:r w:rsidR="00B03793" w:rsidRPr="00A75A1F">
        <w:rPr>
          <w:rFonts w:ascii="標楷體" w:eastAsia="標楷體" w:hAnsi="標楷體" w:hint="eastAsia"/>
        </w:rPr>
        <w:lastRenderedPageBreak/>
        <w:t>響計畫評核作業，亟待督促機關妥適擬訂績效指標暨衡量標準，並加強宣導或辦理相關教育訓練，以提升績效管理及施政品質等情事，經函請行政院督促研謀改善。據復：</w:t>
      </w:r>
      <w:r w:rsidR="007E1B44" w:rsidRPr="00A75A1F">
        <w:rPr>
          <w:rFonts w:ascii="標楷體" w:eastAsia="標楷體" w:hAnsi="標楷體"/>
        </w:rPr>
        <w:t>1.</w:t>
      </w:r>
      <w:r w:rsidR="007E1B44" w:rsidRPr="00A75A1F">
        <w:rPr>
          <w:rFonts w:ascii="標楷體" w:eastAsia="標楷體" w:hAnsi="標楷體" w:hint="eastAsia"/>
        </w:rPr>
        <w:t>行政院公共工程委員會將持續監督中央目的事業主管機關依公共工程自動化及預鑄化之規劃設計參考指引，</w:t>
      </w:r>
      <w:r w:rsidR="007E1B44" w:rsidRPr="00346BDD">
        <w:rPr>
          <w:rFonts w:ascii="標楷體" w:eastAsia="標楷體" w:hAnsi="標楷體" w:hint="eastAsia"/>
        </w:rPr>
        <w:t>盤點可標準化構件納入中華民國國家標準，並追蹤各機關推動情形，促使營建產業轉型，減輕本國勞工勞動需求壓力；</w:t>
      </w:r>
      <w:r w:rsidR="007E1B44" w:rsidRPr="00346BDD">
        <w:rPr>
          <w:rFonts w:ascii="標楷體" w:eastAsia="標楷體" w:hAnsi="標楷體"/>
        </w:rPr>
        <w:t>2.國</w:t>
      </w:r>
      <w:r w:rsidR="007E1B44" w:rsidRPr="00346BDD">
        <w:rPr>
          <w:rFonts w:ascii="標楷體" w:eastAsia="標楷體" w:hAnsi="標楷體" w:hint="eastAsia"/>
        </w:rPr>
        <w:t>家發展委員會刻正檢視通案性手冊內容，研議後續處置作法，未來將持續運用研究成果，精進審議作業，以協助各部會提升公共建設效益評估品質；</w:t>
      </w:r>
      <w:r w:rsidR="007E1B44" w:rsidRPr="00346BDD">
        <w:rPr>
          <w:rFonts w:ascii="標楷體" w:eastAsia="標楷體" w:hAnsi="標楷體"/>
        </w:rPr>
        <w:t>3.</w:t>
      </w:r>
      <w:r w:rsidR="007E1B44" w:rsidRPr="00346BDD">
        <w:rPr>
          <w:rFonts w:ascii="標楷體" w:eastAsia="標楷體" w:hAnsi="標楷體" w:hint="eastAsia"/>
        </w:rPr>
        <w:t>行政院公共工程委員會後續將偕同國家發展委員會研商於「行政院政府計畫管理資訊網」增列歷次計畫修正經費、期程等資訊，納入公共建設督導會報檢討，藉以發現實際執行時是否仍有異常或潛在問題；</w:t>
      </w:r>
      <w:r w:rsidR="007E1B44" w:rsidRPr="00346BDD">
        <w:rPr>
          <w:rFonts w:ascii="標楷體" w:eastAsia="標楷體" w:hAnsi="標楷體"/>
        </w:rPr>
        <w:t>4.</w:t>
      </w:r>
      <w:r w:rsidR="007E1B44" w:rsidRPr="00346BDD">
        <w:rPr>
          <w:rFonts w:ascii="標楷體" w:eastAsia="標楷體" w:hAnsi="標楷體" w:hint="eastAsia"/>
        </w:rPr>
        <w:t>國家發展委員會將研議逐步公開公共建設個案計畫總結評估報告及複評審查結果之相關資訊範圍及內容，另就後續營運評估報告及複評作業審查結果，一併研議相關資訊公開揭露機制；</w:t>
      </w:r>
      <w:r w:rsidR="007E1B44" w:rsidRPr="00346BDD">
        <w:rPr>
          <w:rFonts w:ascii="標楷體" w:eastAsia="標楷體" w:hAnsi="標楷體"/>
        </w:rPr>
        <w:t>5.</w:t>
      </w:r>
      <w:r w:rsidR="007E1B44" w:rsidRPr="00346BDD">
        <w:rPr>
          <w:rFonts w:ascii="標楷體" w:eastAsia="標楷體" w:hAnsi="標楷體" w:hint="eastAsia"/>
        </w:rPr>
        <w:t>國家發展委員會將提供相關評核缺失態樣予各部會參考，後續將運用相關教育訓練資源加強宣導，請各部會於年度作業計畫審核階段，應採用產出型或成果效益型指標，及覈實審查計畫績效指標之代表性與挑戰性，以確實檢視計畫執行成效。</w:t>
      </w:r>
    </w:p>
    <w:p w14:paraId="2157FB87" w14:textId="5C4EE55C" w:rsidR="002918AF" w:rsidRPr="009D11AD" w:rsidRDefault="002918AF" w:rsidP="00860D54">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（二十）　政</w:t>
      </w:r>
      <w:r w:rsidRPr="00346BDD">
        <w:rPr>
          <w:rFonts w:hAnsi="標楷體" w:hint="eastAsia"/>
          <w:b/>
          <w:color w:val="000000" w:themeColor="text1"/>
          <w:sz w:val="28"/>
          <w:szCs w:val="28"/>
        </w:rPr>
        <w:t>府推動科技發展計畫，已有效提升</w:t>
      </w:r>
      <w:r w:rsidR="00043ED0" w:rsidRPr="00346BDD">
        <w:rPr>
          <w:rFonts w:hAnsi="標楷體" w:hint="eastAsia"/>
          <w:b/>
          <w:color w:val="000000" w:themeColor="text1"/>
          <w:sz w:val="28"/>
          <w:szCs w:val="28"/>
        </w:rPr>
        <w:t>我國整體競爭力，惟部分計畫執行進度落後，或未達年度績效指標</w:t>
      </w:r>
      <w:r w:rsidRPr="00346BDD">
        <w:rPr>
          <w:rFonts w:hAnsi="標楷體" w:hint="eastAsia"/>
          <w:b/>
          <w:color w:val="000000" w:themeColor="text1"/>
          <w:sz w:val="28"/>
          <w:szCs w:val="28"/>
        </w:rPr>
        <w:t>，或目標與關鍵成果訂定未盡妥適；又部分機關未落實科技發展計畫之管制評核作業，不利提升計畫執行成效，允宜督促強化計畫審議及管考，以增進科研資源運用效能</w:t>
      </w:r>
      <w:r w:rsidRPr="009D11AD">
        <w:rPr>
          <w:rFonts w:hAnsi="標楷體" w:hint="eastAsia"/>
          <w:b/>
          <w:color w:val="000000" w:themeColor="text1"/>
          <w:spacing w:val="-2"/>
          <w:sz w:val="28"/>
          <w:szCs w:val="28"/>
        </w:rPr>
        <w:t>。</w:t>
      </w:r>
    </w:p>
    <w:p w14:paraId="475932CC" w14:textId="347B9A89" w:rsidR="002918AF" w:rsidRPr="00346BDD" w:rsidRDefault="002918AF" w:rsidP="00043ED0">
      <w:pPr>
        <w:overflowPunct w:val="0"/>
        <w:adjustRightInd w:val="0"/>
        <w:snapToGrid w:val="0"/>
        <w:spacing w:line="440" w:lineRule="exact"/>
        <w:ind w:firstLineChars="192" w:firstLine="461"/>
        <w:jc w:val="both"/>
        <w:rPr>
          <w:rFonts w:ascii="標楷體" w:eastAsia="標楷體" w:hAnsi="標楷體"/>
          <w:bCs/>
          <w:szCs w:val="32"/>
        </w:rPr>
      </w:pPr>
      <w:r w:rsidRPr="009D11AD">
        <w:rPr>
          <w:rFonts w:ascii="標楷體" w:eastAsia="標楷體" w:hAnsi="標楷體" w:hint="eastAsia"/>
          <w:bCs/>
          <w:szCs w:val="32"/>
        </w:rPr>
        <w:t>政府面對全球競爭與挑戰，為促進產業發展及提升國家競爭力，投入科技發展經費，以提升我國科研創新能量，且各主管機關因應新興科技快速發展，除既有科技施政目標外，亦藉由前瞻基礎建設計畫、五加二產業創新計畫及六大核心戰略產業推動方案之執行，透過跨領域、跨部會合作，提升整體產業動能。111年度中央政府總預算科技發展計畫（下稱111年度科技發展計畫</w:t>
      </w:r>
      <w:r w:rsidRPr="00346BDD">
        <w:rPr>
          <w:rFonts w:ascii="標楷體" w:eastAsia="標楷體" w:hAnsi="標楷體" w:hint="eastAsia"/>
          <w:bCs/>
          <w:szCs w:val="32"/>
        </w:rPr>
        <w:t>）計編列經費1,014億餘元，辦理一般計畫及政策計畫，另中央政府前瞻基礎建設計畫第3期（110至111年度）特別預算編列科技發展經費399億餘元，推動數位建設、5G發展、綠能建設及人才培育</w:t>
      </w:r>
      <w:r w:rsidR="00C342B2" w:rsidRPr="00346BDD">
        <w:rPr>
          <w:rFonts w:ascii="標楷體" w:eastAsia="標楷體" w:hAnsi="標楷體" w:hint="eastAsia"/>
          <w:bCs/>
          <w:szCs w:val="32"/>
        </w:rPr>
        <w:t>促進就業建設</w:t>
      </w:r>
      <w:r w:rsidRPr="00346BDD">
        <w:rPr>
          <w:rFonts w:ascii="標楷體" w:eastAsia="標楷體" w:hAnsi="標楷體" w:hint="eastAsia"/>
          <w:bCs/>
          <w:szCs w:val="32"/>
        </w:rPr>
        <w:t>等第3</w:t>
      </w:r>
      <w:r w:rsidR="00043ED0" w:rsidRPr="00346BDD">
        <w:rPr>
          <w:rFonts w:ascii="標楷體" w:eastAsia="標楷體" w:hAnsi="標楷體" w:hint="eastAsia"/>
          <w:bCs/>
          <w:szCs w:val="32"/>
        </w:rPr>
        <w:t>期科技發展類前瞻基礎建設計畫（下稱科技發展類前瞻基礎建設計畫）</w:t>
      </w:r>
      <w:r w:rsidRPr="00346BDD">
        <w:rPr>
          <w:rFonts w:ascii="標楷體" w:eastAsia="標楷體" w:hAnsi="標楷體" w:hint="eastAsia"/>
          <w:bCs/>
          <w:szCs w:val="32"/>
        </w:rPr>
        <w:t>，分別由</w:t>
      </w:r>
      <w:r w:rsidR="00C342B2" w:rsidRPr="00346BDD">
        <w:rPr>
          <w:rFonts w:ascii="標楷體" w:eastAsia="標楷體" w:hAnsi="標楷體" w:hint="eastAsia"/>
          <w:bCs/>
          <w:szCs w:val="32"/>
        </w:rPr>
        <w:t>中央各機關（單位）</w:t>
      </w:r>
      <w:r w:rsidRPr="00346BDD">
        <w:rPr>
          <w:rFonts w:ascii="標楷體" w:eastAsia="標楷體" w:hAnsi="標楷體" w:hint="eastAsia"/>
          <w:bCs/>
          <w:szCs w:val="32"/>
        </w:rPr>
        <w:t>辦理321項及66項科技發展計畫。經查有關科技發展計畫推動情形，核有下列事項：</w:t>
      </w:r>
    </w:p>
    <w:p w14:paraId="43FEA443" w14:textId="018A27D2" w:rsidR="002918AF" w:rsidRPr="009D11AD" w:rsidRDefault="002918AF" w:rsidP="0084346B">
      <w:pPr>
        <w:overflowPunct w:val="0"/>
        <w:adjustRightInd w:val="0"/>
        <w:snapToGrid w:val="0"/>
        <w:spacing w:line="420" w:lineRule="exact"/>
        <w:ind w:firstLineChars="450" w:firstLine="1081"/>
        <w:jc w:val="both"/>
        <w:rPr>
          <w:rFonts w:ascii="標楷體" w:eastAsia="標楷體" w:hAnsi="標楷體"/>
          <w:spacing w:val="4"/>
          <w:kern w:val="0"/>
          <w:szCs w:val="32"/>
        </w:rPr>
      </w:pPr>
      <w:bookmarkStart w:id="3" w:name="_Hlk105663278"/>
      <w:r w:rsidRPr="00346BDD">
        <w:rPr>
          <w:rFonts w:ascii="標楷體" w:eastAsia="標楷體" w:hAnsi="標楷體"/>
          <w:b/>
          <w:kern w:val="0"/>
          <w:szCs w:val="32"/>
        </w:rPr>
        <w:t>1</w:t>
      </w:r>
      <w:r w:rsidRPr="00346BDD">
        <w:rPr>
          <w:rFonts w:ascii="標楷體" w:eastAsia="標楷體" w:hAnsi="標楷體" w:hint="eastAsia"/>
          <w:b/>
          <w:kern w:val="0"/>
          <w:szCs w:val="32"/>
        </w:rPr>
        <w:t>.</w:t>
      </w:r>
      <w:bookmarkStart w:id="4" w:name="_Hlk105679473"/>
      <w:r w:rsidRPr="00346BDD">
        <w:rPr>
          <w:rFonts w:ascii="標楷體" w:eastAsia="標楷體" w:hAnsi="標楷體" w:hint="eastAsia"/>
          <w:b/>
          <w:color w:val="000000"/>
          <w:szCs w:val="22"/>
        </w:rPr>
        <w:t xml:space="preserve">　</w:t>
      </w:r>
      <w:bookmarkEnd w:id="3"/>
      <w:bookmarkEnd w:id="4"/>
      <w:r w:rsidR="00043ED0" w:rsidRPr="00346BDD">
        <w:rPr>
          <w:rFonts w:ascii="標楷體" w:eastAsia="標楷體" w:hAnsi="標楷體" w:hint="eastAsia"/>
          <w:b/>
          <w:kern w:val="0"/>
          <w:szCs w:val="32"/>
        </w:rPr>
        <w:t>部分科技發展計畫預算執行進度未如預期，或未達年度績效指標</w:t>
      </w:r>
      <w:r w:rsidRPr="00346BDD">
        <w:rPr>
          <w:rFonts w:ascii="標楷體" w:eastAsia="標楷體" w:hAnsi="標楷體" w:hint="eastAsia"/>
          <w:b/>
          <w:kern w:val="0"/>
          <w:szCs w:val="32"/>
        </w:rPr>
        <w:t>：</w:t>
      </w:r>
      <w:r w:rsidRPr="00346BDD">
        <w:rPr>
          <w:rFonts w:ascii="標楷體" w:eastAsia="標楷體" w:hAnsi="標楷體" w:hint="eastAsia"/>
          <w:kern w:val="0"/>
          <w:szCs w:val="32"/>
        </w:rPr>
        <w:t>依據瑞士洛桑管理學院（International Institute for Management Development, IMD）</w:t>
      </w:r>
      <w:r w:rsidR="00C342B2" w:rsidRPr="00346BDD">
        <w:rPr>
          <w:rFonts w:ascii="標楷體" w:eastAsia="標楷體" w:hAnsi="標楷體"/>
          <w:kern w:val="0"/>
          <w:szCs w:val="32"/>
        </w:rPr>
        <w:t>2023年6月公布之</w:t>
      </w:r>
      <w:r w:rsidR="00C342B2" w:rsidRPr="00346BDD">
        <w:rPr>
          <w:rFonts w:ascii="標楷體" w:eastAsia="標楷體" w:hAnsi="標楷體"/>
          <w:spacing w:val="2"/>
          <w:kern w:val="0"/>
          <w:szCs w:val="32"/>
        </w:rPr>
        <w:t>「2023年IMD</w:t>
      </w:r>
      <w:r w:rsidR="00A10A4F" w:rsidRPr="00346BDD">
        <w:rPr>
          <w:rFonts w:ascii="標楷體" w:eastAsia="標楷體" w:hAnsi="標楷體"/>
          <w:spacing w:val="2"/>
          <w:kern w:val="0"/>
          <w:szCs w:val="32"/>
        </w:rPr>
        <w:t>世界競爭力年報」，</w:t>
      </w:r>
      <w:r w:rsidR="00A10A4F" w:rsidRPr="00346BDD">
        <w:rPr>
          <w:rFonts w:ascii="標楷體" w:eastAsia="標楷體" w:hAnsi="標楷體" w:hint="eastAsia"/>
          <w:kern w:val="0"/>
          <w:szCs w:val="32"/>
        </w:rPr>
        <w:t>我國</w:t>
      </w:r>
      <w:r w:rsidR="00C342B2" w:rsidRPr="00346BDD">
        <w:rPr>
          <w:rFonts w:ascii="標楷體" w:eastAsia="標楷體" w:hAnsi="標楷體"/>
          <w:kern w:val="0"/>
          <w:szCs w:val="32"/>
        </w:rPr>
        <w:t>於64個受評</w:t>
      </w:r>
      <w:r w:rsidR="00C342B2" w:rsidRPr="00346BDD">
        <w:rPr>
          <w:rFonts w:ascii="標楷體" w:eastAsia="標楷體" w:hAnsi="標楷體"/>
          <w:spacing w:val="2"/>
          <w:kern w:val="0"/>
          <w:szCs w:val="32"/>
        </w:rPr>
        <w:t>比國家中排名第6，</w:t>
      </w:r>
      <w:r w:rsidR="00C342B2" w:rsidRPr="00346BDD">
        <w:rPr>
          <w:rFonts w:ascii="標楷體" w:eastAsia="標楷體" w:hAnsi="標楷體"/>
          <w:kern w:val="0"/>
          <w:szCs w:val="32"/>
        </w:rPr>
        <w:t>整體排名連續5年進步，其中與科技創新相關之「科學建設」及「技術建設」2</w:t>
      </w:r>
      <w:r w:rsidR="00A10A4F" w:rsidRPr="00346BDD">
        <w:rPr>
          <w:rFonts w:ascii="標楷體" w:eastAsia="標楷體" w:hAnsi="標楷體"/>
          <w:kern w:val="0"/>
          <w:szCs w:val="32"/>
        </w:rPr>
        <w:t>項中</w:t>
      </w:r>
      <w:r w:rsidR="00A10A4F" w:rsidRPr="00346BDD">
        <w:rPr>
          <w:rFonts w:ascii="標楷體" w:eastAsia="標楷體" w:hAnsi="標楷體"/>
          <w:spacing w:val="2"/>
          <w:kern w:val="0"/>
          <w:szCs w:val="32"/>
        </w:rPr>
        <w:t>項指標，排名</w:t>
      </w:r>
      <w:r w:rsidR="00C342B2" w:rsidRPr="00346BDD">
        <w:rPr>
          <w:rFonts w:ascii="標楷體" w:eastAsia="標楷體" w:hAnsi="標楷體"/>
          <w:spacing w:val="2"/>
          <w:kern w:val="0"/>
          <w:szCs w:val="32"/>
        </w:rPr>
        <w:t>第</w:t>
      </w:r>
      <w:r w:rsidR="00C342B2" w:rsidRPr="00346BDD">
        <w:rPr>
          <w:rFonts w:ascii="標楷體" w:eastAsia="標楷體" w:hAnsi="標楷體"/>
          <w:kern w:val="0"/>
          <w:szCs w:val="32"/>
        </w:rPr>
        <w:t>5及</w:t>
      </w:r>
      <w:r w:rsidR="00C342B2" w:rsidRPr="00346BDD">
        <w:rPr>
          <w:rFonts w:ascii="標楷體" w:eastAsia="標楷體" w:hAnsi="標楷體" w:hint="eastAsia"/>
          <w:kern w:val="0"/>
          <w:szCs w:val="32"/>
        </w:rPr>
        <w:t>第</w:t>
      </w:r>
      <w:r w:rsidR="00C342B2" w:rsidRPr="00346BDD">
        <w:rPr>
          <w:rFonts w:ascii="標楷體" w:eastAsia="標楷體" w:hAnsi="標楷體"/>
          <w:kern w:val="0"/>
          <w:szCs w:val="32"/>
        </w:rPr>
        <w:t>8，且「每千人研發人力」</w:t>
      </w:r>
      <w:r w:rsidRPr="00346BDD">
        <w:rPr>
          <w:rFonts w:ascii="標楷體" w:eastAsia="標楷體" w:hAnsi="標楷體" w:hint="eastAsia"/>
          <w:kern w:val="0"/>
          <w:szCs w:val="32"/>
        </w:rPr>
        <w:t>、「研發總支出占GDP比率」、「企業研發支出</w:t>
      </w:r>
      <w:r w:rsidRPr="009D11AD">
        <w:rPr>
          <w:rFonts w:ascii="標楷體" w:eastAsia="標楷體" w:hAnsi="標楷體" w:hint="eastAsia"/>
          <w:kern w:val="0"/>
          <w:szCs w:val="32"/>
        </w:rPr>
        <w:t>占GDP比率」等細</w:t>
      </w:r>
      <w:r w:rsidRPr="00043ED0">
        <w:rPr>
          <w:rFonts w:ascii="標楷體" w:eastAsia="標楷體" w:hAnsi="標楷體" w:hint="eastAsia"/>
          <w:kern w:val="0"/>
          <w:szCs w:val="32"/>
        </w:rPr>
        <w:t>項指標皆高</w:t>
      </w:r>
      <w:r w:rsidRPr="00346BDD">
        <w:rPr>
          <w:rFonts w:ascii="標楷體" w:eastAsia="標楷體" w:hAnsi="標楷體" w:hint="eastAsia"/>
          <w:kern w:val="0"/>
          <w:szCs w:val="32"/>
        </w:rPr>
        <w:lastRenderedPageBreak/>
        <w:t>居全球前3名，顯示政府投入之科技研發資源，已有效提升我國整體競爭力。經查111年度</w:t>
      </w:r>
      <w:r w:rsidR="00C342B2" w:rsidRPr="00346BDD">
        <w:rPr>
          <w:rFonts w:ascii="標楷體" w:eastAsia="標楷體" w:hAnsi="標楷體" w:hint="eastAsia"/>
          <w:kern w:val="0"/>
          <w:szCs w:val="32"/>
        </w:rPr>
        <w:t>各機關（單位）</w:t>
      </w:r>
      <w:r w:rsidRPr="00346BDD">
        <w:rPr>
          <w:rFonts w:ascii="標楷體" w:eastAsia="標楷體" w:hAnsi="標楷體" w:hint="eastAsia"/>
          <w:kern w:val="0"/>
          <w:szCs w:val="32"/>
        </w:rPr>
        <w:t>辦理科技發展計畫及科技發展類前瞻基礎建設計畫，執行結果，實現數分別為955億餘元及373億餘元，已實現比率各94.22％及93.44％，經以執行機關（單位）分析，已實現比率未達8成者，計有行政院（</w:t>
      </w:r>
      <w:r w:rsidR="00C342B2" w:rsidRPr="00346BDD">
        <w:rPr>
          <w:rFonts w:ascii="標楷體" w:eastAsia="標楷體" w:hAnsi="標楷體" w:hint="eastAsia"/>
          <w:kern w:val="0"/>
          <w:szCs w:val="32"/>
        </w:rPr>
        <w:t>資</w:t>
      </w:r>
      <w:r w:rsidR="00B01FF1">
        <w:rPr>
          <w:rFonts w:ascii="標楷體" w:eastAsia="標楷體" w:hAnsi="標楷體" w:hint="eastAsia"/>
          <w:kern w:val="0"/>
          <w:szCs w:val="32"/>
        </w:rPr>
        <w:t>通</w:t>
      </w:r>
      <w:r w:rsidR="00C342B2" w:rsidRPr="00346BDD">
        <w:rPr>
          <w:rFonts w:ascii="標楷體" w:eastAsia="標楷體" w:hAnsi="標楷體" w:hint="eastAsia"/>
          <w:kern w:val="0"/>
          <w:szCs w:val="32"/>
        </w:rPr>
        <w:t>安全處，</w:t>
      </w:r>
      <w:r w:rsidRPr="00346BDD">
        <w:rPr>
          <w:rFonts w:ascii="標楷體" w:eastAsia="標楷體" w:hAnsi="標楷體" w:hint="eastAsia"/>
          <w:kern w:val="0"/>
          <w:szCs w:val="32"/>
        </w:rPr>
        <w:t>業務自111年8月移撥至數位發展部資通安全署）、內政部及海洋委員會等3個機關；以計畫別分</w:t>
      </w:r>
      <w:r w:rsidRPr="009D11AD">
        <w:rPr>
          <w:rFonts w:ascii="標楷體" w:eastAsia="標楷體" w:hAnsi="標楷體" w:hint="eastAsia"/>
          <w:kern w:val="0"/>
          <w:szCs w:val="32"/>
        </w:rPr>
        <w:t>析，則分別有28項及10項計畫，因受新型冠狀病毒肺炎（COVID－19）疫情影響，測試設備及關鍵元件延後遞交、國際交流活動暫緩，及委託或補助案件期程跨年度，或工程受物價波動及缺工等影響，延後決標，</w:t>
      </w:r>
      <w:r w:rsidR="00E83099" w:rsidRPr="009D11AD">
        <w:rPr>
          <w:rFonts w:ascii="標楷體" w:eastAsia="標楷體" w:hAnsi="標楷體"/>
          <w:noProof/>
          <w:kern w:val="0"/>
          <w:szCs w:val="32"/>
        </w:rPr>
        <mc:AlternateContent>
          <mc:Choice Requires="wps">
            <w:drawing>
              <wp:anchor distT="0" distB="0" distL="114300" distR="114300" simplePos="0" relativeHeight="251672064" behindDoc="1" locked="0" layoutInCell="1" allowOverlap="1" wp14:anchorId="4004D732" wp14:editId="0049B8E6">
                <wp:simplePos x="0" y="0"/>
                <wp:positionH relativeFrom="margin">
                  <wp:posOffset>1490390</wp:posOffset>
                </wp:positionH>
                <wp:positionV relativeFrom="paragraph">
                  <wp:posOffset>2407123</wp:posOffset>
                </wp:positionV>
                <wp:extent cx="4809600" cy="2764800"/>
                <wp:effectExtent l="0" t="0" r="0" b="0"/>
                <wp:wrapSquare wrapText="bothSides"/>
                <wp:docPr id="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9600" cy="2764800"/>
                        </a:xfrm>
                        <a:prstGeom prst="rect">
                          <a:avLst/>
                        </a:prstGeom>
                        <a:solidFill>
                          <a:srgbClr val="FFFFFF"/>
                        </a:solidFill>
                        <a:ln w="9525">
                          <a:noFill/>
                          <a:miter lim="800000"/>
                          <a:headEnd/>
                          <a:tailEnd/>
                        </a:ln>
                      </wps:spPr>
                      <wps:txbx>
                        <w:txbxContent>
                          <w:p w14:paraId="55FC446F" w14:textId="6A68B4A9" w:rsidR="00CE57F9" w:rsidRPr="002C253B" w:rsidRDefault="00CE57F9" w:rsidP="00E83099">
                            <w:pPr>
                              <w:adjustRightInd w:val="0"/>
                              <w:snapToGrid w:val="0"/>
                              <w:jc w:val="center"/>
                              <w:rPr>
                                <w:rFonts w:ascii="標楷體" w:eastAsia="標楷體" w:hAnsi="標楷體" w:cstheme="minorBidi"/>
                                <w:b/>
                                <w:szCs w:val="32"/>
                              </w:rPr>
                            </w:pPr>
                            <w:r w:rsidRPr="002C253B">
                              <w:rPr>
                                <w:rFonts w:ascii="標楷體" w:eastAsia="標楷體" w:hAnsi="標楷體" w:cstheme="minorBidi"/>
                                <w:b/>
                                <w:szCs w:val="32"/>
                              </w:rPr>
                              <w:t>表</w:t>
                            </w:r>
                            <w:r>
                              <w:rPr>
                                <w:rFonts w:ascii="標楷體" w:eastAsia="標楷體" w:hAnsi="標楷體" w:cstheme="minorBidi"/>
                                <w:b/>
                                <w:szCs w:val="32"/>
                              </w:rPr>
                              <w:t>16</w:t>
                            </w:r>
                            <w:r w:rsidRPr="002C253B">
                              <w:rPr>
                                <w:rFonts w:ascii="標楷體" w:eastAsia="標楷體" w:hAnsi="標楷體" w:cstheme="minorBidi" w:hint="eastAsia"/>
                                <w:b/>
                                <w:szCs w:val="32"/>
                              </w:rPr>
                              <w:t xml:space="preserve">　11</w:t>
                            </w:r>
                            <w:r w:rsidRPr="002C253B">
                              <w:rPr>
                                <w:rFonts w:ascii="標楷體" w:eastAsia="標楷體" w:hAnsi="標楷體" w:cstheme="minorBidi"/>
                                <w:b/>
                                <w:szCs w:val="32"/>
                              </w:rPr>
                              <w:t>1</w:t>
                            </w:r>
                            <w:r w:rsidRPr="002C253B">
                              <w:rPr>
                                <w:rFonts w:ascii="標楷體" w:eastAsia="標楷體" w:hAnsi="標楷體" w:cstheme="minorBidi" w:hint="eastAsia"/>
                                <w:b/>
                                <w:szCs w:val="32"/>
                              </w:rPr>
                              <w:t>年度科技發展預算已實現比率未</w:t>
                            </w:r>
                            <w:r>
                              <w:rPr>
                                <w:rFonts w:ascii="標楷體" w:eastAsia="標楷體" w:hAnsi="標楷體" w:cstheme="minorBidi" w:hint="eastAsia"/>
                                <w:b/>
                                <w:szCs w:val="32"/>
                              </w:rPr>
                              <w:t>及</w:t>
                            </w:r>
                            <w:r w:rsidRPr="002C253B">
                              <w:rPr>
                                <w:rFonts w:ascii="標楷體" w:eastAsia="標楷體" w:hAnsi="標楷體" w:cstheme="minorBidi" w:hint="eastAsia"/>
                                <w:b/>
                                <w:szCs w:val="32"/>
                              </w:rPr>
                              <w:t>3成情形</w:t>
                            </w:r>
                          </w:p>
                          <w:p w14:paraId="49DA2E11" w14:textId="77777777" w:rsidR="00CE57F9" w:rsidRPr="002C253B" w:rsidRDefault="00CE57F9" w:rsidP="00E83099">
                            <w:pPr>
                              <w:adjustRightInd w:val="0"/>
                              <w:snapToGrid w:val="0"/>
                              <w:spacing w:line="360" w:lineRule="exact"/>
                              <w:ind w:leftChars="17" w:left="41" w:rightChars="71" w:right="170" w:firstLineChars="1442" w:firstLine="2884"/>
                              <w:jc w:val="right"/>
                              <w:rPr>
                                <w:rFonts w:ascii="標楷體" w:eastAsia="標楷體" w:hAnsi="標楷體" w:cstheme="minorBidi"/>
                                <w:sz w:val="20"/>
                                <w:szCs w:val="18"/>
                              </w:rPr>
                            </w:pPr>
                            <w:r w:rsidRPr="002C253B">
                              <w:rPr>
                                <w:rFonts w:ascii="標楷體" w:eastAsia="標楷體" w:hAnsi="標楷體" w:cstheme="minorBidi" w:hint="eastAsia"/>
                                <w:sz w:val="20"/>
                                <w:szCs w:val="18"/>
                              </w:rPr>
                              <w:t>單位：新臺幣千元、％</w:t>
                            </w:r>
                          </w:p>
                          <w:tbl>
                            <w:tblPr>
                              <w:tblW w:w="7333" w:type="dxa"/>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28" w:type="dxa"/>
                                <w:right w:w="28" w:type="dxa"/>
                              </w:tblCellMar>
                              <w:tblLook w:val="04A0" w:firstRow="1" w:lastRow="0" w:firstColumn="1" w:lastColumn="0" w:noHBand="0" w:noVBand="1"/>
                            </w:tblPr>
                            <w:tblGrid>
                              <w:gridCol w:w="1140"/>
                              <w:gridCol w:w="3461"/>
                              <w:gridCol w:w="884"/>
                              <w:gridCol w:w="992"/>
                              <w:gridCol w:w="856"/>
                            </w:tblGrid>
                            <w:tr w:rsidR="00CE57F9" w:rsidRPr="002C253B" w14:paraId="56FC2D14" w14:textId="77777777" w:rsidTr="00DA2751">
                              <w:trPr>
                                <w:trHeight w:val="392"/>
                                <w:tblHeader/>
                              </w:trPr>
                              <w:tc>
                                <w:tcPr>
                                  <w:tcW w:w="1140" w:type="dxa"/>
                                  <w:shd w:val="clear" w:color="auto" w:fill="FFFFFF" w:themeFill="background1"/>
                                  <w:noWrap/>
                                  <w:vAlign w:val="center"/>
                                  <w:hideMark/>
                                </w:tcPr>
                                <w:p w14:paraId="5226108D" w14:textId="77777777" w:rsidR="00CE57F9" w:rsidRPr="002C253B" w:rsidRDefault="00CE57F9" w:rsidP="00F72E6D">
                                  <w:pPr>
                                    <w:widowControl/>
                                    <w:adjustRightInd w:val="0"/>
                                    <w:snapToGrid w:val="0"/>
                                    <w:jc w:val="center"/>
                                    <w:rPr>
                                      <w:rFonts w:ascii="標楷體" w:eastAsia="標楷體" w:hAnsi="標楷體" w:cs="新細明體"/>
                                      <w:kern w:val="0"/>
                                      <w:sz w:val="20"/>
                                    </w:rPr>
                                  </w:pPr>
                                  <w:r w:rsidRPr="002C253B">
                                    <w:rPr>
                                      <w:rFonts w:ascii="標楷體" w:eastAsia="標楷體" w:hAnsi="標楷體" w:cs="新細明體" w:hint="eastAsia"/>
                                      <w:kern w:val="0"/>
                                      <w:sz w:val="20"/>
                                    </w:rPr>
                                    <w:t>主管機關</w:t>
                                  </w:r>
                                </w:p>
                              </w:tc>
                              <w:tc>
                                <w:tcPr>
                                  <w:tcW w:w="3461" w:type="dxa"/>
                                  <w:shd w:val="clear" w:color="auto" w:fill="FFFFFF" w:themeFill="background1"/>
                                  <w:vAlign w:val="center"/>
                                  <w:hideMark/>
                                </w:tcPr>
                                <w:p w14:paraId="1955CAEA" w14:textId="77777777" w:rsidR="00CE57F9" w:rsidRPr="002C253B" w:rsidRDefault="00CE57F9" w:rsidP="00F72E6D">
                                  <w:pPr>
                                    <w:widowControl/>
                                    <w:adjustRightInd w:val="0"/>
                                    <w:snapToGrid w:val="0"/>
                                    <w:jc w:val="center"/>
                                    <w:rPr>
                                      <w:rFonts w:ascii="標楷體" w:eastAsia="標楷體" w:hAnsi="標楷體" w:cs="新細明體"/>
                                      <w:kern w:val="0"/>
                                      <w:sz w:val="20"/>
                                    </w:rPr>
                                  </w:pPr>
                                  <w:r w:rsidRPr="002C253B">
                                    <w:rPr>
                                      <w:rFonts w:ascii="標楷體" w:eastAsia="標楷體" w:hAnsi="標楷體" w:cs="新細明體" w:hint="eastAsia"/>
                                      <w:kern w:val="0"/>
                                      <w:sz w:val="20"/>
                                    </w:rPr>
                                    <w:t>計畫名稱</w:t>
                                  </w:r>
                                </w:p>
                              </w:tc>
                              <w:tc>
                                <w:tcPr>
                                  <w:tcW w:w="884" w:type="dxa"/>
                                  <w:shd w:val="clear" w:color="auto" w:fill="FFFFFF" w:themeFill="background1"/>
                                  <w:noWrap/>
                                  <w:vAlign w:val="center"/>
                                  <w:hideMark/>
                                </w:tcPr>
                                <w:p w14:paraId="0B5636BF" w14:textId="77777777" w:rsidR="00CE57F9" w:rsidRPr="002C253B" w:rsidRDefault="00CE57F9" w:rsidP="00F72E6D">
                                  <w:pPr>
                                    <w:widowControl/>
                                    <w:adjustRightInd w:val="0"/>
                                    <w:snapToGrid w:val="0"/>
                                    <w:jc w:val="center"/>
                                    <w:rPr>
                                      <w:rFonts w:ascii="標楷體" w:eastAsia="標楷體" w:hAnsi="標楷體" w:cs="新細明體"/>
                                      <w:kern w:val="0"/>
                                      <w:sz w:val="20"/>
                                    </w:rPr>
                                  </w:pPr>
                                  <w:r w:rsidRPr="002C253B">
                                    <w:rPr>
                                      <w:rFonts w:ascii="標楷體" w:eastAsia="標楷體" w:hAnsi="標楷體" w:cs="新細明體" w:hint="eastAsia"/>
                                      <w:kern w:val="0"/>
                                      <w:sz w:val="20"/>
                                    </w:rPr>
                                    <w:t>預算數</w:t>
                                  </w:r>
                                </w:p>
                              </w:tc>
                              <w:tc>
                                <w:tcPr>
                                  <w:tcW w:w="992" w:type="dxa"/>
                                  <w:shd w:val="clear" w:color="auto" w:fill="FFFFFF" w:themeFill="background1"/>
                                  <w:noWrap/>
                                  <w:vAlign w:val="center"/>
                                  <w:hideMark/>
                                </w:tcPr>
                                <w:p w14:paraId="057EF8A9" w14:textId="77777777" w:rsidR="00CE57F9" w:rsidRPr="002C253B" w:rsidRDefault="00CE57F9" w:rsidP="00F72E6D">
                                  <w:pPr>
                                    <w:widowControl/>
                                    <w:adjustRightInd w:val="0"/>
                                    <w:snapToGrid w:val="0"/>
                                    <w:jc w:val="center"/>
                                    <w:rPr>
                                      <w:rFonts w:ascii="標楷體" w:eastAsia="標楷體" w:hAnsi="標楷體" w:cs="新細明體"/>
                                      <w:kern w:val="0"/>
                                      <w:sz w:val="20"/>
                                    </w:rPr>
                                  </w:pPr>
                                  <w:r w:rsidRPr="002C253B">
                                    <w:rPr>
                                      <w:rFonts w:ascii="標楷體" w:eastAsia="標楷體" w:hAnsi="標楷體" w:cs="新細明體" w:hint="eastAsia"/>
                                      <w:kern w:val="0"/>
                                      <w:sz w:val="20"/>
                                    </w:rPr>
                                    <w:t>實現數</w:t>
                                  </w:r>
                                </w:p>
                              </w:tc>
                              <w:tc>
                                <w:tcPr>
                                  <w:tcW w:w="856" w:type="dxa"/>
                                  <w:shd w:val="clear" w:color="auto" w:fill="FFFFFF" w:themeFill="background1"/>
                                  <w:noWrap/>
                                  <w:vAlign w:val="center"/>
                                  <w:hideMark/>
                                </w:tcPr>
                                <w:p w14:paraId="73161281" w14:textId="77777777" w:rsidR="00CE57F9" w:rsidRDefault="00CE57F9" w:rsidP="00F72E6D">
                                  <w:pPr>
                                    <w:widowControl/>
                                    <w:adjustRightInd w:val="0"/>
                                    <w:snapToGrid w:val="0"/>
                                    <w:jc w:val="center"/>
                                    <w:rPr>
                                      <w:rFonts w:ascii="標楷體" w:eastAsia="標楷體" w:hAnsi="標楷體" w:cs="新細明體"/>
                                      <w:kern w:val="0"/>
                                      <w:sz w:val="20"/>
                                    </w:rPr>
                                  </w:pPr>
                                  <w:r w:rsidRPr="002C253B">
                                    <w:rPr>
                                      <w:rFonts w:ascii="標楷體" w:eastAsia="標楷體" w:hAnsi="標楷體" w:cs="新細明體" w:hint="eastAsia"/>
                                      <w:kern w:val="0"/>
                                      <w:sz w:val="20"/>
                                    </w:rPr>
                                    <w:t>已實現</w:t>
                                  </w:r>
                                </w:p>
                                <w:p w14:paraId="30D0D806" w14:textId="77777777" w:rsidR="00CE57F9" w:rsidRPr="002C253B" w:rsidRDefault="00CE57F9" w:rsidP="00F72E6D">
                                  <w:pPr>
                                    <w:widowControl/>
                                    <w:adjustRightInd w:val="0"/>
                                    <w:snapToGrid w:val="0"/>
                                    <w:jc w:val="center"/>
                                    <w:rPr>
                                      <w:rFonts w:ascii="標楷體" w:eastAsia="標楷體" w:hAnsi="標楷體" w:cs="新細明體"/>
                                      <w:kern w:val="0"/>
                                      <w:sz w:val="20"/>
                                    </w:rPr>
                                  </w:pPr>
                                  <w:r w:rsidRPr="002C253B">
                                    <w:rPr>
                                      <w:rFonts w:ascii="標楷體" w:eastAsia="標楷體" w:hAnsi="標楷體" w:cs="新細明體" w:hint="eastAsia"/>
                                      <w:kern w:val="0"/>
                                      <w:sz w:val="20"/>
                                    </w:rPr>
                                    <w:t>比率</w:t>
                                  </w:r>
                                </w:p>
                              </w:tc>
                            </w:tr>
                            <w:tr w:rsidR="00CE57F9" w:rsidRPr="002C253B" w14:paraId="57CAD5C3" w14:textId="77777777" w:rsidTr="00DA2751">
                              <w:trPr>
                                <w:trHeight w:val="206"/>
                              </w:trPr>
                              <w:tc>
                                <w:tcPr>
                                  <w:tcW w:w="7333" w:type="dxa"/>
                                  <w:gridSpan w:val="5"/>
                                  <w:shd w:val="clear" w:color="auto" w:fill="FFFFFF" w:themeFill="background1"/>
                                  <w:noWrap/>
                                  <w:vAlign w:val="center"/>
                                </w:tcPr>
                                <w:p w14:paraId="235A3C5F" w14:textId="77777777" w:rsidR="00CE57F9" w:rsidRPr="002C253B" w:rsidRDefault="00CE57F9" w:rsidP="00F72E6D">
                                  <w:pPr>
                                    <w:widowControl/>
                                    <w:adjustRightInd w:val="0"/>
                                    <w:snapToGrid w:val="0"/>
                                    <w:rPr>
                                      <w:rFonts w:ascii="標楷體" w:eastAsia="標楷體" w:hAnsi="標楷體" w:cs="新細明體"/>
                                      <w:b/>
                                      <w:kern w:val="0"/>
                                      <w:sz w:val="20"/>
                                    </w:rPr>
                                  </w:pPr>
                                  <w:r w:rsidRPr="002C253B">
                                    <w:rPr>
                                      <w:rFonts w:ascii="標楷體" w:eastAsia="標楷體" w:hAnsi="標楷體" w:cs="新細明體" w:hint="eastAsia"/>
                                      <w:b/>
                                      <w:kern w:val="0"/>
                                      <w:sz w:val="20"/>
                                    </w:rPr>
                                    <w:t>一、111年度科技發展計畫</w:t>
                                  </w:r>
                                </w:p>
                              </w:tc>
                            </w:tr>
                            <w:tr w:rsidR="00CE57F9" w:rsidRPr="002C253B" w14:paraId="21B0293D" w14:textId="77777777" w:rsidTr="00DA2751">
                              <w:trPr>
                                <w:trHeight w:val="113"/>
                              </w:trPr>
                              <w:tc>
                                <w:tcPr>
                                  <w:tcW w:w="1140" w:type="dxa"/>
                                  <w:vMerge w:val="restart"/>
                                  <w:shd w:val="clear" w:color="auto" w:fill="FFFFFF" w:themeFill="background1"/>
                                  <w:noWrap/>
                                  <w:vAlign w:val="center"/>
                                </w:tcPr>
                                <w:p w14:paraId="1B777E19" w14:textId="77777777" w:rsidR="00CE57F9" w:rsidRPr="002C253B" w:rsidRDefault="00CE57F9" w:rsidP="00F72E6D">
                                  <w:pPr>
                                    <w:adjustRightInd w:val="0"/>
                                    <w:snapToGrid w:val="0"/>
                                    <w:jc w:val="distribute"/>
                                    <w:rPr>
                                      <w:rFonts w:ascii="標楷體" w:eastAsia="標楷體" w:hAnsi="標楷體" w:cs="新細明體"/>
                                      <w:kern w:val="0"/>
                                      <w:sz w:val="20"/>
                                    </w:rPr>
                                  </w:pPr>
                                  <w:r w:rsidRPr="002C253B">
                                    <w:rPr>
                                      <w:rFonts w:ascii="標楷體" w:eastAsia="標楷體" w:hAnsi="標楷體" w:cs="新細明體" w:hint="eastAsia"/>
                                      <w:kern w:val="0"/>
                                      <w:sz w:val="20"/>
                                    </w:rPr>
                                    <w:t>衛生福利部</w:t>
                                  </w:r>
                                </w:p>
                              </w:tc>
                              <w:tc>
                                <w:tcPr>
                                  <w:tcW w:w="3461" w:type="dxa"/>
                                  <w:shd w:val="clear" w:color="auto" w:fill="auto"/>
                                </w:tcPr>
                                <w:p w14:paraId="522D39E8" w14:textId="77777777" w:rsidR="00CE57F9" w:rsidRPr="002C253B" w:rsidRDefault="00CE57F9" w:rsidP="00F72E6D">
                                  <w:pPr>
                                    <w:widowControl/>
                                    <w:adjustRightInd w:val="0"/>
                                    <w:snapToGrid w:val="0"/>
                                    <w:jc w:val="both"/>
                                    <w:rPr>
                                      <w:rFonts w:ascii="標楷體" w:eastAsia="標楷體" w:hAnsi="標楷體" w:cs="新細明體"/>
                                      <w:kern w:val="0"/>
                                      <w:sz w:val="20"/>
                                    </w:rPr>
                                  </w:pPr>
                                  <w:r w:rsidRPr="002C253B">
                                    <w:rPr>
                                      <w:rFonts w:ascii="標楷體" w:eastAsia="標楷體" w:hAnsi="標楷體" w:cs="新細明體"/>
                                      <w:kern w:val="0"/>
                                      <w:sz w:val="20"/>
                                    </w:rPr>
                                    <w:t>健康福祉科技整合照護場域推動計畫</w:t>
                                  </w:r>
                                </w:p>
                              </w:tc>
                              <w:tc>
                                <w:tcPr>
                                  <w:tcW w:w="884" w:type="dxa"/>
                                  <w:shd w:val="clear" w:color="auto" w:fill="auto"/>
                                  <w:noWrap/>
                                  <w:vAlign w:val="center"/>
                                </w:tcPr>
                                <w:p w14:paraId="2C13554B"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kern w:val="0"/>
                                      <w:sz w:val="20"/>
                                    </w:rPr>
                                    <w:t>19,917</w:t>
                                  </w:r>
                                </w:p>
                              </w:tc>
                              <w:tc>
                                <w:tcPr>
                                  <w:tcW w:w="992" w:type="dxa"/>
                                  <w:noWrap/>
                                  <w:vAlign w:val="center"/>
                                </w:tcPr>
                                <w:p w14:paraId="7CBBFA2E"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kern w:val="0"/>
                                      <w:sz w:val="20"/>
                                    </w:rPr>
                                    <w:t>3,840</w:t>
                                  </w:r>
                                </w:p>
                              </w:tc>
                              <w:tc>
                                <w:tcPr>
                                  <w:tcW w:w="856" w:type="dxa"/>
                                  <w:shd w:val="clear" w:color="auto" w:fill="auto"/>
                                  <w:noWrap/>
                                  <w:vAlign w:val="center"/>
                                </w:tcPr>
                                <w:p w14:paraId="5279B20B"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kern w:val="0"/>
                                      <w:sz w:val="20"/>
                                    </w:rPr>
                                    <w:t>19.28</w:t>
                                  </w:r>
                                </w:p>
                              </w:tc>
                            </w:tr>
                            <w:tr w:rsidR="00CE57F9" w:rsidRPr="002C253B" w14:paraId="06D94D1E" w14:textId="77777777" w:rsidTr="00DA2751">
                              <w:trPr>
                                <w:trHeight w:val="195"/>
                              </w:trPr>
                              <w:tc>
                                <w:tcPr>
                                  <w:tcW w:w="1140" w:type="dxa"/>
                                  <w:vMerge/>
                                  <w:shd w:val="clear" w:color="auto" w:fill="FFFFFF" w:themeFill="background1"/>
                                  <w:noWrap/>
                                  <w:vAlign w:val="center"/>
                                  <w:hideMark/>
                                </w:tcPr>
                                <w:p w14:paraId="7E2AC972" w14:textId="77777777" w:rsidR="00CE57F9" w:rsidRPr="002C253B" w:rsidRDefault="00CE57F9" w:rsidP="00F72E6D">
                                  <w:pPr>
                                    <w:adjustRightInd w:val="0"/>
                                    <w:snapToGrid w:val="0"/>
                                    <w:jc w:val="distribute"/>
                                    <w:rPr>
                                      <w:rFonts w:ascii="標楷體" w:eastAsia="標楷體" w:hAnsi="標楷體" w:cs="新細明體"/>
                                      <w:kern w:val="0"/>
                                      <w:sz w:val="20"/>
                                    </w:rPr>
                                  </w:pPr>
                                </w:p>
                              </w:tc>
                              <w:tc>
                                <w:tcPr>
                                  <w:tcW w:w="3461" w:type="dxa"/>
                                  <w:shd w:val="clear" w:color="auto" w:fill="FFFFFF" w:themeFill="background1"/>
                                  <w:hideMark/>
                                </w:tcPr>
                                <w:p w14:paraId="4A7F14C6" w14:textId="77777777" w:rsidR="00CE57F9" w:rsidRPr="002C253B" w:rsidRDefault="00CE57F9" w:rsidP="00F72E6D">
                                  <w:pPr>
                                    <w:widowControl/>
                                    <w:adjustRightInd w:val="0"/>
                                    <w:snapToGrid w:val="0"/>
                                    <w:jc w:val="both"/>
                                    <w:rPr>
                                      <w:rFonts w:ascii="標楷體" w:eastAsia="標楷體" w:hAnsi="標楷體" w:cs="新細明體"/>
                                      <w:kern w:val="0"/>
                                      <w:sz w:val="20"/>
                                    </w:rPr>
                                  </w:pPr>
                                  <w:r w:rsidRPr="002C253B">
                                    <w:rPr>
                                      <w:rFonts w:ascii="標楷體" w:eastAsia="標楷體" w:hAnsi="標楷體" w:cs="新細明體" w:hint="eastAsia"/>
                                      <w:kern w:val="0"/>
                                      <w:sz w:val="20"/>
                                    </w:rPr>
                                    <w:t>社會福利多元服務與實證決策模式計畫</w:t>
                                  </w:r>
                                </w:p>
                              </w:tc>
                              <w:tc>
                                <w:tcPr>
                                  <w:tcW w:w="884" w:type="dxa"/>
                                  <w:shd w:val="clear" w:color="auto" w:fill="FFFFFF" w:themeFill="background1"/>
                                  <w:noWrap/>
                                  <w:vAlign w:val="center"/>
                                  <w:hideMark/>
                                </w:tcPr>
                                <w:p w14:paraId="084CBB3D"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hint="eastAsia"/>
                                      <w:kern w:val="0"/>
                                      <w:sz w:val="20"/>
                                    </w:rPr>
                                    <w:t>54,154</w:t>
                                  </w:r>
                                </w:p>
                              </w:tc>
                              <w:tc>
                                <w:tcPr>
                                  <w:tcW w:w="992" w:type="dxa"/>
                                  <w:shd w:val="clear" w:color="auto" w:fill="FFFFFF" w:themeFill="background1"/>
                                  <w:noWrap/>
                                  <w:vAlign w:val="center"/>
                                  <w:hideMark/>
                                </w:tcPr>
                                <w:p w14:paraId="02B7B555"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hint="eastAsia"/>
                                      <w:kern w:val="0"/>
                                      <w:sz w:val="20"/>
                                    </w:rPr>
                                    <w:t>13,796</w:t>
                                  </w:r>
                                </w:p>
                              </w:tc>
                              <w:tc>
                                <w:tcPr>
                                  <w:tcW w:w="856" w:type="dxa"/>
                                  <w:shd w:val="clear" w:color="auto" w:fill="FFFFFF" w:themeFill="background1"/>
                                  <w:noWrap/>
                                  <w:vAlign w:val="center"/>
                                  <w:hideMark/>
                                </w:tcPr>
                                <w:p w14:paraId="5CB42AC2"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hint="eastAsia"/>
                                      <w:kern w:val="0"/>
                                      <w:sz w:val="20"/>
                                    </w:rPr>
                                    <w:t>25.48</w:t>
                                  </w:r>
                                </w:p>
                              </w:tc>
                            </w:tr>
                            <w:tr w:rsidR="00CE57F9" w:rsidRPr="002C253B" w14:paraId="55B219EA" w14:textId="77777777" w:rsidTr="00DA2751">
                              <w:trPr>
                                <w:trHeight w:val="248"/>
                              </w:trPr>
                              <w:tc>
                                <w:tcPr>
                                  <w:tcW w:w="1140" w:type="dxa"/>
                                  <w:shd w:val="clear" w:color="auto" w:fill="FFFFFF" w:themeFill="background1"/>
                                  <w:noWrap/>
                                  <w:vAlign w:val="center"/>
                                </w:tcPr>
                                <w:p w14:paraId="59702CF2" w14:textId="77777777" w:rsidR="00CE57F9" w:rsidRPr="002C253B" w:rsidRDefault="00CE57F9" w:rsidP="00F72E6D">
                                  <w:pPr>
                                    <w:widowControl/>
                                    <w:adjustRightInd w:val="0"/>
                                    <w:snapToGrid w:val="0"/>
                                    <w:jc w:val="distribute"/>
                                    <w:rPr>
                                      <w:rFonts w:ascii="標楷體" w:eastAsia="標楷體" w:hAnsi="標楷體" w:cs="新細明體"/>
                                      <w:kern w:val="0"/>
                                      <w:sz w:val="20"/>
                                    </w:rPr>
                                  </w:pPr>
                                  <w:r w:rsidRPr="002C253B">
                                    <w:rPr>
                                      <w:rFonts w:ascii="標楷體" w:eastAsia="標楷體" w:hAnsi="標楷體" w:cs="新細明體" w:hint="eastAsia"/>
                                      <w:kern w:val="0"/>
                                      <w:sz w:val="20"/>
                                    </w:rPr>
                                    <w:t>交通部</w:t>
                                  </w:r>
                                </w:p>
                              </w:tc>
                              <w:tc>
                                <w:tcPr>
                                  <w:tcW w:w="3461" w:type="dxa"/>
                                  <w:shd w:val="clear" w:color="auto" w:fill="FFFFFF" w:themeFill="background1"/>
                                </w:tcPr>
                                <w:p w14:paraId="3F7930D5" w14:textId="77777777" w:rsidR="00CE57F9" w:rsidRPr="002C253B" w:rsidRDefault="00CE57F9" w:rsidP="00F72E6D">
                                  <w:pPr>
                                    <w:widowControl/>
                                    <w:adjustRightInd w:val="0"/>
                                    <w:snapToGrid w:val="0"/>
                                    <w:jc w:val="both"/>
                                    <w:rPr>
                                      <w:rFonts w:ascii="標楷體" w:eastAsia="標楷體" w:hAnsi="標楷體" w:cs="新細明體"/>
                                      <w:kern w:val="0"/>
                                      <w:sz w:val="20"/>
                                    </w:rPr>
                                  </w:pPr>
                                  <w:r w:rsidRPr="002C253B">
                                    <w:rPr>
                                      <w:rFonts w:ascii="標楷體" w:eastAsia="標楷體" w:hAnsi="標楷體" w:cs="新細明體" w:hint="eastAsia"/>
                                      <w:kern w:val="0"/>
                                      <w:sz w:val="20"/>
                                    </w:rPr>
                                    <w:t>大型車輛裝設主動預警輔助系統</w:t>
                                  </w:r>
                                </w:p>
                              </w:tc>
                              <w:tc>
                                <w:tcPr>
                                  <w:tcW w:w="884" w:type="dxa"/>
                                  <w:shd w:val="clear" w:color="auto" w:fill="auto"/>
                                  <w:noWrap/>
                                  <w:vAlign w:val="center"/>
                                </w:tcPr>
                                <w:p w14:paraId="27532AF4"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kern w:val="0"/>
                                      <w:sz w:val="20"/>
                                    </w:rPr>
                                    <w:t>110,000</w:t>
                                  </w:r>
                                </w:p>
                              </w:tc>
                              <w:tc>
                                <w:tcPr>
                                  <w:tcW w:w="992" w:type="dxa"/>
                                  <w:noWrap/>
                                  <w:vAlign w:val="center"/>
                                </w:tcPr>
                                <w:p w14:paraId="3CA3A8BC"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kern w:val="0"/>
                                      <w:sz w:val="20"/>
                                    </w:rPr>
                                    <w:t>3,000</w:t>
                                  </w:r>
                                </w:p>
                              </w:tc>
                              <w:tc>
                                <w:tcPr>
                                  <w:tcW w:w="856" w:type="dxa"/>
                                  <w:shd w:val="clear" w:color="auto" w:fill="auto"/>
                                  <w:noWrap/>
                                  <w:vAlign w:val="center"/>
                                </w:tcPr>
                                <w:p w14:paraId="6D8D02D2"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kern w:val="0"/>
                                      <w:sz w:val="20"/>
                                    </w:rPr>
                                    <w:t>2.73</w:t>
                                  </w:r>
                                </w:p>
                              </w:tc>
                            </w:tr>
                            <w:tr w:rsidR="00CE57F9" w:rsidRPr="002C253B" w14:paraId="0C8666CC" w14:textId="77777777" w:rsidTr="00DA2751">
                              <w:trPr>
                                <w:trHeight w:val="248"/>
                              </w:trPr>
                              <w:tc>
                                <w:tcPr>
                                  <w:tcW w:w="1140" w:type="dxa"/>
                                  <w:shd w:val="clear" w:color="auto" w:fill="FFFFFF" w:themeFill="background1"/>
                                  <w:noWrap/>
                                  <w:vAlign w:val="center"/>
                                  <w:hideMark/>
                                </w:tcPr>
                                <w:p w14:paraId="2C9907F1" w14:textId="77777777" w:rsidR="00CE57F9" w:rsidRPr="002C253B" w:rsidRDefault="00CE57F9" w:rsidP="00F72E6D">
                                  <w:pPr>
                                    <w:widowControl/>
                                    <w:adjustRightInd w:val="0"/>
                                    <w:snapToGrid w:val="0"/>
                                    <w:jc w:val="distribute"/>
                                    <w:rPr>
                                      <w:rFonts w:ascii="標楷體" w:eastAsia="標楷體" w:hAnsi="標楷體" w:cs="新細明體"/>
                                      <w:kern w:val="0"/>
                                      <w:sz w:val="20"/>
                                    </w:rPr>
                                  </w:pPr>
                                  <w:r w:rsidRPr="002C253B">
                                    <w:rPr>
                                      <w:rFonts w:ascii="標楷體" w:eastAsia="標楷體" w:hAnsi="標楷體" w:cs="新細明體" w:hint="eastAsia"/>
                                      <w:kern w:val="0"/>
                                      <w:sz w:val="20"/>
                                    </w:rPr>
                                    <w:t>教育部</w:t>
                                  </w:r>
                                </w:p>
                              </w:tc>
                              <w:tc>
                                <w:tcPr>
                                  <w:tcW w:w="3461" w:type="dxa"/>
                                  <w:shd w:val="clear" w:color="auto" w:fill="FFFFFF" w:themeFill="background1"/>
                                  <w:vAlign w:val="center"/>
                                  <w:hideMark/>
                                </w:tcPr>
                                <w:p w14:paraId="05D26B8A" w14:textId="77777777" w:rsidR="00CE57F9" w:rsidRPr="002C253B" w:rsidRDefault="00CE57F9" w:rsidP="00F72E6D">
                                  <w:pPr>
                                    <w:widowControl/>
                                    <w:adjustRightInd w:val="0"/>
                                    <w:snapToGrid w:val="0"/>
                                    <w:jc w:val="both"/>
                                    <w:rPr>
                                      <w:rFonts w:ascii="標楷體" w:eastAsia="標楷體" w:hAnsi="標楷體" w:cs="新細明體"/>
                                      <w:kern w:val="0"/>
                                      <w:sz w:val="20"/>
                                    </w:rPr>
                                  </w:pPr>
                                  <w:r w:rsidRPr="002C253B">
                                    <w:rPr>
                                      <w:rFonts w:ascii="標楷體" w:eastAsia="標楷體" w:hAnsi="標楷體" w:cs="新細明體" w:hint="eastAsia"/>
                                      <w:kern w:val="0"/>
                                      <w:sz w:val="20"/>
                                    </w:rPr>
                                    <w:t>臺灣資安卓越深耕</w:t>
                                  </w:r>
                                  <w:r>
                                    <w:rPr>
                                      <w:rFonts w:ascii="標楷體" w:eastAsia="標楷體" w:hAnsi="標楷體" w:cs="新細明體" w:hint="eastAsia"/>
                                      <w:kern w:val="0"/>
                                      <w:sz w:val="20"/>
                                    </w:rPr>
                                    <w:t>－</w:t>
                                  </w:r>
                                  <w:r w:rsidRPr="002C253B">
                                    <w:rPr>
                                      <w:rFonts w:ascii="標楷體" w:eastAsia="標楷體" w:hAnsi="標楷體" w:cs="新細明體" w:hint="eastAsia"/>
                                      <w:kern w:val="0"/>
                                      <w:sz w:val="20"/>
                                    </w:rPr>
                                    <w:t>擴增資安師資計畫</w:t>
                                  </w:r>
                                </w:p>
                              </w:tc>
                              <w:tc>
                                <w:tcPr>
                                  <w:tcW w:w="884" w:type="dxa"/>
                                  <w:shd w:val="clear" w:color="auto" w:fill="FFFFFF" w:themeFill="background1"/>
                                  <w:noWrap/>
                                  <w:vAlign w:val="center"/>
                                  <w:hideMark/>
                                </w:tcPr>
                                <w:p w14:paraId="74744F71"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kern w:val="0"/>
                                      <w:sz w:val="20"/>
                                    </w:rPr>
                                    <w:t>43</w:t>
                                  </w:r>
                                  <w:r w:rsidRPr="002C253B">
                                    <w:rPr>
                                      <w:rFonts w:ascii="標楷體" w:eastAsia="標楷體" w:hAnsi="標楷體" w:cs="新細明體" w:hint="eastAsia"/>
                                      <w:kern w:val="0"/>
                                      <w:sz w:val="20"/>
                                    </w:rPr>
                                    <w:t>,</w:t>
                                  </w:r>
                                  <w:r w:rsidRPr="002C253B">
                                    <w:rPr>
                                      <w:rFonts w:ascii="標楷體" w:eastAsia="標楷體" w:hAnsi="標楷體" w:cs="新細明體"/>
                                      <w:kern w:val="0"/>
                                      <w:sz w:val="20"/>
                                    </w:rPr>
                                    <w:t>0</w:t>
                                  </w:r>
                                  <w:r w:rsidRPr="002C253B">
                                    <w:rPr>
                                      <w:rFonts w:ascii="標楷體" w:eastAsia="標楷體" w:hAnsi="標楷體" w:cs="新細明體" w:hint="eastAsia"/>
                                      <w:kern w:val="0"/>
                                      <w:sz w:val="20"/>
                                    </w:rPr>
                                    <w:t>00</w:t>
                                  </w:r>
                                </w:p>
                              </w:tc>
                              <w:tc>
                                <w:tcPr>
                                  <w:tcW w:w="992" w:type="dxa"/>
                                  <w:shd w:val="clear" w:color="auto" w:fill="FFFFFF" w:themeFill="background1"/>
                                  <w:noWrap/>
                                  <w:vAlign w:val="center"/>
                                  <w:hideMark/>
                                </w:tcPr>
                                <w:p w14:paraId="2D1898BD"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kern w:val="0"/>
                                      <w:sz w:val="20"/>
                                    </w:rPr>
                                    <w:t>1</w:t>
                                  </w:r>
                                  <w:r w:rsidRPr="002C253B">
                                    <w:rPr>
                                      <w:rFonts w:ascii="標楷體" w:eastAsia="標楷體" w:hAnsi="標楷體" w:cs="新細明體" w:hint="eastAsia"/>
                                      <w:kern w:val="0"/>
                                      <w:sz w:val="20"/>
                                    </w:rPr>
                                    <w:t>2,</w:t>
                                  </w:r>
                                  <w:r w:rsidRPr="002C253B">
                                    <w:rPr>
                                      <w:rFonts w:ascii="標楷體" w:eastAsia="標楷體" w:hAnsi="標楷體" w:cs="新細明體"/>
                                      <w:kern w:val="0"/>
                                      <w:sz w:val="20"/>
                                    </w:rPr>
                                    <w:t>50</w:t>
                                  </w:r>
                                  <w:r w:rsidRPr="002C253B">
                                    <w:rPr>
                                      <w:rFonts w:ascii="標楷體" w:eastAsia="標楷體" w:hAnsi="標楷體" w:cs="新細明體" w:hint="eastAsia"/>
                                      <w:kern w:val="0"/>
                                      <w:sz w:val="20"/>
                                    </w:rPr>
                                    <w:t>0</w:t>
                                  </w:r>
                                </w:p>
                              </w:tc>
                              <w:tc>
                                <w:tcPr>
                                  <w:tcW w:w="856" w:type="dxa"/>
                                  <w:shd w:val="clear" w:color="auto" w:fill="FFFFFF" w:themeFill="background1"/>
                                  <w:noWrap/>
                                  <w:vAlign w:val="center"/>
                                  <w:hideMark/>
                                </w:tcPr>
                                <w:p w14:paraId="23A859B6"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kern w:val="0"/>
                                      <w:sz w:val="20"/>
                                    </w:rPr>
                                    <w:t>29</w:t>
                                  </w:r>
                                  <w:r w:rsidRPr="002C253B">
                                    <w:rPr>
                                      <w:rFonts w:ascii="標楷體" w:eastAsia="標楷體" w:hAnsi="標楷體" w:cs="新細明體" w:hint="eastAsia"/>
                                      <w:kern w:val="0"/>
                                      <w:sz w:val="20"/>
                                    </w:rPr>
                                    <w:t>.</w:t>
                                  </w:r>
                                  <w:r w:rsidRPr="002C253B">
                                    <w:rPr>
                                      <w:rFonts w:ascii="標楷體" w:eastAsia="標楷體" w:hAnsi="標楷體" w:cs="新細明體"/>
                                      <w:kern w:val="0"/>
                                      <w:sz w:val="20"/>
                                    </w:rPr>
                                    <w:t>07</w:t>
                                  </w:r>
                                </w:p>
                              </w:tc>
                            </w:tr>
                            <w:tr w:rsidR="00CE57F9" w:rsidRPr="002C253B" w14:paraId="44F2A6FB" w14:textId="77777777" w:rsidTr="00DA2751">
                              <w:trPr>
                                <w:trHeight w:val="40"/>
                              </w:trPr>
                              <w:tc>
                                <w:tcPr>
                                  <w:tcW w:w="1140" w:type="dxa"/>
                                  <w:shd w:val="clear" w:color="auto" w:fill="FFFFFF" w:themeFill="background1"/>
                                  <w:noWrap/>
                                  <w:vAlign w:val="center"/>
                                  <w:hideMark/>
                                </w:tcPr>
                                <w:p w14:paraId="1B22651F" w14:textId="77777777" w:rsidR="00CE57F9" w:rsidRPr="002C253B" w:rsidRDefault="00CE57F9" w:rsidP="00F72E6D">
                                  <w:pPr>
                                    <w:widowControl/>
                                    <w:adjustRightInd w:val="0"/>
                                    <w:snapToGrid w:val="0"/>
                                    <w:jc w:val="distribute"/>
                                    <w:rPr>
                                      <w:rFonts w:ascii="標楷體" w:eastAsia="標楷體" w:hAnsi="標楷體" w:cs="新細明體"/>
                                      <w:kern w:val="0"/>
                                      <w:sz w:val="20"/>
                                    </w:rPr>
                                  </w:pPr>
                                  <w:r w:rsidRPr="002C253B">
                                    <w:rPr>
                                      <w:rFonts w:ascii="標楷體" w:eastAsia="標楷體" w:hAnsi="標楷體" w:cs="新細明體" w:hint="eastAsia"/>
                                      <w:kern w:val="0"/>
                                      <w:sz w:val="20"/>
                                    </w:rPr>
                                    <w:t>文化部</w:t>
                                  </w:r>
                                </w:p>
                              </w:tc>
                              <w:tc>
                                <w:tcPr>
                                  <w:tcW w:w="3461" w:type="dxa"/>
                                  <w:shd w:val="clear" w:color="auto" w:fill="FFFFFF" w:themeFill="background1"/>
                                  <w:vAlign w:val="center"/>
                                  <w:hideMark/>
                                </w:tcPr>
                                <w:p w14:paraId="118E14E8" w14:textId="77777777" w:rsidR="00CE57F9" w:rsidRPr="002C253B" w:rsidRDefault="00CE57F9" w:rsidP="00F72E6D">
                                  <w:pPr>
                                    <w:widowControl/>
                                    <w:adjustRightInd w:val="0"/>
                                    <w:snapToGrid w:val="0"/>
                                    <w:jc w:val="both"/>
                                    <w:rPr>
                                      <w:rFonts w:ascii="標楷體" w:eastAsia="標楷體" w:hAnsi="標楷體" w:cs="新細明體"/>
                                      <w:kern w:val="0"/>
                                      <w:sz w:val="20"/>
                                    </w:rPr>
                                  </w:pPr>
                                  <w:r w:rsidRPr="002C253B">
                                    <w:rPr>
                                      <w:rFonts w:ascii="標楷體" w:eastAsia="標楷體" w:hAnsi="標楷體" w:cs="新細明體" w:hint="eastAsia"/>
                                      <w:kern w:val="0"/>
                                      <w:sz w:val="20"/>
                                    </w:rPr>
                                    <w:t>推動智慧影視音內容發展計畫</w:t>
                                  </w:r>
                                </w:p>
                              </w:tc>
                              <w:tc>
                                <w:tcPr>
                                  <w:tcW w:w="884" w:type="dxa"/>
                                  <w:shd w:val="clear" w:color="auto" w:fill="FFFFFF" w:themeFill="background1"/>
                                  <w:noWrap/>
                                  <w:vAlign w:val="center"/>
                                  <w:hideMark/>
                                </w:tcPr>
                                <w:p w14:paraId="12C4B611"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theme="minorBidi"/>
                                      <w:sz w:val="20"/>
                                    </w:rPr>
                                    <w:t>95,000</w:t>
                                  </w:r>
                                </w:p>
                              </w:tc>
                              <w:tc>
                                <w:tcPr>
                                  <w:tcW w:w="992" w:type="dxa"/>
                                  <w:shd w:val="clear" w:color="auto" w:fill="FFFFFF" w:themeFill="background1"/>
                                  <w:noWrap/>
                                  <w:vAlign w:val="center"/>
                                  <w:hideMark/>
                                </w:tcPr>
                                <w:p w14:paraId="1F895CFB"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theme="minorBidi"/>
                                      <w:sz w:val="20"/>
                                    </w:rPr>
                                    <w:t>27,053</w:t>
                                  </w:r>
                                </w:p>
                              </w:tc>
                              <w:tc>
                                <w:tcPr>
                                  <w:tcW w:w="856" w:type="dxa"/>
                                  <w:shd w:val="clear" w:color="auto" w:fill="FFFFFF" w:themeFill="background1"/>
                                  <w:noWrap/>
                                  <w:vAlign w:val="center"/>
                                  <w:hideMark/>
                                </w:tcPr>
                                <w:p w14:paraId="73C0C280"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kern w:val="0"/>
                                      <w:sz w:val="20"/>
                                    </w:rPr>
                                    <w:t>28.48</w:t>
                                  </w:r>
                                </w:p>
                              </w:tc>
                            </w:tr>
                            <w:tr w:rsidR="00CE57F9" w:rsidRPr="002C253B" w14:paraId="173E7E46" w14:textId="77777777" w:rsidTr="00DA2751">
                              <w:trPr>
                                <w:trHeight w:val="248"/>
                              </w:trPr>
                              <w:tc>
                                <w:tcPr>
                                  <w:tcW w:w="1140" w:type="dxa"/>
                                  <w:tcBorders>
                                    <w:top w:val="single" w:sz="4" w:space="0" w:color="auto"/>
                                    <w:bottom w:val="single" w:sz="4" w:space="0" w:color="auto"/>
                                  </w:tcBorders>
                                  <w:shd w:val="clear" w:color="auto" w:fill="FFFFFF" w:themeFill="background1"/>
                                  <w:noWrap/>
                                  <w:vAlign w:val="center"/>
                                </w:tcPr>
                                <w:p w14:paraId="2BFCB60A" w14:textId="77777777" w:rsidR="00CE57F9" w:rsidRPr="002C253B" w:rsidRDefault="00CE57F9" w:rsidP="00F72E6D">
                                  <w:pPr>
                                    <w:widowControl/>
                                    <w:adjustRightInd w:val="0"/>
                                    <w:snapToGrid w:val="0"/>
                                    <w:jc w:val="distribute"/>
                                    <w:rPr>
                                      <w:rFonts w:ascii="標楷體" w:eastAsia="標楷體" w:hAnsi="標楷體" w:cs="新細明體"/>
                                      <w:kern w:val="0"/>
                                      <w:sz w:val="20"/>
                                    </w:rPr>
                                  </w:pPr>
                                  <w:r w:rsidRPr="002C253B">
                                    <w:rPr>
                                      <w:rFonts w:ascii="標楷體" w:eastAsia="標楷體" w:hAnsi="標楷體" w:cs="新細明體" w:hint="eastAsia"/>
                                      <w:kern w:val="0"/>
                                      <w:sz w:val="20"/>
                                    </w:rPr>
                                    <w:t>財政部</w:t>
                                  </w:r>
                                </w:p>
                              </w:tc>
                              <w:tc>
                                <w:tcPr>
                                  <w:tcW w:w="3461" w:type="dxa"/>
                                  <w:tcBorders>
                                    <w:top w:val="single" w:sz="4" w:space="0" w:color="auto"/>
                                    <w:bottom w:val="single" w:sz="4" w:space="0" w:color="auto"/>
                                  </w:tcBorders>
                                  <w:shd w:val="clear" w:color="auto" w:fill="FFFFFF" w:themeFill="background1"/>
                                  <w:vAlign w:val="center"/>
                                </w:tcPr>
                                <w:p w14:paraId="18E062B8" w14:textId="77777777" w:rsidR="00CE57F9" w:rsidRPr="002C253B" w:rsidRDefault="00CE57F9" w:rsidP="00F72E6D">
                                  <w:pPr>
                                    <w:widowControl/>
                                    <w:adjustRightInd w:val="0"/>
                                    <w:snapToGrid w:val="0"/>
                                    <w:jc w:val="both"/>
                                    <w:rPr>
                                      <w:rFonts w:ascii="標楷體" w:eastAsia="標楷體" w:hAnsi="標楷體" w:cs="新細明體"/>
                                      <w:kern w:val="0"/>
                                      <w:sz w:val="20"/>
                                    </w:rPr>
                                  </w:pPr>
                                  <w:r w:rsidRPr="002C253B">
                                    <w:rPr>
                                      <w:rFonts w:ascii="標楷體" w:eastAsia="標楷體" w:hAnsi="標楷體" w:cs="新細明體" w:hint="eastAsia"/>
                                      <w:kern w:val="0"/>
                                      <w:sz w:val="20"/>
                                    </w:rPr>
                                    <w:t>人工智慧輔助緝私系統平臺建置計畫</w:t>
                                  </w:r>
                                </w:p>
                              </w:tc>
                              <w:tc>
                                <w:tcPr>
                                  <w:tcW w:w="884" w:type="dxa"/>
                                  <w:tcBorders>
                                    <w:top w:val="single" w:sz="4" w:space="0" w:color="auto"/>
                                    <w:bottom w:val="single" w:sz="4" w:space="0" w:color="auto"/>
                                  </w:tcBorders>
                                  <w:shd w:val="clear" w:color="auto" w:fill="FFFFFF" w:themeFill="background1"/>
                                  <w:noWrap/>
                                  <w:vAlign w:val="center"/>
                                </w:tcPr>
                                <w:p w14:paraId="7337F273"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hint="eastAsia"/>
                                      <w:kern w:val="0"/>
                                      <w:sz w:val="20"/>
                                    </w:rPr>
                                    <w:t>29,377</w:t>
                                  </w:r>
                                </w:p>
                              </w:tc>
                              <w:tc>
                                <w:tcPr>
                                  <w:tcW w:w="992" w:type="dxa"/>
                                  <w:tcBorders>
                                    <w:bottom w:val="single" w:sz="4" w:space="0" w:color="auto"/>
                                  </w:tcBorders>
                                  <w:shd w:val="clear" w:color="auto" w:fill="FFFFFF" w:themeFill="background1"/>
                                  <w:noWrap/>
                                  <w:vAlign w:val="center"/>
                                </w:tcPr>
                                <w:p w14:paraId="445D1C2A" w14:textId="77777777" w:rsidR="00CE57F9" w:rsidRPr="002C253B" w:rsidRDefault="00CE57F9" w:rsidP="00F72E6D">
                                  <w:pPr>
                                    <w:widowControl/>
                                    <w:adjustRightInd w:val="0"/>
                                    <w:snapToGrid w:val="0"/>
                                    <w:jc w:val="right"/>
                                    <w:rPr>
                                      <w:rFonts w:ascii="標楷體" w:eastAsia="標楷體" w:hAnsi="標楷體" w:cs="新細明體"/>
                                      <w:kern w:val="0"/>
                                      <w:sz w:val="20"/>
                                    </w:rPr>
                                  </w:pPr>
                                  <w:r>
                                    <w:rPr>
                                      <w:rFonts w:ascii="標楷體" w:eastAsia="標楷體" w:hAnsi="標楷體" w:cs="新細明體" w:hint="eastAsia"/>
                                      <w:kern w:val="0"/>
                                      <w:sz w:val="20"/>
                                    </w:rPr>
                                    <w:t>－</w:t>
                                  </w:r>
                                </w:p>
                              </w:tc>
                              <w:tc>
                                <w:tcPr>
                                  <w:tcW w:w="856" w:type="dxa"/>
                                  <w:tcBorders>
                                    <w:bottom w:val="single" w:sz="4" w:space="0" w:color="auto"/>
                                  </w:tcBorders>
                                  <w:shd w:val="clear" w:color="auto" w:fill="FFFFFF" w:themeFill="background1"/>
                                  <w:noWrap/>
                                  <w:vAlign w:val="center"/>
                                </w:tcPr>
                                <w:p w14:paraId="430E50CC" w14:textId="77777777" w:rsidR="00CE57F9" w:rsidRPr="002C253B" w:rsidRDefault="00CE57F9" w:rsidP="00F72E6D">
                                  <w:pPr>
                                    <w:widowControl/>
                                    <w:adjustRightInd w:val="0"/>
                                    <w:snapToGrid w:val="0"/>
                                    <w:jc w:val="right"/>
                                    <w:rPr>
                                      <w:rFonts w:ascii="標楷體" w:eastAsia="標楷體" w:hAnsi="標楷體" w:cs="新細明體"/>
                                      <w:kern w:val="0"/>
                                      <w:sz w:val="20"/>
                                    </w:rPr>
                                  </w:pPr>
                                  <w:r>
                                    <w:rPr>
                                      <w:rFonts w:ascii="標楷體" w:eastAsia="標楷體" w:hAnsi="標楷體" w:cs="新細明體" w:hint="eastAsia"/>
                                      <w:kern w:val="0"/>
                                      <w:sz w:val="20"/>
                                    </w:rPr>
                                    <w:t>－</w:t>
                                  </w:r>
                                </w:p>
                              </w:tc>
                            </w:tr>
                            <w:tr w:rsidR="00CE57F9" w:rsidRPr="002C253B" w14:paraId="2664D7C4" w14:textId="77777777" w:rsidTr="00DA2751">
                              <w:trPr>
                                <w:trHeight w:val="237"/>
                              </w:trPr>
                              <w:tc>
                                <w:tcPr>
                                  <w:tcW w:w="1140" w:type="dxa"/>
                                  <w:tcBorders>
                                    <w:bottom w:val="double" w:sz="4" w:space="0" w:color="auto"/>
                                  </w:tcBorders>
                                  <w:shd w:val="clear" w:color="auto" w:fill="FFFFFF" w:themeFill="background1"/>
                                  <w:noWrap/>
                                  <w:vAlign w:val="center"/>
                                </w:tcPr>
                                <w:p w14:paraId="537F06F0" w14:textId="77777777" w:rsidR="00CE57F9" w:rsidRPr="002C253B" w:rsidRDefault="00CE57F9" w:rsidP="00F72E6D">
                                  <w:pPr>
                                    <w:widowControl/>
                                    <w:adjustRightInd w:val="0"/>
                                    <w:snapToGrid w:val="0"/>
                                    <w:jc w:val="distribute"/>
                                    <w:rPr>
                                      <w:rFonts w:ascii="標楷體" w:eastAsia="標楷體" w:hAnsi="標楷體" w:cs="新細明體"/>
                                      <w:kern w:val="0"/>
                                      <w:sz w:val="20"/>
                                    </w:rPr>
                                  </w:pPr>
                                  <w:r w:rsidRPr="002C253B">
                                    <w:rPr>
                                      <w:rFonts w:ascii="標楷體" w:eastAsia="標楷體" w:hAnsi="標楷體" w:cs="新細明體" w:hint="eastAsia"/>
                                      <w:kern w:val="0"/>
                                      <w:sz w:val="20"/>
                                    </w:rPr>
                                    <w:t>海洋委員會</w:t>
                                  </w:r>
                                </w:p>
                              </w:tc>
                              <w:tc>
                                <w:tcPr>
                                  <w:tcW w:w="3461" w:type="dxa"/>
                                  <w:tcBorders>
                                    <w:bottom w:val="double" w:sz="4" w:space="0" w:color="auto"/>
                                  </w:tcBorders>
                                  <w:shd w:val="clear" w:color="auto" w:fill="FFFFFF" w:themeFill="background1"/>
                                  <w:vAlign w:val="center"/>
                                </w:tcPr>
                                <w:p w14:paraId="4B3A1847" w14:textId="77777777" w:rsidR="00CE57F9" w:rsidRPr="002C253B" w:rsidRDefault="00CE57F9" w:rsidP="00F72E6D">
                                  <w:pPr>
                                    <w:widowControl/>
                                    <w:adjustRightInd w:val="0"/>
                                    <w:snapToGrid w:val="0"/>
                                    <w:jc w:val="both"/>
                                    <w:rPr>
                                      <w:rFonts w:ascii="標楷體" w:eastAsia="標楷體" w:hAnsi="標楷體" w:cs="新細明體"/>
                                      <w:kern w:val="0"/>
                                      <w:sz w:val="20"/>
                                    </w:rPr>
                                  </w:pPr>
                                  <w:r w:rsidRPr="002C253B">
                                    <w:rPr>
                                      <w:rFonts w:ascii="標楷體" w:eastAsia="標楷體" w:hAnsi="標楷體" w:cs="新細明體" w:hint="eastAsia"/>
                                      <w:kern w:val="0"/>
                                      <w:sz w:val="20"/>
                                    </w:rPr>
                                    <w:t>關鍵基礎設施電磁脈衝防護建置計畫</w:t>
                                  </w:r>
                                </w:p>
                              </w:tc>
                              <w:tc>
                                <w:tcPr>
                                  <w:tcW w:w="88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EC235A3"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theme="minorBidi" w:hint="eastAsia"/>
                                      <w:sz w:val="20"/>
                                    </w:rPr>
                                    <w:t>50,000</w:t>
                                  </w:r>
                                </w:p>
                              </w:tc>
                              <w:tc>
                                <w:tcPr>
                                  <w:tcW w:w="992" w:type="dxa"/>
                                  <w:tcBorders>
                                    <w:top w:val="single" w:sz="4" w:space="0" w:color="auto"/>
                                    <w:left w:val="single" w:sz="4" w:space="0" w:color="auto"/>
                                    <w:bottom w:val="double" w:sz="4" w:space="0" w:color="auto"/>
                                    <w:right w:val="single" w:sz="4" w:space="0" w:color="auto"/>
                                  </w:tcBorders>
                                  <w:noWrap/>
                                  <w:vAlign w:val="center"/>
                                </w:tcPr>
                                <w:p w14:paraId="4B905986"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theme="minorBidi" w:hint="eastAsia"/>
                                      <w:sz w:val="20"/>
                                    </w:rPr>
                                    <w:t>9,698</w:t>
                                  </w:r>
                                </w:p>
                              </w:tc>
                              <w:tc>
                                <w:tcPr>
                                  <w:tcW w:w="856"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BC74311"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theme="minorBidi" w:hint="eastAsia"/>
                                      <w:sz w:val="20"/>
                                    </w:rPr>
                                    <w:t>19.40</w:t>
                                  </w:r>
                                </w:p>
                              </w:tc>
                            </w:tr>
                            <w:tr w:rsidR="00CE57F9" w:rsidRPr="002C253B" w14:paraId="3CA693FB" w14:textId="77777777" w:rsidTr="00DA2751">
                              <w:trPr>
                                <w:trHeight w:val="203"/>
                              </w:trPr>
                              <w:tc>
                                <w:tcPr>
                                  <w:tcW w:w="7333" w:type="dxa"/>
                                  <w:gridSpan w:val="5"/>
                                  <w:tcBorders>
                                    <w:top w:val="single" w:sz="4" w:space="0" w:color="auto"/>
                                    <w:bottom w:val="single" w:sz="4" w:space="0" w:color="auto"/>
                                  </w:tcBorders>
                                  <w:shd w:val="clear" w:color="auto" w:fill="FFFFFF" w:themeFill="background1"/>
                                  <w:noWrap/>
                                </w:tcPr>
                                <w:p w14:paraId="05B645F6" w14:textId="77777777" w:rsidR="00CE57F9" w:rsidRPr="002C253B" w:rsidRDefault="00CE57F9" w:rsidP="00F72E6D">
                                  <w:pPr>
                                    <w:widowControl/>
                                    <w:adjustRightInd w:val="0"/>
                                    <w:snapToGrid w:val="0"/>
                                    <w:rPr>
                                      <w:rFonts w:ascii="標楷體" w:eastAsia="標楷體" w:hAnsi="標楷體" w:cs="新細明體"/>
                                      <w:kern w:val="0"/>
                                      <w:sz w:val="20"/>
                                    </w:rPr>
                                  </w:pPr>
                                  <w:r w:rsidRPr="002C253B">
                                    <w:rPr>
                                      <w:rFonts w:ascii="標楷體" w:eastAsia="標楷體" w:hAnsi="標楷體" w:cs="新細明體" w:hint="eastAsia"/>
                                      <w:b/>
                                      <w:kern w:val="0"/>
                                      <w:sz w:val="20"/>
                                    </w:rPr>
                                    <w:t>二、科技發展類前瞻基礎建設計畫</w:t>
                                  </w:r>
                                </w:p>
                              </w:tc>
                            </w:tr>
                            <w:tr w:rsidR="00CE57F9" w:rsidRPr="002C253B" w14:paraId="3ED179C4" w14:textId="77777777" w:rsidTr="00DA2751">
                              <w:trPr>
                                <w:trHeight w:val="40"/>
                              </w:trPr>
                              <w:tc>
                                <w:tcPr>
                                  <w:tcW w:w="1140" w:type="dxa"/>
                                  <w:shd w:val="clear" w:color="auto" w:fill="FFFFFF" w:themeFill="background1"/>
                                  <w:noWrap/>
                                  <w:vAlign w:val="center"/>
                                </w:tcPr>
                                <w:p w14:paraId="5D87E510" w14:textId="77777777" w:rsidR="00CE57F9" w:rsidRPr="002C253B" w:rsidRDefault="00CE57F9" w:rsidP="00F72E6D">
                                  <w:pPr>
                                    <w:adjustRightInd w:val="0"/>
                                    <w:snapToGrid w:val="0"/>
                                    <w:jc w:val="distribute"/>
                                    <w:rPr>
                                      <w:rFonts w:ascii="標楷體" w:eastAsia="標楷體" w:hAnsi="標楷體" w:cs="新細明體"/>
                                      <w:kern w:val="0"/>
                                      <w:sz w:val="20"/>
                                    </w:rPr>
                                  </w:pPr>
                                  <w:r w:rsidRPr="002C253B">
                                    <w:rPr>
                                      <w:rFonts w:ascii="標楷體" w:eastAsia="標楷體" w:hAnsi="標楷體" w:cs="新細明體" w:hint="eastAsia"/>
                                      <w:kern w:val="0"/>
                                      <w:sz w:val="20"/>
                                    </w:rPr>
                                    <w:t>內政部</w:t>
                                  </w:r>
                                </w:p>
                              </w:tc>
                              <w:tc>
                                <w:tcPr>
                                  <w:tcW w:w="3461" w:type="dxa"/>
                                  <w:shd w:val="clear" w:color="auto" w:fill="FFFFFF" w:themeFill="background1"/>
                                </w:tcPr>
                                <w:p w14:paraId="416B91B2" w14:textId="77777777" w:rsidR="00CE57F9" w:rsidRPr="002C253B" w:rsidRDefault="00CE57F9" w:rsidP="00F72E6D">
                                  <w:pPr>
                                    <w:widowControl/>
                                    <w:adjustRightInd w:val="0"/>
                                    <w:snapToGrid w:val="0"/>
                                    <w:jc w:val="both"/>
                                    <w:rPr>
                                      <w:rFonts w:ascii="標楷體" w:eastAsia="標楷體" w:hAnsi="標楷體" w:cs="新細明體"/>
                                      <w:kern w:val="0"/>
                                      <w:sz w:val="20"/>
                                    </w:rPr>
                                  </w:pPr>
                                  <w:r w:rsidRPr="002C253B">
                                    <w:rPr>
                                      <w:rFonts w:ascii="標楷體" w:eastAsia="標楷體" w:hAnsi="標楷體" w:cs="新細明體" w:hint="eastAsia"/>
                                      <w:kern w:val="0"/>
                                      <w:sz w:val="20"/>
                                    </w:rPr>
                                    <w:t>警消微波網路系統移頻計畫</w:t>
                                  </w:r>
                                </w:p>
                              </w:tc>
                              <w:tc>
                                <w:tcPr>
                                  <w:tcW w:w="884" w:type="dxa"/>
                                  <w:shd w:val="clear" w:color="auto" w:fill="FFFFFF" w:themeFill="background1"/>
                                  <w:noWrap/>
                                  <w:vAlign w:val="center"/>
                                </w:tcPr>
                                <w:p w14:paraId="56C12F4E"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hint="eastAsia"/>
                                      <w:kern w:val="0"/>
                                      <w:sz w:val="20"/>
                                    </w:rPr>
                                    <w:t>3</w:t>
                                  </w:r>
                                  <w:r w:rsidRPr="002C253B">
                                    <w:rPr>
                                      <w:rFonts w:ascii="標楷體" w:eastAsia="標楷體" w:hAnsi="標楷體" w:cs="新細明體"/>
                                      <w:kern w:val="0"/>
                                      <w:sz w:val="20"/>
                                    </w:rPr>
                                    <w:t>31,540</w:t>
                                  </w:r>
                                </w:p>
                              </w:tc>
                              <w:tc>
                                <w:tcPr>
                                  <w:tcW w:w="992" w:type="dxa"/>
                                  <w:shd w:val="clear" w:color="auto" w:fill="FFFFFF" w:themeFill="background1"/>
                                  <w:noWrap/>
                                  <w:vAlign w:val="center"/>
                                </w:tcPr>
                                <w:p w14:paraId="4C40B4C7"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hint="eastAsia"/>
                                      <w:kern w:val="0"/>
                                      <w:sz w:val="20"/>
                                    </w:rPr>
                                    <w:t>3</w:t>
                                  </w:r>
                                  <w:r w:rsidRPr="002C253B">
                                    <w:rPr>
                                      <w:rFonts w:ascii="標楷體" w:eastAsia="標楷體" w:hAnsi="標楷體" w:cs="新細明體"/>
                                      <w:kern w:val="0"/>
                                      <w:sz w:val="20"/>
                                    </w:rPr>
                                    <w:t>2,185</w:t>
                                  </w:r>
                                </w:p>
                              </w:tc>
                              <w:tc>
                                <w:tcPr>
                                  <w:tcW w:w="856" w:type="dxa"/>
                                  <w:shd w:val="clear" w:color="auto" w:fill="FFFFFF" w:themeFill="background1"/>
                                  <w:noWrap/>
                                  <w:vAlign w:val="center"/>
                                </w:tcPr>
                                <w:p w14:paraId="69641048" w14:textId="4DC03726" w:rsidR="00CE57F9" w:rsidRPr="002C253B" w:rsidRDefault="00CE57F9" w:rsidP="00F72E6D">
                                  <w:pPr>
                                    <w:widowControl/>
                                    <w:adjustRightInd w:val="0"/>
                                    <w:snapToGrid w:val="0"/>
                                    <w:jc w:val="right"/>
                                    <w:rPr>
                                      <w:rFonts w:ascii="標楷體" w:eastAsia="標楷體" w:hAnsi="標楷體" w:cs="新細明體"/>
                                      <w:kern w:val="0"/>
                                      <w:sz w:val="20"/>
                                    </w:rPr>
                                  </w:pPr>
                                  <w:r>
                                    <w:rPr>
                                      <w:rFonts w:ascii="標楷體" w:eastAsia="標楷體" w:hAnsi="標楷體" w:cs="新細明體"/>
                                      <w:kern w:val="0"/>
                                      <w:sz w:val="20"/>
                                    </w:rPr>
                                    <w:t>9.71</w:t>
                                  </w:r>
                                </w:p>
                              </w:tc>
                            </w:tr>
                          </w:tbl>
                          <w:p w14:paraId="0539255B" w14:textId="77777777" w:rsidR="00CE57F9" w:rsidRPr="002C253B" w:rsidRDefault="00CE57F9" w:rsidP="00E83099">
                            <w:pPr>
                              <w:adjustRightInd w:val="0"/>
                              <w:snapToGrid w:val="0"/>
                              <w:spacing w:line="260" w:lineRule="exact"/>
                              <w:ind w:leftChars="-70" w:left="-1" w:hangingChars="93" w:hanging="167"/>
                              <w:rPr>
                                <w:rFonts w:ascii="標楷體" w:eastAsia="標楷體" w:hAnsi="標楷體" w:cstheme="minorBidi"/>
                                <w:sz w:val="18"/>
                                <w:szCs w:val="24"/>
                              </w:rPr>
                            </w:pPr>
                            <w:r w:rsidRPr="002C253B">
                              <w:rPr>
                                <w:rFonts w:ascii="標楷體" w:eastAsia="標楷體" w:hAnsi="標楷體" w:cstheme="minorBidi"/>
                                <w:sz w:val="18"/>
                                <w:szCs w:val="24"/>
                              </w:rPr>
                              <w:t>資料來源：整理自各部會查填資料。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04D732" id="_x0000_s1133" type="#_x0000_t202" style="position:absolute;left:0;text-align:left;margin-left:117.35pt;margin-top:189.55pt;width:378.7pt;height:217.7pt;z-index:-251644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" stroked="f">
                <v:textbox>
                  <w:txbxContent>
                    <w:p w14:paraId="55FC446F" w14:textId="6A68B4A9" w:rsidR="00CE57F9" w:rsidRPr="002C253B" w:rsidRDefault="00CE57F9" w:rsidP="00E83099">
                      <w:pPr>
                        <w:adjustRightInd w:val="0"/>
                        <w:snapToGrid w:val="0"/>
                        <w:jc w:val="center"/>
                        <w:rPr>
                          <w:rFonts w:ascii="標楷體" w:eastAsia="標楷體" w:hAnsi="標楷體" w:cstheme="minorBidi"/>
                          <w:b/>
                          <w:szCs w:val="32"/>
                        </w:rPr>
                      </w:pPr>
                      <w:r w:rsidRPr="002C253B">
                        <w:rPr>
                          <w:rFonts w:ascii="標楷體" w:eastAsia="標楷體" w:hAnsi="標楷體" w:cstheme="minorBidi"/>
                          <w:b/>
                          <w:szCs w:val="32"/>
                        </w:rPr>
                        <w:t>表</w:t>
                      </w:r>
                      <w:r>
                        <w:rPr>
                          <w:rFonts w:ascii="標楷體" w:eastAsia="標楷體" w:hAnsi="標楷體" w:cstheme="minorBidi"/>
                          <w:b/>
                          <w:szCs w:val="32"/>
                        </w:rPr>
                        <w:t>16</w:t>
                      </w:r>
                      <w:r w:rsidRPr="002C253B">
                        <w:rPr>
                          <w:rFonts w:ascii="標楷體" w:eastAsia="標楷體" w:hAnsi="標楷體" w:cstheme="minorBidi" w:hint="eastAsia"/>
                          <w:b/>
                          <w:szCs w:val="32"/>
                        </w:rPr>
                        <w:t xml:space="preserve">　11</w:t>
                      </w:r>
                      <w:r w:rsidRPr="002C253B">
                        <w:rPr>
                          <w:rFonts w:ascii="標楷體" w:eastAsia="標楷體" w:hAnsi="標楷體" w:cstheme="minorBidi"/>
                          <w:b/>
                          <w:szCs w:val="32"/>
                        </w:rPr>
                        <w:t>1</w:t>
                      </w:r>
                      <w:r w:rsidRPr="002C253B">
                        <w:rPr>
                          <w:rFonts w:ascii="標楷體" w:eastAsia="標楷體" w:hAnsi="標楷體" w:cstheme="minorBidi" w:hint="eastAsia"/>
                          <w:b/>
                          <w:szCs w:val="32"/>
                        </w:rPr>
                        <w:t>年度科技發展預算已實現比率未</w:t>
                      </w:r>
                      <w:r>
                        <w:rPr>
                          <w:rFonts w:ascii="標楷體" w:eastAsia="標楷體" w:hAnsi="標楷體" w:cstheme="minorBidi" w:hint="eastAsia"/>
                          <w:b/>
                          <w:szCs w:val="32"/>
                        </w:rPr>
                        <w:t>及</w:t>
                      </w:r>
                      <w:r w:rsidRPr="002C253B">
                        <w:rPr>
                          <w:rFonts w:ascii="標楷體" w:eastAsia="標楷體" w:hAnsi="標楷體" w:cstheme="minorBidi" w:hint="eastAsia"/>
                          <w:b/>
                          <w:szCs w:val="32"/>
                        </w:rPr>
                        <w:t>3成情形</w:t>
                      </w:r>
                    </w:p>
                    <w:p w14:paraId="49DA2E11" w14:textId="77777777" w:rsidR="00CE57F9" w:rsidRPr="002C253B" w:rsidRDefault="00CE57F9" w:rsidP="00E83099">
                      <w:pPr>
                        <w:adjustRightInd w:val="0"/>
                        <w:snapToGrid w:val="0"/>
                        <w:spacing w:line="360" w:lineRule="exact"/>
                        <w:ind w:leftChars="17" w:left="41" w:rightChars="71" w:right="170" w:firstLineChars="1442" w:firstLine="2884"/>
                        <w:jc w:val="right"/>
                        <w:rPr>
                          <w:rFonts w:ascii="標楷體" w:eastAsia="標楷體" w:hAnsi="標楷體" w:cstheme="minorBidi"/>
                          <w:sz w:val="20"/>
                          <w:szCs w:val="18"/>
                        </w:rPr>
                      </w:pPr>
                      <w:r w:rsidRPr="002C253B">
                        <w:rPr>
                          <w:rFonts w:ascii="標楷體" w:eastAsia="標楷體" w:hAnsi="標楷體" w:cstheme="minorBidi" w:hint="eastAsia"/>
                          <w:sz w:val="20"/>
                          <w:szCs w:val="18"/>
                        </w:rPr>
                        <w:t>單位：新臺幣千元、％</w:t>
                      </w:r>
                    </w:p>
                    <w:tbl>
                      <w:tblPr>
                        <w:tblW w:w="7333" w:type="dxa"/>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28" w:type="dxa"/>
                          <w:right w:w="28" w:type="dxa"/>
                        </w:tblCellMar>
                        <w:tblLook w:val="04A0" w:firstRow="1" w:lastRow="0" w:firstColumn="1" w:lastColumn="0" w:noHBand="0" w:noVBand="1"/>
                      </w:tblPr>
                      <w:tblGrid>
                        <w:gridCol w:w="1140"/>
                        <w:gridCol w:w="3461"/>
                        <w:gridCol w:w="884"/>
                        <w:gridCol w:w="992"/>
                        <w:gridCol w:w="856"/>
                      </w:tblGrid>
                      <w:tr w:rsidR="00CE57F9" w:rsidRPr="002C253B" w14:paraId="56FC2D14" w14:textId="77777777" w:rsidTr="00DA2751">
                        <w:trPr>
                          <w:trHeight w:val="392"/>
                          <w:tblHeader/>
                        </w:trPr>
                        <w:tc>
                          <w:tcPr>
                            <w:tcW w:w="1140" w:type="dxa"/>
                            <w:shd w:val="clear" w:color="auto" w:fill="FFFFFF" w:themeFill="background1"/>
                            <w:noWrap/>
                            <w:vAlign w:val="center"/>
                            <w:hideMark/>
                          </w:tcPr>
                          <w:p w14:paraId="5226108D" w14:textId="77777777" w:rsidR="00CE57F9" w:rsidRPr="002C253B" w:rsidRDefault="00CE57F9" w:rsidP="00F72E6D">
                            <w:pPr>
                              <w:widowControl/>
                              <w:adjustRightInd w:val="0"/>
                              <w:snapToGrid w:val="0"/>
                              <w:jc w:val="center"/>
                              <w:rPr>
                                <w:rFonts w:ascii="標楷體" w:eastAsia="標楷體" w:hAnsi="標楷體" w:cs="新細明體"/>
                                <w:kern w:val="0"/>
                                <w:sz w:val="20"/>
                              </w:rPr>
                            </w:pPr>
                            <w:r w:rsidRPr="002C253B">
                              <w:rPr>
                                <w:rFonts w:ascii="標楷體" w:eastAsia="標楷體" w:hAnsi="標楷體" w:cs="新細明體" w:hint="eastAsia"/>
                                <w:kern w:val="0"/>
                                <w:sz w:val="20"/>
                              </w:rPr>
                              <w:t>主管機關</w:t>
                            </w:r>
                          </w:p>
                        </w:tc>
                        <w:tc>
                          <w:tcPr>
                            <w:tcW w:w="3461" w:type="dxa"/>
                            <w:shd w:val="clear" w:color="auto" w:fill="FFFFFF" w:themeFill="background1"/>
                            <w:vAlign w:val="center"/>
                            <w:hideMark/>
                          </w:tcPr>
                          <w:p w14:paraId="1955CAEA" w14:textId="77777777" w:rsidR="00CE57F9" w:rsidRPr="002C253B" w:rsidRDefault="00CE57F9" w:rsidP="00F72E6D">
                            <w:pPr>
                              <w:widowControl/>
                              <w:adjustRightInd w:val="0"/>
                              <w:snapToGrid w:val="0"/>
                              <w:jc w:val="center"/>
                              <w:rPr>
                                <w:rFonts w:ascii="標楷體" w:eastAsia="標楷體" w:hAnsi="標楷體" w:cs="新細明體"/>
                                <w:kern w:val="0"/>
                                <w:sz w:val="20"/>
                              </w:rPr>
                            </w:pPr>
                            <w:r w:rsidRPr="002C253B">
                              <w:rPr>
                                <w:rFonts w:ascii="標楷體" w:eastAsia="標楷體" w:hAnsi="標楷體" w:cs="新細明體" w:hint="eastAsia"/>
                                <w:kern w:val="0"/>
                                <w:sz w:val="20"/>
                              </w:rPr>
                              <w:t>計畫名稱</w:t>
                            </w:r>
                          </w:p>
                        </w:tc>
                        <w:tc>
                          <w:tcPr>
                            <w:tcW w:w="884" w:type="dxa"/>
                            <w:shd w:val="clear" w:color="auto" w:fill="FFFFFF" w:themeFill="background1"/>
                            <w:noWrap/>
                            <w:vAlign w:val="center"/>
                            <w:hideMark/>
                          </w:tcPr>
                          <w:p w14:paraId="0B5636BF" w14:textId="77777777" w:rsidR="00CE57F9" w:rsidRPr="002C253B" w:rsidRDefault="00CE57F9" w:rsidP="00F72E6D">
                            <w:pPr>
                              <w:widowControl/>
                              <w:adjustRightInd w:val="0"/>
                              <w:snapToGrid w:val="0"/>
                              <w:jc w:val="center"/>
                              <w:rPr>
                                <w:rFonts w:ascii="標楷體" w:eastAsia="標楷體" w:hAnsi="標楷體" w:cs="新細明體"/>
                                <w:kern w:val="0"/>
                                <w:sz w:val="20"/>
                              </w:rPr>
                            </w:pPr>
                            <w:r w:rsidRPr="002C253B">
                              <w:rPr>
                                <w:rFonts w:ascii="標楷體" w:eastAsia="標楷體" w:hAnsi="標楷體" w:cs="新細明體" w:hint="eastAsia"/>
                                <w:kern w:val="0"/>
                                <w:sz w:val="20"/>
                              </w:rPr>
                              <w:t>預算數</w:t>
                            </w:r>
                          </w:p>
                        </w:tc>
                        <w:tc>
                          <w:tcPr>
                            <w:tcW w:w="992" w:type="dxa"/>
                            <w:shd w:val="clear" w:color="auto" w:fill="FFFFFF" w:themeFill="background1"/>
                            <w:noWrap/>
                            <w:vAlign w:val="center"/>
                            <w:hideMark/>
                          </w:tcPr>
                          <w:p w14:paraId="057EF8A9" w14:textId="77777777" w:rsidR="00CE57F9" w:rsidRPr="002C253B" w:rsidRDefault="00CE57F9" w:rsidP="00F72E6D">
                            <w:pPr>
                              <w:widowControl/>
                              <w:adjustRightInd w:val="0"/>
                              <w:snapToGrid w:val="0"/>
                              <w:jc w:val="center"/>
                              <w:rPr>
                                <w:rFonts w:ascii="標楷體" w:eastAsia="標楷體" w:hAnsi="標楷體" w:cs="新細明體"/>
                                <w:kern w:val="0"/>
                                <w:sz w:val="20"/>
                              </w:rPr>
                            </w:pPr>
                            <w:r w:rsidRPr="002C253B">
                              <w:rPr>
                                <w:rFonts w:ascii="標楷體" w:eastAsia="標楷體" w:hAnsi="標楷體" w:cs="新細明體" w:hint="eastAsia"/>
                                <w:kern w:val="0"/>
                                <w:sz w:val="20"/>
                              </w:rPr>
                              <w:t>實現數</w:t>
                            </w:r>
                          </w:p>
                        </w:tc>
                        <w:tc>
                          <w:tcPr>
                            <w:tcW w:w="856" w:type="dxa"/>
                            <w:shd w:val="clear" w:color="auto" w:fill="FFFFFF" w:themeFill="background1"/>
                            <w:noWrap/>
                            <w:vAlign w:val="center"/>
                            <w:hideMark/>
                          </w:tcPr>
                          <w:p w14:paraId="73161281" w14:textId="77777777" w:rsidR="00CE57F9" w:rsidRDefault="00CE57F9" w:rsidP="00F72E6D">
                            <w:pPr>
                              <w:widowControl/>
                              <w:adjustRightInd w:val="0"/>
                              <w:snapToGrid w:val="0"/>
                              <w:jc w:val="center"/>
                              <w:rPr>
                                <w:rFonts w:ascii="標楷體" w:eastAsia="標楷體" w:hAnsi="標楷體" w:cs="新細明體"/>
                                <w:kern w:val="0"/>
                                <w:sz w:val="20"/>
                              </w:rPr>
                            </w:pPr>
                            <w:r w:rsidRPr="002C253B">
                              <w:rPr>
                                <w:rFonts w:ascii="標楷體" w:eastAsia="標楷體" w:hAnsi="標楷體" w:cs="新細明體" w:hint="eastAsia"/>
                                <w:kern w:val="0"/>
                                <w:sz w:val="20"/>
                              </w:rPr>
                              <w:t>已實現</w:t>
                            </w:r>
                          </w:p>
                          <w:p w14:paraId="30D0D806" w14:textId="77777777" w:rsidR="00CE57F9" w:rsidRPr="002C253B" w:rsidRDefault="00CE57F9" w:rsidP="00F72E6D">
                            <w:pPr>
                              <w:widowControl/>
                              <w:adjustRightInd w:val="0"/>
                              <w:snapToGrid w:val="0"/>
                              <w:jc w:val="center"/>
                              <w:rPr>
                                <w:rFonts w:ascii="標楷體" w:eastAsia="標楷體" w:hAnsi="標楷體" w:cs="新細明體"/>
                                <w:kern w:val="0"/>
                                <w:sz w:val="20"/>
                              </w:rPr>
                            </w:pPr>
                            <w:r w:rsidRPr="002C253B">
                              <w:rPr>
                                <w:rFonts w:ascii="標楷體" w:eastAsia="標楷體" w:hAnsi="標楷體" w:cs="新細明體" w:hint="eastAsia"/>
                                <w:kern w:val="0"/>
                                <w:sz w:val="20"/>
                              </w:rPr>
                              <w:t>比率</w:t>
                            </w:r>
                          </w:p>
                        </w:tc>
                      </w:tr>
                      <w:tr w:rsidR="00CE57F9" w:rsidRPr="002C253B" w14:paraId="57CAD5C3" w14:textId="77777777" w:rsidTr="00DA2751">
                        <w:trPr>
                          <w:trHeight w:val="206"/>
                        </w:trPr>
                        <w:tc>
                          <w:tcPr>
                            <w:tcW w:w="7333" w:type="dxa"/>
                            <w:gridSpan w:val="5"/>
                            <w:shd w:val="clear" w:color="auto" w:fill="FFFFFF" w:themeFill="background1"/>
                            <w:noWrap/>
                            <w:vAlign w:val="center"/>
                          </w:tcPr>
                          <w:p w14:paraId="235A3C5F" w14:textId="77777777" w:rsidR="00CE57F9" w:rsidRPr="002C253B" w:rsidRDefault="00CE57F9" w:rsidP="00F72E6D">
                            <w:pPr>
                              <w:widowControl/>
                              <w:adjustRightInd w:val="0"/>
                              <w:snapToGrid w:val="0"/>
                              <w:rPr>
                                <w:rFonts w:ascii="標楷體" w:eastAsia="標楷體" w:hAnsi="標楷體" w:cs="新細明體"/>
                                <w:b/>
                                <w:kern w:val="0"/>
                                <w:sz w:val="20"/>
                              </w:rPr>
                            </w:pPr>
                            <w:r w:rsidRPr="002C253B">
                              <w:rPr>
                                <w:rFonts w:ascii="標楷體" w:eastAsia="標楷體" w:hAnsi="標楷體" w:cs="新細明體" w:hint="eastAsia"/>
                                <w:b/>
                                <w:kern w:val="0"/>
                                <w:sz w:val="20"/>
                              </w:rPr>
                              <w:t>一、111年度科技發展計畫</w:t>
                            </w:r>
                          </w:p>
                        </w:tc>
                      </w:tr>
                      <w:tr w:rsidR="00CE57F9" w:rsidRPr="002C253B" w14:paraId="21B0293D" w14:textId="77777777" w:rsidTr="00DA2751">
                        <w:trPr>
                          <w:trHeight w:val="113"/>
                        </w:trPr>
                        <w:tc>
                          <w:tcPr>
                            <w:tcW w:w="1140" w:type="dxa"/>
                            <w:vMerge w:val="restart"/>
                            <w:shd w:val="clear" w:color="auto" w:fill="FFFFFF" w:themeFill="background1"/>
                            <w:noWrap/>
                            <w:vAlign w:val="center"/>
                          </w:tcPr>
                          <w:p w14:paraId="1B777E19" w14:textId="77777777" w:rsidR="00CE57F9" w:rsidRPr="002C253B" w:rsidRDefault="00CE57F9" w:rsidP="00F72E6D">
                            <w:pPr>
                              <w:adjustRightInd w:val="0"/>
                              <w:snapToGrid w:val="0"/>
                              <w:jc w:val="distribute"/>
                              <w:rPr>
                                <w:rFonts w:ascii="標楷體" w:eastAsia="標楷體" w:hAnsi="標楷體" w:cs="新細明體"/>
                                <w:kern w:val="0"/>
                                <w:sz w:val="20"/>
                              </w:rPr>
                            </w:pPr>
                            <w:r w:rsidRPr="002C253B">
                              <w:rPr>
                                <w:rFonts w:ascii="標楷體" w:eastAsia="標楷體" w:hAnsi="標楷體" w:cs="新細明體" w:hint="eastAsia"/>
                                <w:kern w:val="0"/>
                                <w:sz w:val="20"/>
                              </w:rPr>
                              <w:t>衛生福利部</w:t>
                            </w:r>
                          </w:p>
                        </w:tc>
                        <w:tc>
                          <w:tcPr>
                            <w:tcW w:w="3461" w:type="dxa"/>
                            <w:shd w:val="clear" w:color="auto" w:fill="auto"/>
                          </w:tcPr>
                          <w:p w14:paraId="522D39E8" w14:textId="77777777" w:rsidR="00CE57F9" w:rsidRPr="002C253B" w:rsidRDefault="00CE57F9" w:rsidP="00F72E6D">
                            <w:pPr>
                              <w:widowControl/>
                              <w:adjustRightInd w:val="0"/>
                              <w:snapToGrid w:val="0"/>
                              <w:jc w:val="both"/>
                              <w:rPr>
                                <w:rFonts w:ascii="標楷體" w:eastAsia="標楷體" w:hAnsi="標楷體" w:cs="新細明體"/>
                                <w:kern w:val="0"/>
                                <w:sz w:val="20"/>
                              </w:rPr>
                            </w:pPr>
                            <w:r w:rsidRPr="002C253B">
                              <w:rPr>
                                <w:rFonts w:ascii="標楷體" w:eastAsia="標楷體" w:hAnsi="標楷體" w:cs="新細明體"/>
                                <w:kern w:val="0"/>
                                <w:sz w:val="20"/>
                              </w:rPr>
                              <w:t>健康福祉科技整合照護場域推動計畫</w:t>
                            </w:r>
                          </w:p>
                        </w:tc>
                        <w:tc>
                          <w:tcPr>
                            <w:tcW w:w="884" w:type="dxa"/>
                            <w:shd w:val="clear" w:color="auto" w:fill="auto"/>
                            <w:noWrap/>
                            <w:vAlign w:val="center"/>
                          </w:tcPr>
                          <w:p w14:paraId="2C13554B"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kern w:val="0"/>
                                <w:sz w:val="20"/>
                              </w:rPr>
                              <w:t>19,917</w:t>
                            </w:r>
                          </w:p>
                        </w:tc>
                        <w:tc>
                          <w:tcPr>
                            <w:tcW w:w="992" w:type="dxa"/>
                            <w:noWrap/>
                            <w:vAlign w:val="center"/>
                          </w:tcPr>
                          <w:p w14:paraId="7CBBFA2E"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kern w:val="0"/>
                                <w:sz w:val="20"/>
                              </w:rPr>
                              <w:t>3,840</w:t>
                            </w:r>
                          </w:p>
                        </w:tc>
                        <w:tc>
                          <w:tcPr>
                            <w:tcW w:w="856" w:type="dxa"/>
                            <w:shd w:val="clear" w:color="auto" w:fill="auto"/>
                            <w:noWrap/>
                            <w:vAlign w:val="center"/>
                          </w:tcPr>
                          <w:p w14:paraId="5279B20B"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kern w:val="0"/>
                                <w:sz w:val="20"/>
                              </w:rPr>
                              <w:t>19.28</w:t>
                            </w:r>
                          </w:p>
                        </w:tc>
                      </w:tr>
                      <w:tr w:rsidR="00CE57F9" w:rsidRPr="002C253B" w14:paraId="06D94D1E" w14:textId="77777777" w:rsidTr="00DA2751">
                        <w:trPr>
                          <w:trHeight w:val="195"/>
                        </w:trPr>
                        <w:tc>
                          <w:tcPr>
                            <w:tcW w:w="1140" w:type="dxa"/>
                            <w:vMerge/>
                            <w:shd w:val="clear" w:color="auto" w:fill="FFFFFF" w:themeFill="background1"/>
                            <w:noWrap/>
                            <w:vAlign w:val="center"/>
                            <w:hideMark/>
                          </w:tcPr>
                          <w:p w14:paraId="7E2AC972" w14:textId="77777777" w:rsidR="00CE57F9" w:rsidRPr="002C253B" w:rsidRDefault="00CE57F9" w:rsidP="00F72E6D">
                            <w:pPr>
                              <w:adjustRightInd w:val="0"/>
                              <w:snapToGrid w:val="0"/>
                              <w:jc w:val="distribute"/>
                              <w:rPr>
                                <w:rFonts w:ascii="標楷體" w:eastAsia="標楷體" w:hAnsi="標楷體" w:cs="新細明體"/>
                                <w:kern w:val="0"/>
                                <w:sz w:val="20"/>
                              </w:rPr>
                            </w:pPr>
                          </w:p>
                        </w:tc>
                        <w:tc>
                          <w:tcPr>
                            <w:tcW w:w="3461" w:type="dxa"/>
                            <w:shd w:val="clear" w:color="auto" w:fill="FFFFFF" w:themeFill="background1"/>
                            <w:hideMark/>
                          </w:tcPr>
                          <w:p w14:paraId="4A7F14C6" w14:textId="77777777" w:rsidR="00CE57F9" w:rsidRPr="002C253B" w:rsidRDefault="00CE57F9" w:rsidP="00F72E6D">
                            <w:pPr>
                              <w:widowControl/>
                              <w:adjustRightInd w:val="0"/>
                              <w:snapToGrid w:val="0"/>
                              <w:jc w:val="both"/>
                              <w:rPr>
                                <w:rFonts w:ascii="標楷體" w:eastAsia="標楷體" w:hAnsi="標楷體" w:cs="新細明體"/>
                                <w:kern w:val="0"/>
                                <w:sz w:val="20"/>
                              </w:rPr>
                            </w:pPr>
                            <w:r w:rsidRPr="002C253B">
                              <w:rPr>
                                <w:rFonts w:ascii="標楷體" w:eastAsia="標楷體" w:hAnsi="標楷體" w:cs="新細明體" w:hint="eastAsia"/>
                                <w:kern w:val="0"/>
                                <w:sz w:val="20"/>
                              </w:rPr>
                              <w:t>社會福利多元服務與實證決策模式計畫</w:t>
                            </w:r>
                          </w:p>
                        </w:tc>
                        <w:tc>
                          <w:tcPr>
                            <w:tcW w:w="884" w:type="dxa"/>
                            <w:shd w:val="clear" w:color="auto" w:fill="FFFFFF" w:themeFill="background1"/>
                            <w:noWrap/>
                            <w:vAlign w:val="center"/>
                            <w:hideMark/>
                          </w:tcPr>
                          <w:p w14:paraId="084CBB3D"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hint="eastAsia"/>
                                <w:kern w:val="0"/>
                                <w:sz w:val="20"/>
                              </w:rPr>
                              <w:t>54,154</w:t>
                            </w:r>
                          </w:p>
                        </w:tc>
                        <w:tc>
                          <w:tcPr>
                            <w:tcW w:w="992" w:type="dxa"/>
                            <w:shd w:val="clear" w:color="auto" w:fill="FFFFFF" w:themeFill="background1"/>
                            <w:noWrap/>
                            <w:vAlign w:val="center"/>
                            <w:hideMark/>
                          </w:tcPr>
                          <w:p w14:paraId="02B7B555"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hint="eastAsia"/>
                                <w:kern w:val="0"/>
                                <w:sz w:val="20"/>
                              </w:rPr>
                              <w:t>13,796</w:t>
                            </w:r>
                          </w:p>
                        </w:tc>
                        <w:tc>
                          <w:tcPr>
                            <w:tcW w:w="856" w:type="dxa"/>
                            <w:shd w:val="clear" w:color="auto" w:fill="FFFFFF" w:themeFill="background1"/>
                            <w:noWrap/>
                            <w:vAlign w:val="center"/>
                            <w:hideMark/>
                          </w:tcPr>
                          <w:p w14:paraId="5CB42AC2"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hint="eastAsia"/>
                                <w:kern w:val="0"/>
                                <w:sz w:val="20"/>
                              </w:rPr>
                              <w:t>25.48</w:t>
                            </w:r>
                          </w:p>
                        </w:tc>
                      </w:tr>
                      <w:tr w:rsidR="00CE57F9" w:rsidRPr="002C253B" w14:paraId="55B219EA" w14:textId="77777777" w:rsidTr="00DA2751">
                        <w:trPr>
                          <w:trHeight w:val="248"/>
                        </w:trPr>
                        <w:tc>
                          <w:tcPr>
                            <w:tcW w:w="1140" w:type="dxa"/>
                            <w:shd w:val="clear" w:color="auto" w:fill="FFFFFF" w:themeFill="background1"/>
                            <w:noWrap/>
                            <w:vAlign w:val="center"/>
                          </w:tcPr>
                          <w:p w14:paraId="59702CF2" w14:textId="77777777" w:rsidR="00CE57F9" w:rsidRPr="002C253B" w:rsidRDefault="00CE57F9" w:rsidP="00F72E6D">
                            <w:pPr>
                              <w:widowControl/>
                              <w:adjustRightInd w:val="0"/>
                              <w:snapToGrid w:val="0"/>
                              <w:jc w:val="distribute"/>
                              <w:rPr>
                                <w:rFonts w:ascii="標楷體" w:eastAsia="標楷體" w:hAnsi="標楷體" w:cs="新細明體"/>
                                <w:kern w:val="0"/>
                                <w:sz w:val="20"/>
                              </w:rPr>
                            </w:pPr>
                            <w:r w:rsidRPr="002C253B">
                              <w:rPr>
                                <w:rFonts w:ascii="標楷體" w:eastAsia="標楷體" w:hAnsi="標楷體" w:cs="新細明體" w:hint="eastAsia"/>
                                <w:kern w:val="0"/>
                                <w:sz w:val="20"/>
                              </w:rPr>
                              <w:t>交通部</w:t>
                            </w:r>
                          </w:p>
                        </w:tc>
                        <w:tc>
                          <w:tcPr>
                            <w:tcW w:w="3461" w:type="dxa"/>
                            <w:shd w:val="clear" w:color="auto" w:fill="FFFFFF" w:themeFill="background1"/>
                          </w:tcPr>
                          <w:p w14:paraId="3F7930D5" w14:textId="77777777" w:rsidR="00CE57F9" w:rsidRPr="002C253B" w:rsidRDefault="00CE57F9" w:rsidP="00F72E6D">
                            <w:pPr>
                              <w:widowControl/>
                              <w:adjustRightInd w:val="0"/>
                              <w:snapToGrid w:val="0"/>
                              <w:jc w:val="both"/>
                              <w:rPr>
                                <w:rFonts w:ascii="標楷體" w:eastAsia="標楷體" w:hAnsi="標楷體" w:cs="新細明體"/>
                                <w:kern w:val="0"/>
                                <w:sz w:val="20"/>
                              </w:rPr>
                            </w:pPr>
                            <w:r w:rsidRPr="002C253B">
                              <w:rPr>
                                <w:rFonts w:ascii="標楷體" w:eastAsia="標楷體" w:hAnsi="標楷體" w:cs="新細明體" w:hint="eastAsia"/>
                                <w:kern w:val="0"/>
                                <w:sz w:val="20"/>
                              </w:rPr>
                              <w:t>大型車輛裝設主動預警輔助系統</w:t>
                            </w:r>
                          </w:p>
                        </w:tc>
                        <w:tc>
                          <w:tcPr>
                            <w:tcW w:w="884" w:type="dxa"/>
                            <w:shd w:val="clear" w:color="auto" w:fill="auto"/>
                            <w:noWrap/>
                            <w:vAlign w:val="center"/>
                          </w:tcPr>
                          <w:p w14:paraId="27532AF4"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kern w:val="0"/>
                                <w:sz w:val="20"/>
                              </w:rPr>
                              <w:t>110,000</w:t>
                            </w:r>
                          </w:p>
                        </w:tc>
                        <w:tc>
                          <w:tcPr>
                            <w:tcW w:w="992" w:type="dxa"/>
                            <w:noWrap/>
                            <w:vAlign w:val="center"/>
                          </w:tcPr>
                          <w:p w14:paraId="3CA3A8BC"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kern w:val="0"/>
                                <w:sz w:val="20"/>
                              </w:rPr>
                              <w:t>3,000</w:t>
                            </w:r>
                          </w:p>
                        </w:tc>
                        <w:tc>
                          <w:tcPr>
                            <w:tcW w:w="856" w:type="dxa"/>
                            <w:shd w:val="clear" w:color="auto" w:fill="auto"/>
                            <w:noWrap/>
                            <w:vAlign w:val="center"/>
                          </w:tcPr>
                          <w:p w14:paraId="6D8D02D2"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kern w:val="0"/>
                                <w:sz w:val="20"/>
                              </w:rPr>
                              <w:t>2.73</w:t>
                            </w:r>
                          </w:p>
                        </w:tc>
                      </w:tr>
                      <w:tr w:rsidR="00CE57F9" w:rsidRPr="002C253B" w14:paraId="0C8666CC" w14:textId="77777777" w:rsidTr="00DA2751">
                        <w:trPr>
                          <w:trHeight w:val="248"/>
                        </w:trPr>
                        <w:tc>
                          <w:tcPr>
                            <w:tcW w:w="1140" w:type="dxa"/>
                            <w:shd w:val="clear" w:color="auto" w:fill="FFFFFF" w:themeFill="background1"/>
                            <w:noWrap/>
                            <w:vAlign w:val="center"/>
                            <w:hideMark/>
                          </w:tcPr>
                          <w:p w14:paraId="2C9907F1" w14:textId="77777777" w:rsidR="00CE57F9" w:rsidRPr="002C253B" w:rsidRDefault="00CE57F9" w:rsidP="00F72E6D">
                            <w:pPr>
                              <w:widowControl/>
                              <w:adjustRightInd w:val="0"/>
                              <w:snapToGrid w:val="0"/>
                              <w:jc w:val="distribute"/>
                              <w:rPr>
                                <w:rFonts w:ascii="標楷體" w:eastAsia="標楷體" w:hAnsi="標楷體" w:cs="新細明體"/>
                                <w:kern w:val="0"/>
                                <w:sz w:val="20"/>
                              </w:rPr>
                            </w:pPr>
                            <w:r w:rsidRPr="002C253B">
                              <w:rPr>
                                <w:rFonts w:ascii="標楷體" w:eastAsia="標楷體" w:hAnsi="標楷體" w:cs="新細明體" w:hint="eastAsia"/>
                                <w:kern w:val="0"/>
                                <w:sz w:val="20"/>
                              </w:rPr>
                              <w:t>教育部</w:t>
                            </w:r>
                          </w:p>
                        </w:tc>
                        <w:tc>
                          <w:tcPr>
                            <w:tcW w:w="3461" w:type="dxa"/>
                            <w:shd w:val="clear" w:color="auto" w:fill="FFFFFF" w:themeFill="background1"/>
                            <w:vAlign w:val="center"/>
                            <w:hideMark/>
                          </w:tcPr>
                          <w:p w14:paraId="05D26B8A" w14:textId="77777777" w:rsidR="00CE57F9" w:rsidRPr="002C253B" w:rsidRDefault="00CE57F9" w:rsidP="00F72E6D">
                            <w:pPr>
                              <w:widowControl/>
                              <w:adjustRightInd w:val="0"/>
                              <w:snapToGrid w:val="0"/>
                              <w:jc w:val="both"/>
                              <w:rPr>
                                <w:rFonts w:ascii="標楷體" w:eastAsia="標楷體" w:hAnsi="標楷體" w:cs="新細明體"/>
                                <w:kern w:val="0"/>
                                <w:sz w:val="20"/>
                              </w:rPr>
                            </w:pPr>
                            <w:r w:rsidRPr="002C253B">
                              <w:rPr>
                                <w:rFonts w:ascii="標楷體" w:eastAsia="標楷體" w:hAnsi="標楷體" w:cs="新細明體" w:hint="eastAsia"/>
                                <w:kern w:val="0"/>
                                <w:sz w:val="20"/>
                              </w:rPr>
                              <w:t>臺灣資安卓越深耕</w:t>
                            </w:r>
                            <w:r>
                              <w:rPr>
                                <w:rFonts w:ascii="標楷體" w:eastAsia="標楷體" w:hAnsi="標楷體" w:cs="新細明體" w:hint="eastAsia"/>
                                <w:kern w:val="0"/>
                                <w:sz w:val="20"/>
                              </w:rPr>
                              <w:t>－</w:t>
                            </w:r>
                            <w:r w:rsidRPr="002C253B">
                              <w:rPr>
                                <w:rFonts w:ascii="標楷體" w:eastAsia="標楷體" w:hAnsi="標楷體" w:cs="新細明體" w:hint="eastAsia"/>
                                <w:kern w:val="0"/>
                                <w:sz w:val="20"/>
                              </w:rPr>
                              <w:t>擴增資安師資計畫</w:t>
                            </w:r>
                          </w:p>
                        </w:tc>
                        <w:tc>
                          <w:tcPr>
                            <w:tcW w:w="884" w:type="dxa"/>
                            <w:shd w:val="clear" w:color="auto" w:fill="FFFFFF" w:themeFill="background1"/>
                            <w:noWrap/>
                            <w:vAlign w:val="center"/>
                            <w:hideMark/>
                          </w:tcPr>
                          <w:p w14:paraId="74744F71"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kern w:val="0"/>
                                <w:sz w:val="20"/>
                              </w:rPr>
                              <w:t>43</w:t>
                            </w:r>
                            <w:r w:rsidRPr="002C253B">
                              <w:rPr>
                                <w:rFonts w:ascii="標楷體" w:eastAsia="標楷體" w:hAnsi="標楷體" w:cs="新細明體" w:hint="eastAsia"/>
                                <w:kern w:val="0"/>
                                <w:sz w:val="20"/>
                              </w:rPr>
                              <w:t>,</w:t>
                            </w:r>
                            <w:r w:rsidRPr="002C253B">
                              <w:rPr>
                                <w:rFonts w:ascii="標楷體" w:eastAsia="標楷體" w:hAnsi="標楷體" w:cs="新細明體"/>
                                <w:kern w:val="0"/>
                                <w:sz w:val="20"/>
                              </w:rPr>
                              <w:t>0</w:t>
                            </w:r>
                            <w:r w:rsidRPr="002C253B">
                              <w:rPr>
                                <w:rFonts w:ascii="標楷體" w:eastAsia="標楷體" w:hAnsi="標楷體" w:cs="新細明體" w:hint="eastAsia"/>
                                <w:kern w:val="0"/>
                                <w:sz w:val="20"/>
                              </w:rPr>
                              <w:t>00</w:t>
                            </w:r>
                          </w:p>
                        </w:tc>
                        <w:tc>
                          <w:tcPr>
                            <w:tcW w:w="992" w:type="dxa"/>
                            <w:shd w:val="clear" w:color="auto" w:fill="FFFFFF" w:themeFill="background1"/>
                            <w:noWrap/>
                            <w:vAlign w:val="center"/>
                            <w:hideMark/>
                          </w:tcPr>
                          <w:p w14:paraId="2D1898BD"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kern w:val="0"/>
                                <w:sz w:val="20"/>
                              </w:rPr>
                              <w:t>1</w:t>
                            </w:r>
                            <w:r w:rsidRPr="002C253B">
                              <w:rPr>
                                <w:rFonts w:ascii="標楷體" w:eastAsia="標楷體" w:hAnsi="標楷體" w:cs="新細明體" w:hint="eastAsia"/>
                                <w:kern w:val="0"/>
                                <w:sz w:val="20"/>
                              </w:rPr>
                              <w:t>2,</w:t>
                            </w:r>
                            <w:r w:rsidRPr="002C253B">
                              <w:rPr>
                                <w:rFonts w:ascii="標楷體" w:eastAsia="標楷體" w:hAnsi="標楷體" w:cs="新細明體"/>
                                <w:kern w:val="0"/>
                                <w:sz w:val="20"/>
                              </w:rPr>
                              <w:t>50</w:t>
                            </w:r>
                            <w:r w:rsidRPr="002C253B">
                              <w:rPr>
                                <w:rFonts w:ascii="標楷體" w:eastAsia="標楷體" w:hAnsi="標楷體" w:cs="新細明體" w:hint="eastAsia"/>
                                <w:kern w:val="0"/>
                                <w:sz w:val="20"/>
                              </w:rPr>
                              <w:t>0</w:t>
                            </w:r>
                          </w:p>
                        </w:tc>
                        <w:tc>
                          <w:tcPr>
                            <w:tcW w:w="856" w:type="dxa"/>
                            <w:shd w:val="clear" w:color="auto" w:fill="FFFFFF" w:themeFill="background1"/>
                            <w:noWrap/>
                            <w:vAlign w:val="center"/>
                            <w:hideMark/>
                          </w:tcPr>
                          <w:p w14:paraId="23A859B6"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kern w:val="0"/>
                                <w:sz w:val="20"/>
                              </w:rPr>
                              <w:t>29</w:t>
                            </w:r>
                            <w:r w:rsidRPr="002C253B">
                              <w:rPr>
                                <w:rFonts w:ascii="標楷體" w:eastAsia="標楷體" w:hAnsi="標楷體" w:cs="新細明體" w:hint="eastAsia"/>
                                <w:kern w:val="0"/>
                                <w:sz w:val="20"/>
                              </w:rPr>
                              <w:t>.</w:t>
                            </w:r>
                            <w:r w:rsidRPr="002C253B">
                              <w:rPr>
                                <w:rFonts w:ascii="標楷體" w:eastAsia="標楷體" w:hAnsi="標楷體" w:cs="新細明體"/>
                                <w:kern w:val="0"/>
                                <w:sz w:val="20"/>
                              </w:rPr>
                              <w:t>07</w:t>
                            </w:r>
                          </w:p>
                        </w:tc>
                      </w:tr>
                      <w:tr w:rsidR="00CE57F9" w:rsidRPr="002C253B" w14:paraId="44F2A6FB" w14:textId="77777777" w:rsidTr="00DA2751">
                        <w:trPr>
                          <w:trHeight w:val="40"/>
                        </w:trPr>
                        <w:tc>
                          <w:tcPr>
                            <w:tcW w:w="1140" w:type="dxa"/>
                            <w:shd w:val="clear" w:color="auto" w:fill="FFFFFF" w:themeFill="background1"/>
                            <w:noWrap/>
                            <w:vAlign w:val="center"/>
                            <w:hideMark/>
                          </w:tcPr>
                          <w:p w14:paraId="1B22651F" w14:textId="77777777" w:rsidR="00CE57F9" w:rsidRPr="002C253B" w:rsidRDefault="00CE57F9" w:rsidP="00F72E6D">
                            <w:pPr>
                              <w:widowControl/>
                              <w:adjustRightInd w:val="0"/>
                              <w:snapToGrid w:val="0"/>
                              <w:jc w:val="distribute"/>
                              <w:rPr>
                                <w:rFonts w:ascii="標楷體" w:eastAsia="標楷體" w:hAnsi="標楷體" w:cs="新細明體"/>
                                <w:kern w:val="0"/>
                                <w:sz w:val="20"/>
                              </w:rPr>
                            </w:pPr>
                            <w:r w:rsidRPr="002C253B">
                              <w:rPr>
                                <w:rFonts w:ascii="標楷體" w:eastAsia="標楷體" w:hAnsi="標楷體" w:cs="新細明體" w:hint="eastAsia"/>
                                <w:kern w:val="0"/>
                                <w:sz w:val="20"/>
                              </w:rPr>
                              <w:t>文化部</w:t>
                            </w:r>
                          </w:p>
                        </w:tc>
                        <w:tc>
                          <w:tcPr>
                            <w:tcW w:w="3461" w:type="dxa"/>
                            <w:shd w:val="clear" w:color="auto" w:fill="FFFFFF" w:themeFill="background1"/>
                            <w:vAlign w:val="center"/>
                            <w:hideMark/>
                          </w:tcPr>
                          <w:p w14:paraId="118E14E8" w14:textId="77777777" w:rsidR="00CE57F9" w:rsidRPr="002C253B" w:rsidRDefault="00CE57F9" w:rsidP="00F72E6D">
                            <w:pPr>
                              <w:widowControl/>
                              <w:adjustRightInd w:val="0"/>
                              <w:snapToGrid w:val="0"/>
                              <w:jc w:val="both"/>
                              <w:rPr>
                                <w:rFonts w:ascii="標楷體" w:eastAsia="標楷體" w:hAnsi="標楷體" w:cs="新細明體"/>
                                <w:kern w:val="0"/>
                                <w:sz w:val="20"/>
                              </w:rPr>
                            </w:pPr>
                            <w:r w:rsidRPr="002C253B">
                              <w:rPr>
                                <w:rFonts w:ascii="標楷體" w:eastAsia="標楷體" w:hAnsi="標楷體" w:cs="新細明體" w:hint="eastAsia"/>
                                <w:kern w:val="0"/>
                                <w:sz w:val="20"/>
                              </w:rPr>
                              <w:t>推動智慧影視音內容發展計畫</w:t>
                            </w:r>
                          </w:p>
                        </w:tc>
                        <w:tc>
                          <w:tcPr>
                            <w:tcW w:w="884" w:type="dxa"/>
                            <w:shd w:val="clear" w:color="auto" w:fill="FFFFFF" w:themeFill="background1"/>
                            <w:noWrap/>
                            <w:vAlign w:val="center"/>
                            <w:hideMark/>
                          </w:tcPr>
                          <w:p w14:paraId="12C4B611"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theme="minorBidi"/>
                                <w:sz w:val="20"/>
                              </w:rPr>
                              <w:t>95,000</w:t>
                            </w:r>
                          </w:p>
                        </w:tc>
                        <w:tc>
                          <w:tcPr>
                            <w:tcW w:w="992" w:type="dxa"/>
                            <w:shd w:val="clear" w:color="auto" w:fill="FFFFFF" w:themeFill="background1"/>
                            <w:noWrap/>
                            <w:vAlign w:val="center"/>
                            <w:hideMark/>
                          </w:tcPr>
                          <w:p w14:paraId="1F895CFB"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theme="minorBidi"/>
                                <w:sz w:val="20"/>
                              </w:rPr>
                              <w:t>27,053</w:t>
                            </w:r>
                          </w:p>
                        </w:tc>
                        <w:tc>
                          <w:tcPr>
                            <w:tcW w:w="856" w:type="dxa"/>
                            <w:shd w:val="clear" w:color="auto" w:fill="FFFFFF" w:themeFill="background1"/>
                            <w:noWrap/>
                            <w:vAlign w:val="center"/>
                            <w:hideMark/>
                          </w:tcPr>
                          <w:p w14:paraId="73C0C280"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kern w:val="0"/>
                                <w:sz w:val="20"/>
                              </w:rPr>
                              <w:t>28.48</w:t>
                            </w:r>
                          </w:p>
                        </w:tc>
                      </w:tr>
                      <w:tr w:rsidR="00CE57F9" w:rsidRPr="002C253B" w14:paraId="173E7E46" w14:textId="77777777" w:rsidTr="00DA2751">
                        <w:trPr>
                          <w:trHeight w:val="248"/>
                        </w:trPr>
                        <w:tc>
                          <w:tcPr>
                            <w:tcW w:w="1140" w:type="dxa"/>
                            <w:tcBorders>
                              <w:top w:val="single" w:sz="4" w:space="0" w:color="auto"/>
                              <w:bottom w:val="single" w:sz="4" w:space="0" w:color="auto"/>
                            </w:tcBorders>
                            <w:shd w:val="clear" w:color="auto" w:fill="FFFFFF" w:themeFill="background1"/>
                            <w:noWrap/>
                            <w:vAlign w:val="center"/>
                          </w:tcPr>
                          <w:p w14:paraId="2BFCB60A" w14:textId="77777777" w:rsidR="00CE57F9" w:rsidRPr="002C253B" w:rsidRDefault="00CE57F9" w:rsidP="00F72E6D">
                            <w:pPr>
                              <w:widowControl/>
                              <w:adjustRightInd w:val="0"/>
                              <w:snapToGrid w:val="0"/>
                              <w:jc w:val="distribute"/>
                              <w:rPr>
                                <w:rFonts w:ascii="標楷體" w:eastAsia="標楷體" w:hAnsi="標楷體" w:cs="新細明體"/>
                                <w:kern w:val="0"/>
                                <w:sz w:val="20"/>
                              </w:rPr>
                            </w:pPr>
                            <w:r w:rsidRPr="002C253B">
                              <w:rPr>
                                <w:rFonts w:ascii="標楷體" w:eastAsia="標楷體" w:hAnsi="標楷體" w:cs="新細明體" w:hint="eastAsia"/>
                                <w:kern w:val="0"/>
                                <w:sz w:val="20"/>
                              </w:rPr>
                              <w:t>財政部</w:t>
                            </w:r>
                          </w:p>
                        </w:tc>
                        <w:tc>
                          <w:tcPr>
                            <w:tcW w:w="3461" w:type="dxa"/>
                            <w:tcBorders>
                              <w:top w:val="single" w:sz="4" w:space="0" w:color="auto"/>
                              <w:bottom w:val="single" w:sz="4" w:space="0" w:color="auto"/>
                            </w:tcBorders>
                            <w:shd w:val="clear" w:color="auto" w:fill="FFFFFF" w:themeFill="background1"/>
                            <w:vAlign w:val="center"/>
                          </w:tcPr>
                          <w:p w14:paraId="18E062B8" w14:textId="77777777" w:rsidR="00CE57F9" w:rsidRPr="002C253B" w:rsidRDefault="00CE57F9" w:rsidP="00F72E6D">
                            <w:pPr>
                              <w:widowControl/>
                              <w:adjustRightInd w:val="0"/>
                              <w:snapToGrid w:val="0"/>
                              <w:jc w:val="both"/>
                              <w:rPr>
                                <w:rFonts w:ascii="標楷體" w:eastAsia="標楷體" w:hAnsi="標楷體" w:cs="新細明體"/>
                                <w:kern w:val="0"/>
                                <w:sz w:val="20"/>
                              </w:rPr>
                            </w:pPr>
                            <w:r w:rsidRPr="002C253B">
                              <w:rPr>
                                <w:rFonts w:ascii="標楷體" w:eastAsia="標楷體" w:hAnsi="標楷體" w:cs="新細明體" w:hint="eastAsia"/>
                                <w:kern w:val="0"/>
                                <w:sz w:val="20"/>
                              </w:rPr>
                              <w:t>人工智慧輔助緝私系統平臺建置計畫</w:t>
                            </w:r>
                          </w:p>
                        </w:tc>
                        <w:tc>
                          <w:tcPr>
                            <w:tcW w:w="884" w:type="dxa"/>
                            <w:tcBorders>
                              <w:top w:val="single" w:sz="4" w:space="0" w:color="auto"/>
                              <w:bottom w:val="single" w:sz="4" w:space="0" w:color="auto"/>
                            </w:tcBorders>
                            <w:shd w:val="clear" w:color="auto" w:fill="FFFFFF" w:themeFill="background1"/>
                            <w:noWrap/>
                            <w:vAlign w:val="center"/>
                          </w:tcPr>
                          <w:p w14:paraId="7337F273"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hint="eastAsia"/>
                                <w:kern w:val="0"/>
                                <w:sz w:val="20"/>
                              </w:rPr>
                              <w:t>29,377</w:t>
                            </w:r>
                          </w:p>
                        </w:tc>
                        <w:tc>
                          <w:tcPr>
                            <w:tcW w:w="992" w:type="dxa"/>
                            <w:tcBorders>
                              <w:bottom w:val="single" w:sz="4" w:space="0" w:color="auto"/>
                            </w:tcBorders>
                            <w:shd w:val="clear" w:color="auto" w:fill="FFFFFF" w:themeFill="background1"/>
                            <w:noWrap/>
                            <w:vAlign w:val="center"/>
                          </w:tcPr>
                          <w:p w14:paraId="445D1C2A" w14:textId="77777777" w:rsidR="00CE57F9" w:rsidRPr="002C253B" w:rsidRDefault="00CE57F9" w:rsidP="00F72E6D">
                            <w:pPr>
                              <w:widowControl/>
                              <w:adjustRightInd w:val="0"/>
                              <w:snapToGrid w:val="0"/>
                              <w:jc w:val="right"/>
                              <w:rPr>
                                <w:rFonts w:ascii="標楷體" w:eastAsia="標楷體" w:hAnsi="標楷體" w:cs="新細明體"/>
                                <w:kern w:val="0"/>
                                <w:sz w:val="20"/>
                              </w:rPr>
                            </w:pPr>
                            <w:r>
                              <w:rPr>
                                <w:rFonts w:ascii="標楷體" w:eastAsia="標楷體" w:hAnsi="標楷體" w:cs="新細明體" w:hint="eastAsia"/>
                                <w:kern w:val="0"/>
                                <w:sz w:val="20"/>
                              </w:rPr>
                              <w:t>－</w:t>
                            </w:r>
                          </w:p>
                        </w:tc>
                        <w:tc>
                          <w:tcPr>
                            <w:tcW w:w="856" w:type="dxa"/>
                            <w:tcBorders>
                              <w:bottom w:val="single" w:sz="4" w:space="0" w:color="auto"/>
                            </w:tcBorders>
                            <w:shd w:val="clear" w:color="auto" w:fill="FFFFFF" w:themeFill="background1"/>
                            <w:noWrap/>
                            <w:vAlign w:val="center"/>
                          </w:tcPr>
                          <w:p w14:paraId="430E50CC" w14:textId="77777777" w:rsidR="00CE57F9" w:rsidRPr="002C253B" w:rsidRDefault="00CE57F9" w:rsidP="00F72E6D">
                            <w:pPr>
                              <w:widowControl/>
                              <w:adjustRightInd w:val="0"/>
                              <w:snapToGrid w:val="0"/>
                              <w:jc w:val="right"/>
                              <w:rPr>
                                <w:rFonts w:ascii="標楷體" w:eastAsia="標楷體" w:hAnsi="標楷體" w:cs="新細明體"/>
                                <w:kern w:val="0"/>
                                <w:sz w:val="20"/>
                              </w:rPr>
                            </w:pPr>
                            <w:r>
                              <w:rPr>
                                <w:rFonts w:ascii="標楷體" w:eastAsia="標楷體" w:hAnsi="標楷體" w:cs="新細明體" w:hint="eastAsia"/>
                                <w:kern w:val="0"/>
                                <w:sz w:val="20"/>
                              </w:rPr>
                              <w:t>－</w:t>
                            </w:r>
                          </w:p>
                        </w:tc>
                      </w:tr>
                      <w:tr w:rsidR="00CE57F9" w:rsidRPr="002C253B" w14:paraId="2664D7C4" w14:textId="77777777" w:rsidTr="00DA2751">
                        <w:trPr>
                          <w:trHeight w:val="237"/>
                        </w:trPr>
                        <w:tc>
                          <w:tcPr>
                            <w:tcW w:w="1140" w:type="dxa"/>
                            <w:tcBorders>
                              <w:bottom w:val="double" w:sz="4" w:space="0" w:color="auto"/>
                            </w:tcBorders>
                            <w:shd w:val="clear" w:color="auto" w:fill="FFFFFF" w:themeFill="background1"/>
                            <w:noWrap/>
                            <w:vAlign w:val="center"/>
                          </w:tcPr>
                          <w:p w14:paraId="537F06F0" w14:textId="77777777" w:rsidR="00CE57F9" w:rsidRPr="002C253B" w:rsidRDefault="00CE57F9" w:rsidP="00F72E6D">
                            <w:pPr>
                              <w:widowControl/>
                              <w:adjustRightInd w:val="0"/>
                              <w:snapToGrid w:val="0"/>
                              <w:jc w:val="distribute"/>
                              <w:rPr>
                                <w:rFonts w:ascii="標楷體" w:eastAsia="標楷體" w:hAnsi="標楷體" w:cs="新細明體"/>
                                <w:kern w:val="0"/>
                                <w:sz w:val="20"/>
                              </w:rPr>
                            </w:pPr>
                            <w:r w:rsidRPr="002C253B">
                              <w:rPr>
                                <w:rFonts w:ascii="標楷體" w:eastAsia="標楷體" w:hAnsi="標楷體" w:cs="新細明體" w:hint="eastAsia"/>
                                <w:kern w:val="0"/>
                                <w:sz w:val="20"/>
                              </w:rPr>
                              <w:t>海洋委員會</w:t>
                            </w:r>
                          </w:p>
                        </w:tc>
                        <w:tc>
                          <w:tcPr>
                            <w:tcW w:w="3461" w:type="dxa"/>
                            <w:tcBorders>
                              <w:bottom w:val="double" w:sz="4" w:space="0" w:color="auto"/>
                            </w:tcBorders>
                            <w:shd w:val="clear" w:color="auto" w:fill="FFFFFF" w:themeFill="background1"/>
                            <w:vAlign w:val="center"/>
                          </w:tcPr>
                          <w:p w14:paraId="4B3A1847" w14:textId="77777777" w:rsidR="00CE57F9" w:rsidRPr="002C253B" w:rsidRDefault="00CE57F9" w:rsidP="00F72E6D">
                            <w:pPr>
                              <w:widowControl/>
                              <w:adjustRightInd w:val="0"/>
                              <w:snapToGrid w:val="0"/>
                              <w:jc w:val="both"/>
                              <w:rPr>
                                <w:rFonts w:ascii="標楷體" w:eastAsia="標楷體" w:hAnsi="標楷體" w:cs="新細明體"/>
                                <w:kern w:val="0"/>
                                <w:sz w:val="20"/>
                              </w:rPr>
                            </w:pPr>
                            <w:r w:rsidRPr="002C253B">
                              <w:rPr>
                                <w:rFonts w:ascii="標楷體" w:eastAsia="標楷體" w:hAnsi="標楷體" w:cs="新細明體" w:hint="eastAsia"/>
                                <w:kern w:val="0"/>
                                <w:sz w:val="20"/>
                              </w:rPr>
                              <w:t>關鍵基礎設施電磁脈衝防護建置計畫</w:t>
                            </w:r>
                          </w:p>
                        </w:tc>
                        <w:tc>
                          <w:tcPr>
                            <w:tcW w:w="884" w:type="dxa"/>
                            <w:tcBorders>
                              <w:top w:val="single" w:sz="4" w:space="0" w:color="auto"/>
                              <w:left w:val="single" w:sz="4" w:space="0" w:color="auto"/>
                              <w:bottom w:val="double" w:sz="4" w:space="0" w:color="auto"/>
                              <w:right w:val="single" w:sz="4" w:space="0" w:color="auto"/>
                            </w:tcBorders>
                            <w:shd w:val="clear" w:color="auto" w:fill="auto"/>
                            <w:noWrap/>
                            <w:vAlign w:val="center"/>
                          </w:tcPr>
                          <w:p w14:paraId="0EC235A3"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theme="minorBidi" w:hint="eastAsia"/>
                                <w:sz w:val="20"/>
                              </w:rPr>
                              <w:t>50,000</w:t>
                            </w:r>
                          </w:p>
                        </w:tc>
                        <w:tc>
                          <w:tcPr>
                            <w:tcW w:w="992" w:type="dxa"/>
                            <w:tcBorders>
                              <w:top w:val="single" w:sz="4" w:space="0" w:color="auto"/>
                              <w:left w:val="single" w:sz="4" w:space="0" w:color="auto"/>
                              <w:bottom w:val="double" w:sz="4" w:space="0" w:color="auto"/>
                              <w:right w:val="single" w:sz="4" w:space="0" w:color="auto"/>
                            </w:tcBorders>
                            <w:noWrap/>
                            <w:vAlign w:val="center"/>
                          </w:tcPr>
                          <w:p w14:paraId="4B905986"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theme="minorBidi" w:hint="eastAsia"/>
                                <w:sz w:val="20"/>
                              </w:rPr>
                              <w:t>9,698</w:t>
                            </w:r>
                          </w:p>
                        </w:tc>
                        <w:tc>
                          <w:tcPr>
                            <w:tcW w:w="856"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BC74311"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theme="minorBidi" w:hint="eastAsia"/>
                                <w:sz w:val="20"/>
                              </w:rPr>
                              <w:t>19.40</w:t>
                            </w:r>
                          </w:p>
                        </w:tc>
                      </w:tr>
                      <w:tr w:rsidR="00CE57F9" w:rsidRPr="002C253B" w14:paraId="3CA693FB" w14:textId="77777777" w:rsidTr="00DA2751">
                        <w:trPr>
                          <w:trHeight w:val="203"/>
                        </w:trPr>
                        <w:tc>
                          <w:tcPr>
                            <w:tcW w:w="7333" w:type="dxa"/>
                            <w:gridSpan w:val="5"/>
                            <w:tcBorders>
                              <w:top w:val="single" w:sz="4" w:space="0" w:color="auto"/>
                              <w:bottom w:val="single" w:sz="4" w:space="0" w:color="auto"/>
                            </w:tcBorders>
                            <w:shd w:val="clear" w:color="auto" w:fill="FFFFFF" w:themeFill="background1"/>
                            <w:noWrap/>
                          </w:tcPr>
                          <w:p w14:paraId="05B645F6" w14:textId="77777777" w:rsidR="00CE57F9" w:rsidRPr="002C253B" w:rsidRDefault="00CE57F9" w:rsidP="00F72E6D">
                            <w:pPr>
                              <w:widowControl/>
                              <w:adjustRightInd w:val="0"/>
                              <w:snapToGrid w:val="0"/>
                              <w:rPr>
                                <w:rFonts w:ascii="標楷體" w:eastAsia="標楷體" w:hAnsi="標楷體" w:cs="新細明體"/>
                                <w:kern w:val="0"/>
                                <w:sz w:val="20"/>
                              </w:rPr>
                            </w:pPr>
                            <w:r w:rsidRPr="002C253B">
                              <w:rPr>
                                <w:rFonts w:ascii="標楷體" w:eastAsia="標楷體" w:hAnsi="標楷體" w:cs="新細明體" w:hint="eastAsia"/>
                                <w:b/>
                                <w:kern w:val="0"/>
                                <w:sz w:val="20"/>
                              </w:rPr>
                              <w:t>二、科技發展類前瞻基礎建設計畫</w:t>
                            </w:r>
                          </w:p>
                        </w:tc>
                      </w:tr>
                      <w:tr w:rsidR="00CE57F9" w:rsidRPr="002C253B" w14:paraId="3ED179C4" w14:textId="77777777" w:rsidTr="00DA2751">
                        <w:trPr>
                          <w:trHeight w:val="40"/>
                        </w:trPr>
                        <w:tc>
                          <w:tcPr>
                            <w:tcW w:w="1140" w:type="dxa"/>
                            <w:shd w:val="clear" w:color="auto" w:fill="FFFFFF" w:themeFill="background1"/>
                            <w:noWrap/>
                            <w:vAlign w:val="center"/>
                          </w:tcPr>
                          <w:p w14:paraId="5D87E510" w14:textId="77777777" w:rsidR="00CE57F9" w:rsidRPr="002C253B" w:rsidRDefault="00CE57F9" w:rsidP="00F72E6D">
                            <w:pPr>
                              <w:adjustRightInd w:val="0"/>
                              <w:snapToGrid w:val="0"/>
                              <w:jc w:val="distribute"/>
                              <w:rPr>
                                <w:rFonts w:ascii="標楷體" w:eastAsia="標楷體" w:hAnsi="標楷體" w:cs="新細明體"/>
                                <w:kern w:val="0"/>
                                <w:sz w:val="20"/>
                              </w:rPr>
                            </w:pPr>
                            <w:r w:rsidRPr="002C253B">
                              <w:rPr>
                                <w:rFonts w:ascii="標楷體" w:eastAsia="標楷體" w:hAnsi="標楷體" w:cs="新細明體" w:hint="eastAsia"/>
                                <w:kern w:val="0"/>
                                <w:sz w:val="20"/>
                              </w:rPr>
                              <w:t>內政部</w:t>
                            </w:r>
                          </w:p>
                        </w:tc>
                        <w:tc>
                          <w:tcPr>
                            <w:tcW w:w="3461" w:type="dxa"/>
                            <w:shd w:val="clear" w:color="auto" w:fill="FFFFFF" w:themeFill="background1"/>
                          </w:tcPr>
                          <w:p w14:paraId="416B91B2" w14:textId="77777777" w:rsidR="00CE57F9" w:rsidRPr="002C253B" w:rsidRDefault="00CE57F9" w:rsidP="00F72E6D">
                            <w:pPr>
                              <w:widowControl/>
                              <w:adjustRightInd w:val="0"/>
                              <w:snapToGrid w:val="0"/>
                              <w:jc w:val="both"/>
                              <w:rPr>
                                <w:rFonts w:ascii="標楷體" w:eastAsia="標楷體" w:hAnsi="標楷體" w:cs="新細明體"/>
                                <w:kern w:val="0"/>
                                <w:sz w:val="20"/>
                              </w:rPr>
                            </w:pPr>
                            <w:r w:rsidRPr="002C253B">
                              <w:rPr>
                                <w:rFonts w:ascii="標楷體" w:eastAsia="標楷體" w:hAnsi="標楷體" w:cs="新細明體" w:hint="eastAsia"/>
                                <w:kern w:val="0"/>
                                <w:sz w:val="20"/>
                              </w:rPr>
                              <w:t>警消微波網路系統移頻計畫</w:t>
                            </w:r>
                          </w:p>
                        </w:tc>
                        <w:tc>
                          <w:tcPr>
                            <w:tcW w:w="884" w:type="dxa"/>
                            <w:shd w:val="clear" w:color="auto" w:fill="FFFFFF" w:themeFill="background1"/>
                            <w:noWrap/>
                            <w:vAlign w:val="center"/>
                          </w:tcPr>
                          <w:p w14:paraId="56C12F4E"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hint="eastAsia"/>
                                <w:kern w:val="0"/>
                                <w:sz w:val="20"/>
                              </w:rPr>
                              <w:t>3</w:t>
                            </w:r>
                            <w:r w:rsidRPr="002C253B">
                              <w:rPr>
                                <w:rFonts w:ascii="標楷體" w:eastAsia="標楷體" w:hAnsi="標楷體" w:cs="新細明體"/>
                                <w:kern w:val="0"/>
                                <w:sz w:val="20"/>
                              </w:rPr>
                              <w:t>31,540</w:t>
                            </w:r>
                          </w:p>
                        </w:tc>
                        <w:tc>
                          <w:tcPr>
                            <w:tcW w:w="992" w:type="dxa"/>
                            <w:shd w:val="clear" w:color="auto" w:fill="FFFFFF" w:themeFill="background1"/>
                            <w:noWrap/>
                            <w:vAlign w:val="center"/>
                          </w:tcPr>
                          <w:p w14:paraId="4C40B4C7" w14:textId="77777777" w:rsidR="00CE57F9" w:rsidRPr="002C253B" w:rsidRDefault="00CE57F9" w:rsidP="00F72E6D">
                            <w:pPr>
                              <w:widowControl/>
                              <w:adjustRightInd w:val="0"/>
                              <w:snapToGrid w:val="0"/>
                              <w:jc w:val="right"/>
                              <w:rPr>
                                <w:rFonts w:ascii="標楷體" w:eastAsia="標楷體" w:hAnsi="標楷體" w:cs="新細明體"/>
                                <w:kern w:val="0"/>
                                <w:sz w:val="20"/>
                              </w:rPr>
                            </w:pPr>
                            <w:r w:rsidRPr="002C253B">
                              <w:rPr>
                                <w:rFonts w:ascii="標楷體" w:eastAsia="標楷體" w:hAnsi="標楷體" w:cs="新細明體" w:hint="eastAsia"/>
                                <w:kern w:val="0"/>
                                <w:sz w:val="20"/>
                              </w:rPr>
                              <w:t>3</w:t>
                            </w:r>
                            <w:r w:rsidRPr="002C253B">
                              <w:rPr>
                                <w:rFonts w:ascii="標楷體" w:eastAsia="標楷體" w:hAnsi="標楷體" w:cs="新細明體"/>
                                <w:kern w:val="0"/>
                                <w:sz w:val="20"/>
                              </w:rPr>
                              <w:t>2,185</w:t>
                            </w:r>
                          </w:p>
                        </w:tc>
                        <w:tc>
                          <w:tcPr>
                            <w:tcW w:w="856" w:type="dxa"/>
                            <w:shd w:val="clear" w:color="auto" w:fill="FFFFFF" w:themeFill="background1"/>
                            <w:noWrap/>
                            <w:vAlign w:val="center"/>
                          </w:tcPr>
                          <w:p w14:paraId="69641048" w14:textId="4DC03726" w:rsidR="00CE57F9" w:rsidRPr="002C253B" w:rsidRDefault="00CE57F9" w:rsidP="00F72E6D">
                            <w:pPr>
                              <w:widowControl/>
                              <w:adjustRightInd w:val="0"/>
                              <w:snapToGrid w:val="0"/>
                              <w:jc w:val="right"/>
                              <w:rPr>
                                <w:rFonts w:ascii="標楷體" w:eastAsia="標楷體" w:hAnsi="標楷體" w:cs="新細明體"/>
                                <w:kern w:val="0"/>
                                <w:sz w:val="20"/>
                              </w:rPr>
                            </w:pPr>
                            <w:r>
                              <w:rPr>
                                <w:rFonts w:ascii="標楷體" w:eastAsia="標楷體" w:hAnsi="標楷體" w:cs="新細明體"/>
                                <w:kern w:val="0"/>
                                <w:sz w:val="20"/>
                              </w:rPr>
                              <w:t>9.71</w:t>
                            </w:r>
                          </w:p>
                        </w:tc>
                      </w:tr>
                    </w:tbl>
                    <w:p w14:paraId="0539255B" w14:textId="77777777" w:rsidR="00CE57F9" w:rsidRPr="002C253B" w:rsidRDefault="00CE57F9" w:rsidP="00E83099">
                      <w:pPr>
                        <w:adjustRightInd w:val="0"/>
                        <w:snapToGrid w:val="0"/>
                        <w:spacing w:line="260" w:lineRule="exact"/>
                        <w:ind w:leftChars="-70" w:left="-1" w:hangingChars="93" w:hanging="167"/>
                        <w:rPr>
                          <w:rFonts w:ascii="標楷體" w:eastAsia="標楷體" w:hAnsi="標楷體" w:cstheme="minorBidi"/>
                          <w:sz w:val="18"/>
                          <w:szCs w:val="24"/>
                        </w:rPr>
                      </w:pPr>
                      <w:r w:rsidRPr="002C253B">
                        <w:rPr>
                          <w:rFonts w:ascii="標楷體" w:eastAsia="標楷體" w:hAnsi="標楷體" w:cstheme="minorBidi"/>
                          <w:sz w:val="18"/>
                          <w:szCs w:val="24"/>
                        </w:rPr>
                        <w:t>資料來源：整理自各部會查填資料。</w:t>
                      </w:r>
                    </w:p>
                  </w:txbxContent>
                </v:textbox>
                <w10:wrap type="square" anchorx="margin"/>
              </v:shape>
            </w:pict>
          </mc:Fallback>
        </mc:AlternateContent>
      </w:r>
      <w:r w:rsidRPr="009D11AD">
        <w:rPr>
          <w:rFonts w:ascii="標楷體" w:eastAsia="標楷體" w:hAnsi="標楷體" w:hint="eastAsia"/>
          <w:kern w:val="0"/>
          <w:szCs w:val="32"/>
        </w:rPr>
        <w:t>或未及於年底前完成經費核銷，或部分計畫項目經檢討未執行等因素，已實現比率未達8成，甚有「人工智慧輔助緝私系統平臺建置計畫」等</w:t>
      </w:r>
      <w:r w:rsidRPr="009D11AD">
        <w:rPr>
          <w:rFonts w:ascii="標楷體" w:eastAsia="標楷體" w:hAnsi="標楷體"/>
          <w:kern w:val="0"/>
          <w:szCs w:val="32"/>
        </w:rPr>
        <w:t>8</w:t>
      </w:r>
      <w:r w:rsidRPr="009D11AD">
        <w:rPr>
          <w:rFonts w:ascii="標楷體" w:eastAsia="標楷體" w:hAnsi="標楷體" w:hint="eastAsia"/>
          <w:kern w:val="0"/>
          <w:szCs w:val="32"/>
        </w:rPr>
        <w:t>項計畫已實現比率未及3成（</w:t>
      </w:r>
      <w:r w:rsidRPr="00346BDD">
        <w:rPr>
          <w:rFonts w:ascii="標楷體" w:eastAsia="標楷體" w:hAnsi="標楷體" w:hint="eastAsia"/>
          <w:kern w:val="0"/>
          <w:szCs w:val="32"/>
        </w:rPr>
        <w:t>表</w:t>
      </w:r>
      <w:r w:rsidRPr="00346BDD">
        <w:rPr>
          <w:rFonts w:ascii="標楷體" w:eastAsia="標楷體" w:hAnsi="標楷體"/>
          <w:kern w:val="0"/>
          <w:szCs w:val="32"/>
        </w:rPr>
        <w:t>1</w:t>
      </w:r>
      <w:r w:rsidR="00EE218A" w:rsidRPr="00346BDD">
        <w:rPr>
          <w:rFonts w:ascii="標楷體" w:eastAsia="標楷體" w:hAnsi="標楷體" w:hint="eastAsia"/>
          <w:kern w:val="0"/>
          <w:szCs w:val="32"/>
        </w:rPr>
        <w:t>6</w:t>
      </w:r>
      <w:r w:rsidRPr="00346BDD">
        <w:rPr>
          <w:rFonts w:ascii="標楷體" w:eastAsia="標楷體" w:hAnsi="標楷體" w:hint="eastAsia"/>
          <w:kern w:val="0"/>
          <w:szCs w:val="32"/>
        </w:rPr>
        <w:t>）</w:t>
      </w:r>
      <w:r w:rsidRPr="009D11AD">
        <w:rPr>
          <w:rFonts w:ascii="標楷體" w:eastAsia="標楷體" w:hAnsi="標楷體" w:hint="eastAsia"/>
          <w:kern w:val="0"/>
          <w:szCs w:val="32"/>
        </w:rPr>
        <w:t>，且其中「推動創新及應用科技研究計畫」等13項計畫（</w:t>
      </w:r>
      <w:r w:rsidRPr="00346BDD">
        <w:rPr>
          <w:rFonts w:ascii="標楷體" w:eastAsia="標楷體" w:hAnsi="標楷體" w:hint="eastAsia"/>
          <w:kern w:val="0"/>
          <w:szCs w:val="32"/>
        </w:rPr>
        <w:t>表1</w:t>
      </w:r>
      <w:r w:rsidR="00EE218A" w:rsidRPr="00346BDD">
        <w:rPr>
          <w:rFonts w:ascii="標楷體" w:eastAsia="標楷體" w:hAnsi="標楷體" w:hint="eastAsia"/>
          <w:kern w:val="0"/>
          <w:szCs w:val="32"/>
        </w:rPr>
        <w:t>7</w:t>
      </w:r>
      <w:r w:rsidRPr="009D11AD">
        <w:rPr>
          <w:rFonts w:ascii="標楷體" w:eastAsia="標楷體" w:hAnsi="標楷體" w:hint="eastAsia"/>
          <w:kern w:val="0"/>
          <w:szCs w:val="32"/>
        </w:rPr>
        <w:t>），已連續</w:t>
      </w:r>
      <w:r w:rsidR="00C342B2" w:rsidRPr="00346BDD">
        <w:rPr>
          <w:rFonts w:ascii="標楷體" w:eastAsia="標楷體" w:hAnsi="標楷體"/>
          <w:kern w:val="0"/>
          <w:szCs w:val="32"/>
        </w:rPr>
        <w:t>2年度（110及111年度）</w:t>
      </w:r>
      <w:r w:rsidRPr="009D11AD">
        <w:rPr>
          <w:rFonts w:ascii="標楷體" w:eastAsia="標楷體" w:hAnsi="標楷體" w:hint="eastAsia"/>
          <w:kern w:val="0"/>
          <w:szCs w:val="32"/>
        </w:rPr>
        <w:t>已實現比率未達8成。另查，111年度總金額達5億元以上之科技發展計畫計有156項（111年度科技發展計畫116項、科技發展類</w:t>
      </w:r>
      <w:r w:rsidR="005D19A1" w:rsidRPr="009D11AD">
        <w:rPr>
          <w:rFonts w:ascii="標楷體" w:eastAsia="標楷體" w:hAnsi="標楷體"/>
          <w:bCs/>
          <w:noProof/>
          <w:szCs w:val="32"/>
        </w:rPr>
        <mc:AlternateContent>
          <mc:Choice Requires="wps">
            <w:drawing>
              <wp:anchor distT="45720" distB="45720" distL="114300" distR="114300" simplePos="0" relativeHeight="251649536" behindDoc="0" locked="0" layoutInCell="1" allowOverlap="1" wp14:anchorId="6A2CBC64" wp14:editId="2746F2FF">
                <wp:simplePos x="0" y="0"/>
                <wp:positionH relativeFrom="margin">
                  <wp:posOffset>1478280</wp:posOffset>
                </wp:positionH>
                <wp:positionV relativeFrom="paragraph">
                  <wp:posOffset>5167630</wp:posOffset>
                </wp:positionV>
                <wp:extent cx="4820285" cy="3704590"/>
                <wp:effectExtent l="0" t="0" r="0" b="0"/>
                <wp:wrapSquare wrapText="bothSides"/>
                <wp:docPr id="28" name="文字方塊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0285" cy="3704590"/>
                        </a:xfrm>
                        <a:prstGeom prst="rect">
                          <a:avLst/>
                        </a:prstGeom>
                        <a:noFill/>
                        <a:ln w="9525">
                          <a:noFill/>
                          <a:miter lim="800000"/>
                          <a:headEnd/>
                          <a:tailEnd/>
                        </a:ln>
                      </wps:spPr>
                      <wps:txbx>
                        <w:txbxContent>
                          <w:p w14:paraId="797357CE" w14:textId="62109660" w:rsidR="00CE57F9" w:rsidRPr="006B58C2" w:rsidRDefault="00CE57F9" w:rsidP="006B58C2">
                            <w:pPr>
                              <w:widowControl/>
                              <w:adjustRightInd w:val="0"/>
                              <w:snapToGrid w:val="0"/>
                              <w:jc w:val="center"/>
                              <w:rPr>
                                <w:rFonts w:ascii="標楷體" w:eastAsia="標楷體" w:hAnsi="標楷體" w:cstheme="minorBidi"/>
                                <w:b/>
                                <w:szCs w:val="32"/>
                              </w:rPr>
                            </w:pPr>
                            <w:r w:rsidRPr="006B58C2">
                              <w:rPr>
                                <w:rFonts w:ascii="標楷體" w:eastAsia="標楷體" w:hAnsi="標楷體" w:cstheme="minorBidi"/>
                                <w:b/>
                                <w:szCs w:val="32"/>
                              </w:rPr>
                              <w:t>表17</w:t>
                            </w:r>
                            <w:r w:rsidRPr="006B58C2">
                              <w:rPr>
                                <w:rFonts w:ascii="標楷體" w:eastAsia="標楷體" w:hAnsi="標楷體" w:cstheme="minorBidi" w:hint="eastAsia"/>
                                <w:b/>
                                <w:szCs w:val="32"/>
                              </w:rPr>
                              <w:t xml:space="preserve">　</w:t>
                            </w:r>
                            <w:r w:rsidRPr="00346BDD">
                              <w:rPr>
                                <w:rFonts w:ascii="標楷體" w:eastAsia="標楷體" w:hAnsi="標楷體" w:cstheme="minorBidi"/>
                                <w:b/>
                                <w:szCs w:val="32"/>
                              </w:rPr>
                              <w:t>111年度科技發展計畫</w:t>
                            </w:r>
                            <w:r w:rsidRPr="006B58C2">
                              <w:rPr>
                                <w:rFonts w:ascii="標楷體" w:eastAsia="標楷體" w:hAnsi="標楷體" w:cstheme="minorBidi" w:hint="eastAsia"/>
                                <w:b/>
                                <w:szCs w:val="32"/>
                              </w:rPr>
                              <w:t>已實現比率連續2年未達8</w:t>
                            </w:r>
                            <w:r w:rsidRPr="006B58C2">
                              <w:rPr>
                                <w:rFonts w:ascii="標楷體" w:eastAsia="標楷體" w:hAnsi="標楷體" w:cstheme="minorBidi"/>
                                <w:b/>
                                <w:szCs w:val="32"/>
                              </w:rPr>
                              <w:t>成</w:t>
                            </w:r>
                            <w:r w:rsidRPr="006B58C2">
                              <w:rPr>
                                <w:rFonts w:ascii="標楷體" w:eastAsia="標楷體" w:hAnsi="標楷體" w:cstheme="minorBidi" w:hint="eastAsia"/>
                                <w:b/>
                                <w:szCs w:val="32"/>
                              </w:rPr>
                              <w:t>情形</w:t>
                            </w:r>
                          </w:p>
                          <w:p w14:paraId="58FC64AF" w14:textId="0DBB182B" w:rsidR="00CE57F9" w:rsidRPr="0084346B" w:rsidRDefault="00CE57F9" w:rsidP="00DA2751">
                            <w:pPr>
                              <w:adjustRightInd w:val="0"/>
                              <w:snapToGrid w:val="0"/>
                              <w:ind w:leftChars="274" w:left="658" w:rightChars="8" w:right="19" w:firstLineChars="210" w:firstLine="420"/>
                              <w:jc w:val="right"/>
                              <w:rPr>
                                <w:rFonts w:ascii="標楷體" w:eastAsia="標楷體" w:hAnsi="標楷體" w:cstheme="minorBidi"/>
                                <w:sz w:val="20"/>
                                <w:szCs w:val="24"/>
                              </w:rPr>
                            </w:pPr>
                            <w:r w:rsidRPr="0084346B">
                              <w:rPr>
                                <w:rFonts w:ascii="標楷體" w:eastAsia="標楷體" w:hAnsi="標楷體" w:cstheme="minorBidi" w:hint="eastAsia"/>
                                <w:sz w:val="20"/>
                                <w:szCs w:val="24"/>
                              </w:rPr>
                              <w:t>單位</w:t>
                            </w:r>
                            <w:r w:rsidRPr="0084346B">
                              <w:rPr>
                                <w:rFonts w:ascii="新細明體" w:hAnsi="新細明體" w:cstheme="minorBidi" w:hint="eastAsia"/>
                                <w:sz w:val="20"/>
                                <w:szCs w:val="24"/>
                              </w:rPr>
                              <w:t>：</w:t>
                            </w:r>
                            <w:r w:rsidRPr="0084346B">
                              <w:rPr>
                                <w:rFonts w:ascii="標楷體" w:eastAsia="標楷體" w:hAnsi="標楷體" w:cstheme="minorBidi" w:hint="eastAsia"/>
                                <w:sz w:val="20"/>
                                <w:szCs w:val="24"/>
                              </w:rPr>
                              <w:t>％</w:t>
                            </w:r>
                          </w:p>
                          <w:tbl>
                            <w:tblPr>
                              <w:tblW w:w="5078" w:type="pct"/>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right w:w="28" w:type="dxa"/>
                              </w:tblCellMar>
                              <w:tblLook w:val="04A0" w:firstRow="1" w:lastRow="0" w:firstColumn="1" w:lastColumn="0" w:noHBand="0" w:noVBand="1"/>
                            </w:tblPr>
                            <w:tblGrid>
                              <w:gridCol w:w="1577"/>
                              <w:gridCol w:w="3663"/>
                              <w:gridCol w:w="1117"/>
                              <w:gridCol w:w="1118"/>
                            </w:tblGrid>
                            <w:tr w:rsidR="00CE57F9" w:rsidRPr="00983A06" w14:paraId="18ED7AAB" w14:textId="77777777" w:rsidTr="005D19A1">
                              <w:trPr>
                                <w:trHeight w:val="322"/>
                                <w:tblHeader/>
                              </w:trPr>
                              <w:tc>
                                <w:tcPr>
                                  <w:tcW w:w="1054" w:type="pct"/>
                                  <w:vMerge w:val="restart"/>
                                  <w:shd w:val="clear" w:color="auto" w:fill="FFFFFF"/>
                                  <w:noWrap/>
                                  <w:vAlign w:val="center"/>
                                </w:tcPr>
                                <w:p w14:paraId="65AF684F" w14:textId="77777777" w:rsidR="00CE57F9" w:rsidRPr="00983A06" w:rsidRDefault="00CE57F9" w:rsidP="00F72E6D">
                                  <w:pPr>
                                    <w:adjustRightInd w:val="0"/>
                                    <w:snapToGrid w:val="0"/>
                                    <w:jc w:val="center"/>
                                    <w:rPr>
                                      <w:rFonts w:ascii="標楷體" w:eastAsia="標楷體" w:hAnsi="標楷體" w:cs="新細明體"/>
                                      <w:kern w:val="0"/>
                                      <w:sz w:val="20"/>
                                    </w:rPr>
                                  </w:pPr>
                                  <w:r w:rsidRPr="00983A06">
                                    <w:rPr>
                                      <w:rFonts w:ascii="標楷體" w:eastAsia="標楷體" w:hAnsi="標楷體" w:cs="新細明體" w:hint="eastAsia"/>
                                      <w:kern w:val="0"/>
                                      <w:sz w:val="20"/>
                                    </w:rPr>
                                    <w:t>主管</w:t>
                                  </w:r>
                                </w:p>
                                <w:p w14:paraId="15419DA1" w14:textId="77777777" w:rsidR="00CE57F9" w:rsidRPr="00983A06" w:rsidRDefault="00CE57F9" w:rsidP="00F72E6D">
                                  <w:pPr>
                                    <w:adjustRightInd w:val="0"/>
                                    <w:snapToGrid w:val="0"/>
                                    <w:jc w:val="center"/>
                                    <w:rPr>
                                      <w:rFonts w:ascii="標楷體" w:eastAsia="標楷體" w:hAnsi="標楷體" w:cs="新細明體"/>
                                      <w:kern w:val="0"/>
                                      <w:sz w:val="20"/>
                                    </w:rPr>
                                  </w:pPr>
                                  <w:r w:rsidRPr="00983A06">
                                    <w:rPr>
                                      <w:rFonts w:ascii="標楷體" w:eastAsia="標楷體" w:hAnsi="標楷體" w:cs="新細明體" w:hint="eastAsia"/>
                                      <w:kern w:val="0"/>
                                      <w:sz w:val="20"/>
                                    </w:rPr>
                                    <w:t>機關</w:t>
                                  </w:r>
                                </w:p>
                              </w:tc>
                              <w:tc>
                                <w:tcPr>
                                  <w:tcW w:w="2450" w:type="pct"/>
                                  <w:vMerge w:val="restart"/>
                                  <w:shd w:val="clear" w:color="auto" w:fill="FFFFFF"/>
                                  <w:vAlign w:val="center"/>
                                </w:tcPr>
                                <w:p w14:paraId="1148F7CB" w14:textId="77777777" w:rsidR="00CE57F9" w:rsidRPr="00983A06" w:rsidRDefault="00CE57F9" w:rsidP="00F72E6D">
                                  <w:pPr>
                                    <w:adjustRightInd w:val="0"/>
                                    <w:snapToGrid w:val="0"/>
                                    <w:jc w:val="center"/>
                                    <w:rPr>
                                      <w:rFonts w:ascii="標楷體" w:eastAsia="標楷體" w:hAnsi="標楷體" w:cs="新細明體"/>
                                      <w:kern w:val="0"/>
                                      <w:sz w:val="20"/>
                                    </w:rPr>
                                  </w:pPr>
                                  <w:r w:rsidRPr="00983A06">
                                    <w:rPr>
                                      <w:rFonts w:ascii="標楷體" w:eastAsia="標楷體" w:hAnsi="標楷體" w:cs="新細明體" w:hint="eastAsia"/>
                                      <w:kern w:val="0"/>
                                      <w:sz w:val="20"/>
                                    </w:rPr>
                                    <w:t>計畫名稱</w:t>
                                  </w:r>
                                </w:p>
                              </w:tc>
                              <w:tc>
                                <w:tcPr>
                                  <w:tcW w:w="1495" w:type="pct"/>
                                  <w:gridSpan w:val="2"/>
                                  <w:shd w:val="clear" w:color="auto" w:fill="FFFFFF"/>
                                  <w:vAlign w:val="center"/>
                                </w:tcPr>
                                <w:p w14:paraId="3756D31B" w14:textId="77777777" w:rsidR="00CE57F9" w:rsidRPr="00983A06" w:rsidRDefault="00CE57F9" w:rsidP="00F72E6D">
                                  <w:pPr>
                                    <w:widowControl/>
                                    <w:adjustRightInd w:val="0"/>
                                    <w:snapToGrid w:val="0"/>
                                    <w:jc w:val="center"/>
                                    <w:rPr>
                                      <w:rFonts w:ascii="標楷體" w:eastAsia="標楷體" w:hAnsi="標楷體" w:cs="新細明體"/>
                                      <w:kern w:val="0"/>
                                      <w:sz w:val="20"/>
                                    </w:rPr>
                                  </w:pPr>
                                  <w:r w:rsidRPr="00983A06">
                                    <w:rPr>
                                      <w:rFonts w:ascii="標楷體" w:eastAsia="標楷體" w:hAnsi="標楷體" w:cs="新細明體" w:hint="eastAsia"/>
                                      <w:kern w:val="0"/>
                                      <w:sz w:val="20"/>
                                    </w:rPr>
                                    <w:t>已實現比率</w:t>
                                  </w:r>
                                </w:p>
                              </w:tc>
                            </w:tr>
                            <w:tr w:rsidR="00CE57F9" w:rsidRPr="00983A06" w14:paraId="43865923" w14:textId="77777777" w:rsidTr="005D19A1">
                              <w:trPr>
                                <w:trHeight w:val="307"/>
                                <w:tblHeader/>
                              </w:trPr>
                              <w:tc>
                                <w:tcPr>
                                  <w:tcW w:w="1054" w:type="pct"/>
                                  <w:vMerge/>
                                  <w:shd w:val="clear" w:color="auto" w:fill="FFFFFF"/>
                                  <w:noWrap/>
                                  <w:vAlign w:val="center"/>
                                </w:tcPr>
                                <w:p w14:paraId="6987AD03" w14:textId="77777777" w:rsidR="00CE57F9" w:rsidRPr="00983A06" w:rsidRDefault="00CE57F9" w:rsidP="00F72E6D">
                                  <w:pPr>
                                    <w:adjustRightInd w:val="0"/>
                                    <w:snapToGrid w:val="0"/>
                                    <w:jc w:val="center"/>
                                    <w:rPr>
                                      <w:rFonts w:ascii="標楷體" w:eastAsia="標楷體" w:hAnsi="標楷體" w:cs="新細明體"/>
                                      <w:kern w:val="0"/>
                                      <w:sz w:val="20"/>
                                    </w:rPr>
                                  </w:pPr>
                                </w:p>
                              </w:tc>
                              <w:tc>
                                <w:tcPr>
                                  <w:tcW w:w="2450" w:type="pct"/>
                                  <w:vMerge/>
                                  <w:shd w:val="clear" w:color="auto" w:fill="FFFFFF"/>
                                  <w:vAlign w:val="center"/>
                                </w:tcPr>
                                <w:p w14:paraId="15054374" w14:textId="77777777" w:rsidR="00CE57F9" w:rsidRPr="00983A06" w:rsidRDefault="00CE57F9" w:rsidP="00F72E6D">
                                  <w:pPr>
                                    <w:adjustRightInd w:val="0"/>
                                    <w:snapToGrid w:val="0"/>
                                    <w:jc w:val="center"/>
                                    <w:rPr>
                                      <w:rFonts w:ascii="標楷體" w:eastAsia="標楷體" w:hAnsi="標楷體" w:cs="新細明體"/>
                                      <w:kern w:val="0"/>
                                      <w:sz w:val="20"/>
                                    </w:rPr>
                                  </w:pPr>
                                </w:p>
                              </w:tc>
                              <w:tc>
                                <w:tcPr>
                                  <w:tcW w:w="747" w:type="pct"/>
                                  <w:shd w:val="clear" w:color="auto" w:fill="FFFFFF"/>
                                  <w:vAlign w:val="center"/>
                                </w:tcPr>
                                <w:p w14:paraId="05F97A2F" w14:textId="77777777" w:rsidR="00CE57F9" w:rsidRPr="00983A06" w:rsidRDefault="00CE57F9" w:rsidP="00F72E6D">
                                  <w:pPr>
                                    <w:widowControl/>
                                    <w:adjustRightInd w:val="0"/>
                                    <w:snapToGrid w:val="0"/>
                                    <w:jc w:val="center"/>
                                    <w:rPr>
                                      <w:rFonts w:ascii="標楷體" w:eastAsia="標楷體" w:hAnsi="標楷體" w:cs="新細明體"/>
                                      <w:kern w:val="0"/>
                                      <w:sz w:val="20"/>
                                    </w:rPr>
                                  </w:pPr>
                                  <w:r w:rsidRPr="00983A06">
                                    <w:rPr>
                                      <w:rFonts w:ascii="標楷體" w:eastAsia="標楷體" w:hAnsi="標楷體" w:cs="新細明體" w:hint="eastAsia"/>
                                      <w:kern w:val="0"/>
                                      <w:sz w:val="20"/>
                                    </w:rPr>
                                    <w:t>1</w:t>
                                  </w:r>
                                  <w:r w:rsidRPr="00983A06">
                                    <w:rPr>
                                      <w:rFonts w:ascii="標楷體" w:eastAsia="標楷體" w:hAnsi="標楷體" w:cs="新細明體"/>
                                      <w:kern w:val="0"/>
                                      <w:sz w:val="20"/>
                                    </w:rPr>
                                    <w:t>10</w:t>
                                  </w:r>
                                  <w:r w:rsidRPr="00983A06">
                                    <w:rPr>
                                      <w:rFonts w:ascii="標楷體" w:eastAsia="標楷體" w:hAnsi="標楷體" w:cs="新細明體" w:hint="eastAsia"/>
                                      <w:kern w:val="0"/>
                                      <w:sz w:val="20"/>
                                    </w:rPr>
                                    <w:t>年度</w:t>
                                  </w:r>
                                </w:p>
                              </w:tc>
                              <w:tc>
                                <w:tcPr>
                                  <w:tcW w:w="748" w:type="pct"/>
                                  <w:shd w:val="clear" w:color="auto" w:fill="FFFFFF"/>
                                  <w:vAlign w:val="center"/>
                                </w:tcPr>
                                <w:p w14:paraId="4ED103A9" w14:textId="77777777" w:rsidR="00CE57F9" w:rsidRPr="00983A06" w:rsidRDefault="00CE57F9" w:rsidP="00F72E6D">
                                  <w:pPr>
                                    <w:widowControl/>
                                    <w:adjustRightInd w:val="0"/>
                                    <w:snapToGrid w:val="0"/>
                                    <w:jc w:val="center"/>
                                    <w:rPr>
                                      <w:rFonts w:ascii="標楷體" w:eastAsia="標楷體" w:hAnsi="標楷體" w:cs="新細明體"/>
                                      <w:kern w:val="0"/>
                                      <w:sz w:val="20"/>
                                    </w:rPr>
                                  </w:pPr>
                                  <w:r w:rsidRPr="00983A06">
                                    <w:rPr>
                                      <w:rFonts w:ascii="標楷體" w:eastAsia="標楷體" w:hAnsi="標楷體" w:cs="新細明體" w:hint="eastAsia"/>
                                      <w:kern w:val="0"/>
                                      <w:sz w:val="20"/>
                                    </w:rPr>
                                    <w:t>1</w:t>
                                  </w:r>
                                  <w:r w:rsidRPr="00983A06">
                                    <w:rPr>
                                      <w:rFonts w:ascii="標楷體" w:eastAsia="標楷體" w:hAnsi="標楷體" w:cs="新細明體"/>
                                      <w:kern w:val="0"/>
                                      <w:sz w:val="20"/>
                                    </w:rPr>
                                    <w:t>11</w:t>
                                  </w:r>
                                  <w:r w:rsidRPr="00983A06">
                                    <w:rPr>
                                      <w:rFonts w:ascii="標楷體" w:eastAsia="標楷體" w:hAnsi="標楷體" w:cs="新細明體" w:hint="eastAsia"/>
                                      <w:kern w:val="0"/>
                                      <w:sz w:val="20"/>
                                    </w:rPr>
                                    <w:t>年度</w:t>
                                  </w:r>
                                </w:p>
                              </w:tc>
                            </w:tr>
                            <w:tr w:rsidR="00CE57F9" w:rsidRPr="00983A06" w14:paraId="4229DD33" w14:textId="77777777" w:rsidTr="005D19A1">
                              <w:trPr>
                                <w:trHeight w:val="163"/>
                              </w:trPr>
                              <w:tc>
                                <w:tcPr>
                                  <w:tcW w:w="1054" w:type="pct"/>
                                  <w:vMerge w:val="restart"/>
                                  <w:shd w:val="clear" w:color="auto" w:fill="FFFFFF"/>
                                  <w:noWrap/>
                                  <w:vAlign w:val="center"/>
                                  <w:hideMark/>
                                </w:tcPr>
                                <w:p w14:paraId="4596D77F" w14:textId="77777777" w:rsidR="00CE57F9" w:rsidRPr="00346BDD" w:rsidRDefault="00CE57F9" w:rsidP="00B42C69">
                                  <w:pPr>
                                    <w:widowControl/>
                                    <w:adjustRightInd w:val="0"/>
                                    <w:snapToGrid w:val="0"/>
                                    <w:ind w:leftChars="26" w:left="62" w:rightChars="25" w:right="60" w:firstLineChars="1" w:firstLine="1"/>
                                    <w:jc w:val="distribute"/>
                                    <w:rPr>
                                      <w:rFonts w:ascii="標楷體" w:eastAsia="標楷體" w:hAnsi="標楷體" w:cs="新細明體"/>
                                      <w:spacing w:val="-34"/>
                                      <w:kern w:val="0"/>
                                      <w:sz w:val="20"/>
                                    </w:rPr>
                                  </w:pPr>
                                  <w:r w:rsidRPr="00346BDD">
                                    <w:rPr>
                                      <w:rFonts w:ascii="標楷體" w:eastAsia="標楷體" w:hAnsi="標楷體" w:cs="新細明體" w:hint="eastAsia"/>
                                      <w:spacing w:val="-34"/>
                                      <w:kern w:val="0"/>
                                      <w:sz w:val="20"/>
                                    </w:rPr>
                                    <w:t>科技部</w:t>
                                  </w:r>
                                </w:p>
                                <w:p w14:paraId="46D61015" w14:textId="77777777" w:rsidR="00CE57F9" w:rsidRPr="00346BDD" w:rsidRDefault="00CE57F9" w:rsidP="00B42C69">
                                  <w:pPr>
                                    <w:widowControl/>
                                    <w:adjustRightInd w:val="0"/>
                                    <w:snapToGrid w:val="0"/>
                                    <w:ind w:leftChars="26" w:left="62" w:rightChars="25" w:right="60" w:firstLineChars="1" w:firstLine="1"/>
                                    <w:jc w:val="distribute"/>
                                    <w:rPr>
                                      <w:rFonts w:ascii="標楷體" w:eastAsia="標楷體" w:hAnsi="標楷體" w:cs="新細明體"/>
                                      <w:spacing w:val="-34"/>
                                      <w:kern w:val="0"/>
                                      <w:sz w:val="20"/>
                                    </w:rPr>
                                  </w:pPr>
                                  <w:r w:rsidRPr="00346BDD">
                                    <w:rPr>
                                      <w:rFonts w:ascii="標楷體" w:eastAsia="標楷體" w:hAnsi="標楷體" w:cs="新細明體" w:hint="eastAsia"/>
                                      <w:spacing w:val="-34"/>
                                      <w:kern w:val="0"/>
                                      <w:sz w:val="20"/>
                                    </w:rPr>
                                    <w:t>（國家科學及</w:t>
                                  </w:r>
                                </w:p>
                                <w:p w14:paraId="3E21D37B" w14:textId="14498F68" w:rsidR="00CE57F9" w:rsidRPr="00DA2751" w:rsidRDefault="00CE57F9" w:rsidP="00F72E6D">
                                  <w:pPr>
                                    <w:widowControl/>
                                    <w:adjustRightInd w:val="0"/>
                                    <w:snapToGrid w:val="0"/>
                                    <w:ind w:leftChars="26" w:left="62" w:rightChars="25" w:right="60" w:firstLineChars="1" w:firstLine="1"/>
                                    <w:jc w:val="distribute"/>
                                    <w:rPr>
                                      <w:rFonts w:ascii="標楷體" w:eastAsia="標楷體" w:hAnsi="標楷體" w:cs="新細明體"/>
                                      <w:spacing w:val="-34"/>
                                      <w:kern w:val="0"/>
                                      <w:sz w:val="20"/>
                                      <w:u w:val="single"/>
                                    </w:rPr>
                                  </w:pPr>
                                  <w:r w:rsidRPr="00346BDD">
                                    <w:rPr>
                                      <w:rFonts w:ascii="標楷體" w:eastAsia="標楷體" w:hAnsi="標楷體" w:cs="新細明體" w:hint="eastAsia"/>
                                      <w:spacing w:val="-34"/>
                                      <w:kern w:val="0"/>
                                      <w:sz w:val="20"/>
                                    </w:rPr>
                                    <w:t>技術委員會）</w:t>
                                  </w:r>
                                </w:p>
                              </w:tc>
                              <w:tc>
                                <w:tcPr>
                                  <w:tcW w:w="2450" w:type="pct"/>
                                  <w:shd w:val="clear" w:color="auto" w:fill="FFFFFF"/>
                                  <w:vAlign w:val="center"/>
                                  <w:hideMark/>
                                </w:tcPr>
                                <w:p w14:paraId="32BAD958" w14:textId="77777777" w:rsidR="00CE57F9" w:rsidRPr="00983A06" w:rsidRDefault="00CE57F9" w:rsidP="00F72E6D">
                                  <w:pPr>
                                    <w:widowControl/>
                                    <w:adjustRightInd w:val="0"/>
                                    <w:snapToGrid w:val="0"/>
                                    <w:jc w:val="both"/>
                                    <w:rPr>
                                      <w:rFonts w:ascii="標楷體" w:eastAsia="標楷體" w:hAnsi="標楷體" w:cs="新細明體"/>
                                      <w:kern w:val="0"/>
                                      <w:sz w:val="20"/>
                                    </w:rPr>
                                  </w:pPr>
                                  <w:r w:rsidRPr="00983A06">
                                    <w:rPr>
                                      <w:rFonts w:ascii="標楷體" w:eastAsia="標楷體" w:hAnsi="標楷體" w:cs="新細明體" w:hint="eastAsia"/>
                                      <w:kern w:val="0"/>
                                      <w:sz w:val="20"/>
                                    </w:rPr>
                                    <w:t>推動創新及應用科技研究計畫</w:t>
                                  </w:r>
                                </w:p>
                              </w:tc>
                              <w:tc>
                                <w:tcPr>
                                  <w:tcW w:w="747" w:type="pct"/>
                                  <w:shd w:val="clear" w:color="auto" w:fill="FFFFFF"/>
                                  <w:noWrap/>
                                  <w:vAlign w:val="center"/>
                                </w:tcPr>
                                <w:p w14:paraId="4530DFA2"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68.32</w:t>
                                  </w:r>
                                </w:p>
                              </w:tc>
                              <w:tc>
                                <w:tcPr>
                                  <w:tcW w:w="748" w:type="pct"/>
                                  <w:shd w:val="clear" w:color="auto" w:fill="FFFFFF"/>
                                  <w:vAlign w:val="center"/>
                                </w:tcPr>
                                <w:p w14:paraId="7F001B72"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70.61</w:t>
                                  </w:r>
                                </w:p>
                              </w:tc>
                            </w:tr>
                            <w:tr w:rsidR="00CE57F9" w:rsidRPr="00983A06" w14:paraId="63E0C38A" w14:textId="77777777" w:rsidTr="005D19A1">
                              <w:trPr>
                                <w:trHeight w:val="40"/>
                              </w:trPr>
                              <w:tc>
                                <w:tcPr>
                                  <w:tcW w:w="1054" w:type="pct"/>
                                  <w:vMerge/>
                                  <w:shd w:val="clear" w:color="auto" w:fill="FFFFFF"/>
                                  <w:noWrap/>
                                  <w:vAlign w:val="center"/>
                                </w:tcPr>
                                <w:p w14:paraId="5B17BFDF" w14:textId="77777777" w:rsidR="00CE57F9" w:rsidRPr="00983A06" w:rsidRDefault="00CE57F9" w:rsidP="00F72E6D">
                                  <w:pPr>
                                    <w:adjustRightInd w:val="0"/>
                                    <w:snapToGrid w:val="0"/>
                                    <w:jc w:val="distribute"/>
                                    <w:rPr>
                                      <w:rFonts w:ascii="標楷體" w:eastAsia="標楷體" w:hAnsi="標楷體" w:cs="新細明體"/>
                                      <w:kern w:val="0"/>
                                      <w:sz w:val="20"/>
                                    </w:rPr>
                                  </w:pPr>
                                </w:p>
                              </w:tc>
                              <w:tc>
                                <w:tcPr>
                                  <w:tcW w:w="2450" w:type="pct"/>
                                  <w:shd w:val="clear" w:color="auto" w:fill="FFFFFF"/>
                                  <w:vAlign w:val="center"/>
                                </w:tcPr>
                                <w:p w14:paraId="3928BFC1" w14:textId="77777777" w:rsidR="00CE57F9" w:rsidRPr="00983A06" w:rsidRDefault="00CE57F9" w:rsidP="00F72E6D">
                                  <w:pPr>
                                    <w:widowControl/>
                                    <w:adjustRightInd w:val="0"/>
                                    <w:snapToGrid w:val="0"/>
                                    <w:jc w:val="both"/>
                                    <w:rPr>
                                      <w:rFonts w:ascii="標楷體" w:eastAsia="標楷體" w:hAnsi="標楷體" w:cs="新細明體"/>
                                      <w:kern w:val="0"/>
                                      <w:sz w:val="20"/>
                                    </w:rPr>
                                  </w:pPr>
                                  <w:r w:rsidRPr="00983A06">
                                    <w:rPr>
                                      <w:rFonts w:ascii="標楷體" w:eastAsia="標楷體" w:hAnsi="標楷體" w:cs="新細明體" w:hint="eastAsia"/>
                                      <w:kern w:val="0"/>
                                      <w:sz w:val="20"/>
                                    </w:rPr>
                                    <w:t>科研成果創新創業價創計畫</w:t>
                                  </w:r>
                                </w:p>
                              </w:tc>
                              <w:tc>
                                <w:tcPr>
                                  <w:tcW w:w="747" w:type="pct"/>
                                  <w:shd w:val="clear" w:color="auto" w:fill="FFFFFF"/>
                                  <w:noWrap/>
                                  <w:vAlign w:val="center"/>
                                </w:tcPr>
                                <w:p w14:paraId="6B511E9C"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78.60</w:t>
                                  </w:r>
                                </w:p>
                              </w:tc>
                              <w:tc>
                                <w:tcPr>
                                  <w:tcW w:w="748" w:type="pct"/>
                                  <w:shd w:val="clear" w:color="auto" w:fill="FFFFFF"/>
                                  <w:vAlign w:val="center"/>
                                </w:tcPr>
                                <w:p w14:paraId="22103C29"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69.01</w:t>
                                  </w:r>
                                </w:p>
                              </w:tc>
                            </w:tr>
                            <w:tr w:rsidR="00CE57F9" w:rsidRPr="00983A06" w14:paraId="4AC89E08" w14:textId="77777777" w:rsidTr="005D19A1">
                              <w:trPr>
                                <w:trHeight w:val="40"/>
                              </w:trPr>
                              <w:tc>
                                <w:tcPr>
                                  <w:tcW w:w="1054" w:type="pct"/>
                                  <w:vMerge/>
                                  <w:shd w:val="clear" w:color="auto" w:fill="FFFFFF"/>
                                  <w:noWrap/>
                                  <w:vAlign w:val="center"/>
                                  <w:hideMark/>
                                </w:tcPr>
                                <w:p w14:paraId="40BA6C62" w14:textId="77777777" w:rsidR="00CE57F9" w:rsidRPr="00983A06" w:rsidRDefault="00CE57F9" w:rsidP="00F72E6D">
                                  <w:pPr>
                                    <w:adjustRightInd w:val="0"/>
                                    <w:snapToGrid w:val="0"/>
                                    <w:jc w:val="distribute"/>
                                    <w:rPr>
                                      <w:rFonts w:ascii="標楷體" w:eastAsia="標楷體" w:hAnsi="標楷體" w:cs="新細明體"/>
                                      <w:kern w:val="0"/>
                                      <w:sz w:val="20"/>
                                    </w:rPr>
                                  </w:pPr>
                                </w:p>
                              </w:tc>
                              <w:tc>
                                <w:tcPr>
                                  <w:tcW w:w="2450" w:type="pct"/>
                                  <w:shd w:val="clear" w:color="auto" w:fill="FFFFFF"/>
                                  <w:vAlign w:val="center"/>
                                  <w:hideMark/>
                                </w:tcPr>
                                <w:p w14:paraId="4ADCD0FB" w14:textId="77777777" w:rsidR="00CE57F9" w:rsidRPr="00983A06" w:rsidRDefault="00CE57F9" w:rsidP="00F72E6D">
                                  <w:pPr>
                                    <w:widowControl/>
                                    <w:adjustRightInd w:val="0"/>
                                    <w:snapToGrid w:val="0"/>
                                    <w:jc w:val="both"/>
                                    <w:rPr>
                                      <w:rFonts w:ascii="標楷體" w:eastAsia="標楷體" w:hAnsi="標楷體" w:cs="新細明體"/>
                                      <w:spacing w:val="-10"/>
                                      <w:kern w:val="0"/>
                                      <w:sz w:val="20"/>
                                    </w:rPr>
                                  </w:pPr>
                                  <w:r w:rsidRPr="00983A06">
                                    <w:rPr>
                                      <w:rFonts w:ascii="標楷體" w:eastAsia="標楷體" w:hAnsi="標楷體" w:cs="新細明體" w:hint="eastAsia"/>
                                      <w:spacing w:val="-10"/>
                                      <w:kern w:val="0"/>
                                      <w:sz w:val="20"/>
                                    </w:rPr>
                                    <w:t>下世代太空科技發展延續推動計畫</w:t>
                                  </w:r>
                                </w:p>
                              </w:tc>
                              <w:tc>
                                <w:tcPr>
                                  <w:tcW w:w="747" w:type="pct"/>
                                  <w:shd w:val="clear" w:color="auto" w:fill="FFFFFF"/>
                                  <w:noWrap/>
                                  <w:vAlign w:val="center"/>
                                </w:tcPr>
                                <w:p w14:paraId="1449FDCF"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62.09</w:t>
                                  </w:r>
                                </w:p>
                              </w:tc>
                              <w:tc>
                                <w:tcPr>
                                  <w:tcW w:w="748" w:type="pct"/>
                                  <w:shd w:val="clear" w:color="auto" w:fill="FFFFFF"/>
                                  <w:vAlign w:val="center"/>
                                </w:tcPr>
                                <w:p w14:paraId="759AB2C1"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57.32</w:t>
                                  </w:r>
                                </w:p>
                              </w:tc>
                            </w:tr>
                            <w:tr w:rsidR="00CE57F9" w:rsidRPr="00983A06" w14:paraId="51E73418" w14:textId="77777777" w:rsidTr="005D19A1">
                              <w:trPr>
                                <w:trHeight w:val="40"/>
                              </w:trPr>
                              <w:tc>
                                <w:tcPr>
                                  <w:tcW w:w="1054" w:type="pct"/>
                                  <w:vMerge/>
                                  <w:shd w:val="clear" w:color="auto" w:fill="FFFFFF"/>
                                  <w:noWrap/>
                                  <w:vAlign w:val="center"/>
                                  <w:hideMark/>
                                </w:tcPr>
                                <w:p w14:paraId="0D6385EE" w14:textId="77777777" w:rsidR="00CE57F9" w:rsidRPr="00983A06" w:rsidRDefault="00CE57F9" w:rsidP="00F72E6D">
                                  <w:pPr>
                                    <w:adjustRightInd w:val="0"/>
                                    <w:snapToGrid w:val="0"/>
                                    <w:jc w:val="distribute"/>
                                    <w:rPr>
                                      <w:rFonts w:ascii="標楷體" w:eastAsia="標楷體" w:hAnsi="標楷體" w:cs="新細明體"/>
                                      <w:kern w:val="0"/>
                                      <w:sz w:val="20"/>
                                    </w:rPr>
                                  </w:pPr>
                                </w:p>
                              </w:tc>
                              <w:tc>
                                <w:tcPr>
                                  <w:tcW w:w="2450" w:type="pct"/>
                                  <w:shd w:val="clear" w:color="auto" w:fill="FFFFFF"/>
                                  <w:vAlign w:val="center"/>
                                  <w:hideMark/>
                                </w:tcPr>
                                <w:p w14:paraId="3E15B9F4" w14:textId="77777777" w:rsidR="00CE57F9" w:rsidRPr="00983A06" w:rsidRDefault="00CE57F9" w:rsidP="00F72E6D">
                                  <w:pPr>
                                    <w:widowControl/>
                                    <w:adjustRightInd w:val="0"/>
                                    <w:snapToGrid w:val="0"/>
                                    <w:jc w:val="both"/>
                                    <w:rPr>
                                      <w:rFonts w:ascii="標楷體" w:eastAsia="標楷體" w:hAnsi="標楷體" w:cs="新細明體"/>
                                      <w:kern w:val="0"/>
                                      <w:sz w:val="20"/>
                                    </w:rPr>
                                  </w:pPr>
                                  <w:r w:rsidRPr="00983A06">
                                    <w:rPr>
                                      <w:rFonts w:ascii="標楷體" w:eastAsia="標楷體" w:hAnsi="標楷體" w:cs="新細明體" w:hint="eastAsia"/>
                                      <w:spacing w:val="-10"/>
                                      <w:kern w:val="0"/>
                                      <w:sz w:val="20"/>
                                    </w:rPr>
                                    <w:t>醫療器材產業加速新創與躍升國際推動計畫</w:t>
                                  </w:r>
                                </w:p>
                              </w:tc>
                              <w:tc>
                                <w:tcPr>
                                  <w:tcW w:w="747" w:type="pct"/>
                                  <w:shd w:val="clear" w:color="auto" w:fill="FFFFFF"/>
                                  <w:noWrap/>
                                  <w:vAlign w:val="center"/>
                                </w:tcPr>
                                <w:p w14:paraId="628B8BD9"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65.79</w:t>
                                  </w:r>
                                </w:p>
                              </w:tc>
                              <w:tc>
                                <w:tcPr>
                                  <w:tcW w:w="748" w:type="pct"/>
                                  <w:shd w:val="clear" w:color="auto" w:fill="FFFFFF"/>
                                  <w:vAlign w:val="center"/>
                                </w:tcPr>
                                <w:p w14:paraId="1E80E53E"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68.91</w:t>
                                  </w:r>
                                </w:p>
                              </w:tc>
                            </w:tr>
                            <w:tr w:rsidR="00CE57F9" w:rsidRPr="00983A06" w14:paraId="24103DA5" w14:textId="77777777" w:rsidTr="005D19A1">
                              <w:trPr>
                                <w:trHeight w:val="113"/>
                              </w:trPr>
                              <w:tc>
                                <w:tcPr>
                                  <w:tcW w:w="1054" w:type="pct"/>
                                  <w:vMerge w:val="restart"/>
                                  <w:shd w:val="clear" w:color="auto" w:fill="FFFFFF"/>
                                  <w:noWrap/>
                                  <w:vAlign w:val="center"/>
                                  <w:hideMark/>
                                </w:tcPr>
                                <w:p w14:paraId="2DC65BE1" w14:textId="77777777" w:rsidR="00CE57F9" w:rsidRPr="00983A06" w:rsidRDefault="00CE57F9" w:rsidP="00F72E6D">
                                  <w:pPr>
                                    <w:widowControl/>
                                    <w:adjustRightInd w:val="0"/>
                                    <w:snapToGrid w:val="0"/>
                                    <w:ind w:rightChars="25" w:right="60" w:firstLineChars="26" w:firstLine="52"/>
                                    <w:jc w:val="distribute"/>
                                    <w:rPr>
                                      <w:rFonts w:ascii="標楷體" w:eastAsia="標楷體" w:hAnsi="標楷體" w:cs="新細明體"/>
                                      <w:kern w:val="0"/>
                                      <w:sz w:val="20"/>
                                    </w:rPr>
                                  </w:pPr>
                                  <w:r w:rsidRPr="00983A06">
                                    <w:rPr>
                                      <w:rFonts w:ascii="標楷體" w:eastAsia="標楷體" w:hAnsi="標楷體" w:cs="新細明體" w:hint="eastAsia"/>
                                      <w:kern w:val="0"/>
                                      <w:sz w:val="20"/>
                                    </w:rPr>
                                    <w:t>衛生福利部</w:t>
                                  </w:r>
                                </w:p>
                              </w:tc>
                              <w:tc>
                                <w:tcPr>
                                  <w:tcW w:w="2450" w:type="pct"/>
                                  <w:shd w:val="clear" w:color="auto" w:fill="auto"/>
                                  <w:hideMark/>
                                </w:tcPr>
                                <w:p w14:paraId="2DBF9471" w14:textId="77777777" w:rsidR="00CE57F9" w:rsidRPr="00983A06" w:rsidRDefault="00CE57F9" w:rsidP="00F72E6D">
                                  <w:pPr>
                                    <w:widowControl/>
                                    <w:adjustRightInd w:val="0"/>
                                    <w:snapToGrid w:val="0"/>
                                    <w:jc w:val="both"/>
                                    <w:rPr>
                                      <w:rFonts w:ascii="標楷體" w:eastAsia="標楷體" w:hAnsi="標楷體" w:cs="新細明體"/>
                                      <w:kern w:val="0"/>
                                      <w:sz w:val="20"/>
                                    </w:rPr>
                                  </w:pPr>
                                  <w:r w:rsidRPr="00983A06">
                                    <w:rPr>
                                      <w:rFonts w:ascii="標楷體" w:eastAsia="標楷體" w:hAnsi="標楷體" w:cs="新細明體"/>
                                      <w:kern w:val="0"/>
                                      <w:sz w:val="20"/>
                                    </w:rPr>
                                    <w:t>全人健康促進與成癮防治研究</w:t>
                                  </w:r>
                                </w:p>
                              </w:tc>
                              <w:tc>
                                <w:tcPr>
                                  <w:tcW w:w="747" w:type="pct"/>
                                  <w:shd w:val="clear" w:color="auto" w:fill="auto"/>
                                  <w:noWrap/>
                                  <w:vAlign w:val="center"/>
                                </w:tcPr>
                                <w:p w14:paraId="29AE7464"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74.47</w:t>
                                  </w:r>
                                </w:p>
                              </w:tc>
                              <w:tc>
                                <w:tcPr>
                                  <w:tcW w:w="748" w:type="pct"/>
                                  <w:vAlign w:val="center"/>
                                </w:tcPr>
                                <w:p w14:paraId="24B3E2CB"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69.57</w:t>
                                  </w:r>
                                </w:p>
                              </w:tc>
                            </w:tr>
                            <w:tr w:rsidR="00CE57F9" w:rsidRPr="00983A06" w14:paraId="37B63641" w14:textId="77777777" w:rsidTr="005D19A1">
                              <w:trPr>
                                <w:trHeight w:val="87"/>
                              </w:trPr>
                              <w:tc>
                                <w:tcPr>
                                  <w:tcW w:w="1054" w:type="pct"/>
                                  <w:vMerge/>
                                  <w:shd w:val="clear" w:color="auto" w:fill="FFFFFF"/>
                                  <w:noWrap/>
                                  <w:vAlign w:val="center"/>
                                  <w:hideMark/>
                                </w:tcPr>
                                <w:p w14:paraId="1E19A9C0" w14:textId="77777777" w:rsidR="00CE57F9" w:rsidRPr="00983A06" w:rsidRDefault="00CE57F9" w:rsidP="00F72E6D">
                                  <w:pPr>
                                    <w:widowControl/>
                                    <w:adjustRightInd w:val="0"/>
                                    <w:snapToGrid w:val="0"/>
                                    <w:ind w:rightChars="25" w:right="60" w:firstLineChars="26" w:firstLine="52"/>
                                    <w:jc w:val="distribute"/>
                                    <w:rPr>
                                      <w:rFonts w:ascii="標楷體" w:eastAsia="標楷體" w:hAnsi="標楷體" w:cs="新細明體"/>
                                      <w:kern w:val="0"/>
                                      <w:sz w:val="20"/>
                                    </w:rPr>
                                  </w:pPr>
                                </w:p>
                              </w:tc>
                              <w:tc>
                                <w:tcPr>
                                  <w:tcW w:w="2450" w:type="pct"/>
                                  <w:shd w:val="clear" w:color="auto" w:fill="FFFFFF"/>
                                  <w:hideMark/>
                                </w:tcPr>
                                <w:p w14:paraId="5991F72D" w14:textId="77777777" w:rsidR="00CE57F9" w:rsidRPr="00346BDD" w:rsidRDefault="00CE57F9" w:rsidP="00F72E6D">
                                  <w:pPr>
                                    <w:widowControl/>
                                    <w:adjustRightInd w:val="0"/>
                                    <w:snapToGrid w:val="0"/>
                                    <w:jc w:val="both"/>
                                    <w:rPr>
                                      <w:rFonts w:ascii="標楷體" w:eastAsia="標楷體" w:hAnsi="標楷體" w:cs="新細明體"/>
                                      <w:kern w:val="0"/>
                                      <w:sz w:val="20"/>
                                    </w:rPr>
                                  </w:pPr>
                                  <w:r w:rsidRPr="00346BDD">
                                    <w:rPr>
                                      <w:rFonts w:ascii="標楷體" w:eastAsia="標楷體" w:hAnsi="標楷體" w:cs="新細明體" w:hint="eastAsia"/>
                                      <w:kern w:val="0"/>
                                      <w:sz w:val="20"/>
                                    </w:rPr>
                                    <w:t>社會福利多元服務與實證決策模式計畫</w:t>
                                  </w:r>
                                </w:p>
                              </w:tc>
                              <w:tc>
                                <w:tcPr>
                                  <w:tcW w:w="747" w:type="pct"/>
                                  <w:shd w:val="clear" w:color="auto" w:fill="FFFFFF"/>
                                  <w:noWrap/>
                                  <w:vAlign w:val="center"/>
                                </w:tcPr>
                                <w:p w14:paraId="4FC45DAD"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57.13</w:t>
                                  </w:r>
                                </w:p>
                              </w:tc>
                              <w:tc>
                                <w:tcPr>
                                  <w:tcW w:w="748" w:type="pct"/>
                                  <w:shd w:val="clear" w:color="auto" w:fill="FFFFFF"/>
                                  <w:vAlign w:val="center"/>
                                </w:tcPr>
                                <w:p w14:paraId="3B4A9801"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hint="eastAsia"/>
                                      <w:spacing w:val="-8"/>
                                      <w:kern w:val="0"/>
                                      <w:sz w:val="20"/>
                                    </w:rPr>
                                    <w:t>25.48</w:t>
                                  </w:r>
                                </w:p>
                              </w:tc>
                            </w:tr>
                            <w:tr w:rsidR="00CE57F9" w:rsidRPr="00983A06" w14:paraId="4F496194" w14:textId="77777777" w:rsidTr="005D19A1">
                              <w:trPr>
                                <w:trHeight w:val="192"/>
                              </w:trPr>
                              <w:tc>
                                <w:tcPr>
                                  <w:tcW w:w="1054" w:type="pct"/>
                                  <w:vMerge/>
                                  <w:shd w:val="clear" w:color="auto" w:fill="FFFFFF"/>
                                  <w:noWrap/>
                                  <w:vAlign w:val="center"/>
                                  <w:hideMark/>
                                </w:tcPr>
                                <w:p w14:paraId="644C37EC" w14:textId="77777777" w:rsidR="00CE57F9" w:rsidRPr="00983A06" w:rsidRDefault="00CE57F9" w:rsidP="00F72E6D">
                                  <w:pPr>
                                    <w:widowControl/>
                                    <w:adjustRightInd w:val="0"/>
                                    <w:snapToGrid w:val="0"/>
                                    <w:ind w:rightChars="25" w:right="60" w:firstLineChars="26" w:firstLine="52"/>
                                    <w:jc w:val="distribute"/>
                                    <w:rPr>
                                      <w:rFonts w:ascii="標楷體" w:eastAsia="標楷體" w:hAnsi="標楷體" w:cs="新細明體"/>
                                      <w:kern w:val="0"/>
                                      <w:sz w:val="20"/>
                                    </w:rPr>
                                  </w:pPr>
                                </w:p>
                              </w:tc>
                              <w:tc>
                                <w:tcPr>
                                  <w:tcW w:w="2450" w:type="pct"/>
                                  <w:shd w:val="clear" w:color="auto" w:fill="FFFFFF"/>
                                  <w:hideMark/>
                                </w:tcPr>
                                <w:p w14:paraId="5B0A508B" w14:textId="650F49E4" w:rsidR="00CE57F9" w:rsidRPr="00346BDD" w:rsidRDefault="00CE57F9" w:rsidP="00F72E6D">
                                  <w:pPr>
                                    <w:widowControl/>
                                    <w:adjustRightInd w:val="0"/>
                                    <w:snapToGrid w:val="0"/>
                                    <w:jc w:val="both"/>
                                    <w:rPr>
                                      <w:rFonts w:ascii="標楷體" w:eastAsia="標楷體" w:hAnsi="標楷體" w:cs="新細明體"/>
                                      <w:kern w:val="0"/>
                                      <w:sz w:val="20"/>
                                    </w:rPr>
                                  </w:pPr>
                                  <w:r w:rsidRPr="00346BDD">
                                    <w:rPr>
                                      <w:rFonts w:ascii="標楷體" w:eastAsia="標楷體" w:hAnsi="標楷體" w:cs="新細明體" w:hint="eastAsia"/>
                                      <w:kern w:val="0"/>
                                      <w:sz w:val="20"/>
                                    </w:rPr>
                                    <w:t>資安跨域整合聯防計畫－關鍵基礎設施領域資安推動工作計畫</w:t>
                                  </w:r>
                                </w:p>
                              </w:tc>
                              <w:tc>
                                <w:tcPr>
                                  <w:tcW w:w="747" w:type="pct"/>
                                  <w:shd w:val="clear" w:color="auto" w:fill="FFFFFF"/>
                                  <w:noWrap/>
                                  <w:vAlign w:val="center"/>
                                </w:tcPr>
                                <w:p w14:paraId="35C0CF58"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75.73</w:t>
                                  </w:r>
                                </w:p>
                              </w:tc>
                              <w:tc>
                                <w:tcPr>
                                  <w:tcW w:w="748" w:type="pct"/>
                                  <w:shd w:val="clear" w:color="auto" w:fill="FFFFFF"/>
                                  <w:vAlign w:val="center"/>
                                </w:tcPr>
                                <w:p w14:paraId="40DF3D8F"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hint="eastAsia"/>
                                      <w:spacing w:val="-8"/>
                                      <w:kern w:val="0"/>
                                      <w:sz w:val="20"/>
                                    </w:rPr>
                                    <w:t>33.32</w:t>
                                  </w:r>
                                </w:p>
                              </w:tc>
                            </w:tr>
                            <w:tr w:rsidR="00CE57F9" w:rsidRPr="00983A06" w14:paraId="3D6589E0" w14:textId="77777777" w:rsidTr="005D19A1">
                              <w:trPr>
                                <w:trHeight w:val="231"/>
                              </w:trPr>
                              <w:tc>
                                <w:tcPr>
                                  <w:tcW w:w="1054" w:type="pct"/>
                                  <w:shd w:val="clear" w:color="auto" w:fill="FFFFFF"/>
                                  <w:noWrap/>
                                  <w:vAlign w:val="center"/>
                                </w:tcPr>
                                <w:p w14:paraId="4D31414F" w14:textId="77777777" w:rsidR="00CE57F9" w:rsidRPr="00983A06" w:rsidRDefault="00CE57F9" w:rsidP="00F72E6D">
                                  <w:pPr>
                                    <w:widowControl/>
                                    <w:adjustRightInd w:val="0"/>
                                    <w:snapToGrid w:val="0"/>
                                    <w:ind w:rightChars="25" w:right="60" w:firstLineChars="26" w:firstLine="52"/>
                                    <w:jc w:val="distribute"/>
                                    <w:rPr>
                                      <w:rFonts w:ascii="標楷體" w:eastAsia="標楷體" w:hAnsi="標楷體" w:cs="新細明體"/>
                                      <w:kern w:val="0"/>
                                      <w:sz w:val="20"/>
                                    </w:rPr>
                                  </w:pPr>
                                  <w:r w:rsidRPr="00983A06">
                                    <w:rPr>
                                      <w:rFonts w:ascii="標楷體" w:eastAsia="標楷體" w:hAnsi="標楷體" w:cs="新細明體" w:hint="eastAsia"/>
                                      <w:kern w:val="0"/>
                                      <w:sz w:val="20"/>
                                    </w:rPr>
                                    <w:t>農業委員會</w:t>
                                  </w:r>
                                </w:p>
                              </w:tc>
                              <w:tc>
                                <w:tcPr>
                                  <w:tcW w:w="2450" w:type="pct"/>
                                  <w:shd w:val="clear" w:color="auto" w:fill="FFFFFF"/>
                                </w:tcPr>
                                <w:p w14:paraId="75A345AB" w14:textId="77777777" w:rsidR="00CE57F9" w:rsidRPr="00346BDD" w:rsidRDefault="00CE57F9" w:rsidP="00F72E6D">
                                  <w:pPr>
                                    <w:widowControl/>
                                    <w:adjustRightInd w:val="0"/>
                                    <w:snapToGrid w:val="0"/>
                                    <w:jc w:val="both"/>
                                    <w:rPr>
                                      <w:rFonts w:ascii="標楷體" w:eastAsia="標楷體" w:hAnsi="標楷體" w:cs="新細明體"/>
                                      <w:kern w:val="0"/>
                                      <w:sz w:val="20"/>
                                    </w:rPr>
                                  </w:pPr>
                                  <w:r w:rsidRPr="00346BDD">
                                    <w:rPr>
                                      <w:rFonts w:ascii="標楷體" w:eastAsia="標楷體" w:hAnsi="標楷體" w:cs="新細明體" w:hint="eastAsia"/>
                                      <w:kern w:val="0"/>
                                      <w:sz w:val="20"/>
                                    </w:rPr>
                                    <w:t>精進防疫一體傳染病智慧防治技術</w:t>
                                  </w:r>
                                </w:p>
                              </w:tc>
                              <w:tc>
                                <w:tcPr>
                                  <w:tcW w:w="74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B4A663"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75.48</w:t>
                                  </w:r>
                                </w:p>
                              </w:tc>
                              <w:tc>
                                <w:tcPr>
                                  <w:tcW w:w="748" w:type="pct"/>
                                  <w:tcBorders>
                                    <w:top w:val="single" w:sz="4" w:space="0" w:color="auto"/>
                                    <w:left w:val="single" w:sz="4" w:space="0" w:color="auto"/>
                                    <w:bottom w:val="single" w:sz="4" w:space="0" w:color="auto"/>
                                    <w:right w:val="single" w:sz="4" w:space="0" w:color="auto"/>
                                  </w:tcBorders>
                                  <w:vAlign w:val="center"/>
                                </w:tcPr>
                                <w:p w14:paraId="145FE1C9"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hint="eastAsia"/>
                                      <w:spacing w:val="-8"/>
                                      <w:kern w:val="0"/>
                                      <w:sz w:val="20"/>
                                    </w:rPr>
                                    <w:t>7</w:t>
                                  </w:r>
                                  <w:r w:rsidRPr="00983A06">
                                    <w:rPr>
                                      <w:rFonts w:ascii="標楷體" w:eastAsia="標楷體" w:hAnsi="標楷體" w:cs="新細明體"/>
                                      <w:spacing w:val="-8"/>
                                      <w:kern w:val="0"/>
                                      <w:sz w:val="20"/>
                                    </w:rPr>
                                    <w:t>8.57</w:t>
                                  </w:r>
                                </w:p>
                              </w:tc>
                            </w:tr>
                            <w:tr w:rsidR="00CE57F9" w:rsidRPr="00983A06" w14:paraId="67D49078" w14:textId="77777777" w:rsidTr="005D19A1">
                              <w:trPr>
                                <w:trHeight w:val="126"/>
                              </w:trPr>
                              <w:tc>
                                <w:tcPr>
                                  <w:tcW w:w="1054" w:type="pct"/>
                                  <w:shd w:val="clear" w:color="auto" w:fill="FFFFFF"/>
                                  <w:noWrap/>
                                  <w:vAlign w:val="center"/>
                                </w:tcPr>
                                <w:p w14:paraId="41A2F4CA" w14:textId="1692AA1D" w:rsidR="00CE57F9" w:rsidRPr="00983A06" w:rsidRDefault="00CE57F9" w:rsidP="006B58C2">
                                  <w:pPr>
                                    <w:widowControl/>
                                    <w:adjustRightInd w:val="0"/>
                                    <w:snapToGrid w:val="0"/>
                                    <w:ind w:leftChars="26" w:left="62" w:rightChars="31" w:right="74" w:firstLineChars="1" w:firstLine="1"/>
                                    <w:jc w:val="distribute"/>
                                    <w:rPr>
                                      <w:rFonts w:ascii="標楷體" w:eastAsia="標楷體" w:hAnsi="標楷體" w:cs="新細明體"/>
                                      <w:spacing w:val="-36"/>
                                      <w:kern w:val="0"/>
                                      <w:sz w:val="20"/>
                                    </w:rPr>
                                  </w:pPr>
                                  <w:r w:rsidRPr="00983A06">
                                    <w:rPr>
                                      <w:rFonts w:ascii="標楷體" w:eastAsia="標楷體" w:hAnsi="標楷體" w:cs="新細明體" w:hint="eastAsia"/>
                                      <w:spacing w:val="-36"/>
                                      <w:kern w:val="0"/>
                                      <w:sz w:val="20"/>
                                    </w:rPr>
                                    <w:t>行政院國家科學</w:t>
                                  </w:r>
                                  <w:r>
                                    <w:rPr>
                                      <w:rFonts w:ascii="標楷體" w:eastAsia="標楷體" w:hAnsi="標楷體" w:cs="新細明體"/>
                                      <w:spacing w:val="-36"/>
                                      <w:kern w:val="0"/>
                                      <w:sz w:val="20"/>
                                    </w:rPr>
                                    <w:br/>
                                  </w:r>
                                  <w:r w:rsidRPr="00983A06">
                                    <w:rPr>
                                      <w:rFonts w:ascii="標楷體" w:eastAsia="標楷體" w:hAnsi="標楷體" w:cs="新細明體" w:hint="eastAsia"/>
                                      <w:spacing w:val="-36"/>
                                      <w:kern w:val="0"/>
                                      <w:sz w:val="20"/>
                                    </w:rPr>
                                    <w:t>技術發展基金</w:t>
                                  </w:r>
                                </w:p>
                              </w:tc>
                              <w:tc>
                                <w:tcPr>
                                  <w:tcW w:w="2450" w:type="pct"/>
                                  <w:shd w:val="clear" w:color="auto" w:fill="FFFFFF"/>
                                  <w:vAlign w:val="center"/>
                                </w:tcPr>
                                <w:p w14:paraId="2395C206" w14:textId="77777777" w:rsidR="00CE57F9" w:rsidRPr="00346BDD" w:rsidRDefault="00CE57F9" w:rsidP="00F72E6D">
                                  <w:pPr>
                                    <w:widowControl/>
                                    <w:adjustRightInd w:val="0"/>
                                    <w:snapToGrid w:val="0"/>
                                    <w:jc w:val="both"/>
                                    <w:rPr>
                                      <w:rFonts w:ascii="標楷體" w:eastAsia="標楷體" w:hAnsi="標楷體" w:cs="新細明體"/>
                                      <w:kern w:val="0"/>
                                      <w:sz w:val="20"/>
                                    </w:rPr>
                                  </w:pPr>
                                  <w:r w:rsidRPr="00346BDD">
                                    <w:rPr>
                                      <w:rFonts w:eastAsia="標楷體" w:cs="Calibri" w:hint="eastAsia"/>
                                      <w:sz w:val="20"/>
                                    </w:rPr>
                                    <w:t>科技會報跨部會署科發基金計畫</w:t>
                                  </w:r>
                                </w:p>
                              </w:tc>
                              <w:tc>
                                <w:tcPr>
                                  <w:tcW w:w="747" w:type="pct"/>
                                  <w:shd w:val="clear" w:color="auto" w:fill="FFFFFF"/>
                                  <w:noWrap/>
                                  <w:vAlign w:val="center"/>
                                </w:tcPr>
                                <w:p w14:paraId="43413573"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69.92</w:t>
                                  </w:r>
                                </w:p>
                              </w:tc>
                              <w:tc>
                                <w:tcPr>
                                  <w:tcW w:w="748" w:type="pct"/>
                                  <w:shd w:val="clear" w:color="auto" w:fill="FFFFFF"/>
                                  <w:vAlign w:val="center"/>
                                </w:tcPr>
                                <w:p w14:paraId="37AC4B61"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68.22</w:t>
                                  </w:r>
                                </w:p>
                              </w:tc>
                            </w:tr>
                            <w:tr w:rsidR="00CE57F9" w:rsidRPr="00983A06" w14:paraId="6BF82673" w14:textId="77777777" w:rsidTr="005D19A1">
                              <w:trPr>
                                <w:trHeight w:val="248"/>
                              </w:trPr>
                              <w:tc>
                                <w:tcPr>
                                  <w:tcW w:w="1054" w:type="pct"/>
                                  <w:shd w:val="clear" w:color="auto" w:fill="FFFFFF"/>
                                  <w:noWrap/>
                                  <w:vAlign w:val="center"/>
                                </w:tcPr>
                                <w:p w14:paraId="60B72954" w14:textId="77777777" w:rsidR="00CE57F9" w:rsidRPr="00983A06" w:rsidRDefault="00CE57F9" w:rsidP="00F72E6D">
                                  <w:pPr>
                                    <w:widowControl/>
                                    <w:adjustRightInd w:val="0"/>
                                    <w:snapToGrid w:val="0"/>
                                    <w:ind w:rightChars="25" w:right="60" w:firstLineChars="26" w:firstLine="52"/>
                                    <w:jc w:val="distribute"/>
                                    <w:rPr>
                                      <w:rFonts w:ascii="標楷體" w:eastAsia="標楷體" w:hAnsi="標楷體" w:cs="新細明體"/>
                                      <w:kern w:val="0"/>
                                      <w:sz w:val="20"/>
                                    </w:rPr>
                                  </w:pPr>
                                  <w:r w:rsidRPr="00983A06">
                                    <w:rPr>
                                      <w:rFonts w:ascii="標楷體" w:eastAsia="標楷體" w:hAnsi="標楷體" w:cs="新細明體" w:hint="eastAsia"/>
                                      <w:kern w:val="0"/>
                                      <w:sz w:val="20"/>
                                    </w:rPr>
                                    <w:t>交通部</w:t>
                                  </w:r>
                                </w:p>
                              </w:tc>
                              <w:tc>
                                <w:tcPr>
                                  <w:tcW w:w="2450" w:type="pct"/>
                                  <w:shd w:val="clear" w:color="auto" w:fill="FFFFFF"/>
                                </w:tcPr>
                                <w:p w14:paraId="6DB95E45" w14:textId="77777777" w:rsidR="00CE57F9" w:rsidRPr="00346BDD" w:rsidRDefault="00CE57F9" w:rsidP="00F72E6D">
                                  <w:pPr>
                                    <w:widowControl/>
                                    <w:adjustRightInd w:val="0"/>
                                    <w:snapToGrid w:val="0"/>
                                    <w:jc w:val="both"/>
                                    <w:rPr>
                                      <w:rFonts w:ascii="標楷體" w:eastAsia="標楷體" w:hAnsi="標楷體" w:cs="新細明體"/>
                                      <w:kern w:val="0"/>
                                      <w:sz w:val="20"/>
                                    </w:rPr>
                                  </w:pPr>
                                  <w:r w:rsidRPr="00346BDD">
                                    <w:rPr>
                                      <w:rFonts w:ascii="標楷體" w:eastAsia="標楷體" w:hAnsi="標楷體" w:cs="新細明體" w:hint="eastAsia"/>
                                      <w:kern w:val="0"/>
                                      <w:sz w:val="20"/>
                                    </w:rPr>
                                    <w:t>氣象雷達災防預警技術提升計畫</w:t>
                                  </w:r>
                                </w:p>
                              </w:tc>
                              <w:tc>
                                <w:tcPr>
                                  <w:tcW w:w="747" w:type="pct"/>
                                  <w:shd w:val="clear" w:color="auto" w:fill="FFFFFF"/>
                                  <w:noWrap/>
                                  <w:vAlign w:val="center"/>
                                </w:tcPr>
                                <w:p w14:paraId="7B626656"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76.06</w:t>
                                  </w:r>
                                </w:p>
                              </w:tc>
                              <w:tc>
                                <w:tcPr>
                                  <w:tcW w:w="748" w:type="pct"/>
                                  <w:shd w:val="clear" w:color="auto" w:fill="FFFFFF"/>
                                  <w:vAlign w:val="center"/>
                                </w:tcPr>
                                <w:p w14:paraId="08FCF964"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60.25</w:t>
                                  </w:r>
                                </w:p>
                              </w:tc>
                            </w:tr>
                            <w:tr w:rsidR="00CE57F9" w:rsidRPr="00983A06" w14:paraId="17EB0FA9" w14:textId="77777777" w:rsidTr="005D19A1">
                              <w:trPr>
                                <w:trHeight w:val="248"/>
                              </w:trPr>
                              <w:tc>
                                <w:tcPr>
                                  <w:tcW w:w="1054" w:type="pct"/>
                                  <w:shd w:val="clear" w:color="auto" w:fill="FFFFFF"/>
                                  <w:noWrap/>
                                  <w:vAlign w:val="center"/>
                                  <w:hideMark/>
                                </w:tcPr>
                                <w:p w14:paraId="29E801AA" w14:textId="77777777" w:rsidR="00CE57F9" w:rsidRPr="00983A06" w:rsidRDefault="00CE57F9" w:rsidP="00F72E6D">
                                  <w:pPr>
                                    <w:widowControl/>
                                    <w:adjustRightInd w:val="0"/>
                                    <w:snapToGrid w:val="0"/>
                                    <w:ind w:rightChars="25" w:right="60" w:firstLineChars="26" w:firstLine="52"/>
                                    <w:jc w:val="distribute"/>
                                    <w:rPr>
                                      <w:rFonts w:ascii="標楷體" w:eastAsia="標楷體" w:hAnsi="標楷體" w:cs="新細明體"/>
                                      <w:kern w:val="0"/>
                                      <w:sz w:val="20"/>
                                    </w:rPr>
                                  </w:pPr>
                                  <w:r w:rsidRPr="00983A06">
                                    <w:rPr>
                                      <w:rFonts w:ascii="標楷體" w:eastAsia="標楷體" w:hAnsi="標楷體" w:cs="新細明體" w:hint="eastAsia"/>
                                      <w:kern w:val="0"/>
                                      <w:sz w:val="20"/>
                                    </w:rPr>
                                    <w:t>教育部</w:t>
                                  </w:r>
                                </w:p>
                              </w:tc>
                              <w:tc>
                                <w:tcPr>
                                  <w:tcW w:w="2450" w:type="pct"/>
                                  <w:shd w:val="clear" w:color="auto" w:fill="FFFFFF"/>
                                  <w:vAlign w:val="center"/>
                                  <w:hideMark/>
                                </w:tcPr>
                                <w:p w14:paraId="4494A236" w14:textId="1394DECC" w:rsidR="00CE57F9" w:rsidRPr="00346BDD" w:rsidRDefault="00CE57F9" w:rsidP="00F72E6D">
                                  <w:pPr>
                                    <w:widowControl/>
                                    <w:adjustRightInd w:val="0"/>
                                    <w:snapToGrid w:val="0"/>
                                    <w:jc w:val="both"/>
                                    <w:rPr>
                                      <w:rFonts w:ascii="標楷體" w:eastAsia="標楷體" w:hAnsi="標楷體" w:cs="新細明體"/>
                                      <w:kern w:val="0"/>
                                      <w:sz w:val="20"/>
                                    </w:rPr>
                                  </w:pPr>
                                  <w:r w:rsidRPr="00346BDD">
                                    <w:rPr>
                                      <w:rFonts w:ascii="標楷體" w:eastAsia="標楷體" w:hAnsi="標楷體" w:cs="新細明體" w:hint="eastAsia"/>
                                      <w:kern w:val="0"/>
                                      <w:sz w:val="20"/>
                                    </w:rPr>
                                    <w:t>臺灣資安卓越深耕－擴增資安師資計畫</w:t>
                                  </w:r>
                                </w:p>
                              </w:tc>
                              <w:tc>
                                <w:tcPr>
                                  <w:tcW w:w="747" w:type="pct"/>
                                  <w:shd w:val="clear" w:color="auto" w:fill="FFFFFF"/>
                                  <w:noWrap/>
                                  <w:vAlign w:val="center"/>
                                </w:tcPr>
                                <w:p w14:paraId="151FC816"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10.56</w:t>
                                  </w:r>
                                </w:p>
                              </w:tc>
                              <w:tc>
                                <w:tcPr>
                                  <w:tcW w:w="748" w:type="pct"/>
                                  <w:shd w:val="clear" w:color="auto" w:fill="FFFFFF"/>
                                  <w:vAlign w:val="center"/>
                                </w:tcPr>
                                <w:p w14:paraId="7F4BBEFE"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29</w:t>
                                  </w:r>
                                  <w:r w:rsidRPr="00983A06">
                                    <w:rPr>
                                      <w:rFonts w:ascii="標楷體" w:eastAsia="標楷體" w:hAnsi="標楷體" w:cs="新細明體" w:hint="eastAsia"/>
                                      <w:spacing w:val="-8"/>
                                      <w:kern w:val="0"/>
                                      <w:sz w:val="20"/>
                                    </w:rPr>
                                    <w:t>.</w:t>
                                  </w:r>
                                  <w:r w:rsidRPr="00983A06">
                                    <w:rPr>
                                      <w:rFonts w:ascii="標楷體" w:eastAsia="標楷體" w:hAnsi="標楷體" w:cs="新細明體"/>
                                      <w:spacing w:val="-8"/>
                                      <w:kern w:val="0"/>
                                      <w:sz w:val="20"/>
                                    </w:rPr>
                                    <w:t>07</w:t>
                                  </w:r>
                                </w:p>
                              </w:tc>
                            </w:tr>
                            <w:tr w:rsidR="00CE57F9" w:rsidRPr="00983A06" w14:paraId="2B139377" w14:textId="77777777" w:rsidTr="005D19A1">
                              <w:trPr>
                                <w:trHeight w:val="441"/>
                              </w:trPr>
                              <w:tc>
                                <w:tcPr>
                                  <w:tcW w:w="1054" w:type="pct"/>
                                  <w:shd w:val="clear" w:color="auto" w:fill="FFFFFF"/>
                                  <w:noWrap/>
                                  <w:vAlign w:val="center"/>
                                  <w:hideMark/>
                                </w:tcPr>
                                <w:p w14:paraId="2FC483C3" w14:textId="77777777" w:rsidR="00CE57F9" w:rsidRPr="00983A06" w:rsidRDefault="00CE57F9" w:rsidP="00F72E6D">
                                  <w:pPr>
                                    <w:widowControl/>
                                    <w:adjustRightInd w:val="0"/>
                                    <w:snapToGrid w:val="0"/>
                                    <w:ind w:rightChars="25" w:right="60" w:firstLineChars="26" w:firstLine="52"/>
                                    <w:jc w:val="distribute"/>
                                    <w:rPr>
                                      <w:rFonts w:ascii="標楷體" w:eastAsia="標楷體" w:hAnsi="標楷體" w:cs="新細明體"/>
                                      <w:kern w:val="0"/>
                                      <w:sz w:val="20"/>
                                    </w:rPr>
                                  </w:pPr>
                                  <w:r w:rsidRPr="00983A06">
                                    <w:rPr>
                                      <w:rFonts w:ascii="標楷體" w:eastAsia="標楷體" w:hAnsi="標楷體" w:cs="新細明體" w:hint="eastAsia"/>
                                      <w:kern w:val="0"/>
                                      <w:sz w:val="20"/>
                                    </w:rPr>
                                    <w:t>原子能委員會</w:t>
                                  </w:r>
                                </w:p>
                              </w:tc>
                              <w:tc>
                                <w:tcPr>
                                  <w:tcW w:w="2450" w:type="pct"/>
                                  <w:shd w:val="clear" w:color="auto" w:fill="FFFFFF"/>
                                  <w:vAlign w:val="center"/>
                                  <w:hideMark/>
                                </w:tcPr>
                                <w:p w14:paraId="20FFA09D" w14:textId="77777777" w:rsidR="00CE57F9" w:rsidRPr="00983A06" w:rsidRDefault="00CE57F9" w:rsidP="00F72E6D">
                                  <w:pPr>
                                    <w:widowControl/>
                                    <w:adjustRightInd w:val="0"/>
                                    <w:snapToGrid w:val="0"/>
                                    <w:jc w:val="both"/>
                                    <w:rPr>
                                      <w:rFonts w:ascii="標楷體" w:eastAsia="標楷體" w:hAnsi="標楷體" w:cs="新細明體"/>
                                      <w:kern w:val="0"/>
                                      <w:sz w:val="20"/>
                                    </w:rPr>
                                  </w:pPr>
                                  <w:r w:rsidRPr="00983A06">
                                    <w:rPr>
                                      <w:rFonts w:ascii="標楷體" w:eastAsia="標楷體" w:hAnsi="標楷體" w:cs="新細明體" w:hint="eastAsia"/>
                                      <w:kern w:val="0"/>
                                      <w:sz w:val="20"/>
                                    </w:rPr>
                                    <w:t>原子能科技學術合作研究計畫</w:t>
                                  </w:r>
                                </w:p>
                              </w:tc>
                              <w:tc>
                                <w:tcPr>
                                  <w:tcW w:w="747" w:type="pct"/>
                                  <w:shd w:val="clear" w:color="auto" w:fill="FFFFFF"/>
                                  <w:noWrap/>
                                  <w:vAlign w:val="center"/>
                                </w:tcPr>
                                <w:p w14:paraId="09C17989"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73.52</w:t>
                                  </w:r>
                                </w:p>
                              </w:tc>
                              <w:tc>
                                <w:tcPr>
                                  <w:tcW w:w="748" w:type="pct"/>
                                  <w:shd w:val="clear" w:color="auto" w:fill="FFFFFF"/>
                                  <w:vAlign w:val="center"/>
                                </w:tcPr>
                                <w:p w14:paraId="5E602FB8"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hint="eastAsia"/>
                                      <w:spacing w:val="-8"/>
                                      <w:kern w:val="0"/>
                                      <w:sz w:val="20"/>
                                    </w:rPr>
                                    <w:t>7</w:t>
                                  </w:r>
                                  <w:r w:rsidRPr="00983A06">
                                    <w:rPr>
                                      <w:rFonts w:ascii="標楷體" w:eastAsia="標楷體" w:hAnsi="標楷體" w:cs="新細明體"/>
                                      <w:spacing w:val="-8"/>
                                      <w:kern w:val="0"/>
                                      <w:sz w:val="20"/>
                                    </w:rPr>
                                    <w:t>5</w:t>
                                  </w:r>
                                  <w:r w:rsidRPr="00983A06">
                                    <w:rPr>
                                      <w:rFonts w:ascii="標楷體" w:eastAsia="標楷體" w:hAnsi="標楷體" w:cs="新細明體" w:hint="eastAsia"/>
                                      <w:spacing w:val="-8"/>
                                      <w:kern w:val="0"/>
                                      <w:sz w:val="20"/>
                                    </w:rPr>
                                    <w:t>.</w:t>
                                  </w:r>
                                  <w:r w:rsidRPr="00983A06">
                                    <w:rPr>
                                      <w:rFonts w:ascii="標楷體" w:eastAsia="標楷體" w:hAnsi="標楷體" w:cs="新細明體"/>
                                      <w:spacing w:val="-8"/>
                                      <w:kern w:val="0"/>
                                      <w:sz w:val="20"/>
                                    </w:rPr>
                                    <w:t>16</w:t>
                                  </w:r>
                                </w:p>
                              </w:tc>
                            </w:tr>
                            <w:tr w:rsidR="00CE57F9" w:rsidRPr="00983A06" w14:paraId="7194AD50" w14:textId="77777777" w:rsidTr="005D19A1">
                              <w:trPr>
                                <w:trHeight w:val="245"/>
                              </w:trPr>
                              <w:tc>
                                <w:tcPr>
                                  <w:tcW w:w="1054" w:type="pct"/>
                                  <w:shd w:val="clear" w:color="auto" w:fill="FFFFFF"/>
                                  <w:noWrap/>
                                  <w:vAlign w:val="center"/>
                                  <w:hideMark/>
                                </w:tcPr>
                                <w:p w14:paraId="290D0C1B" w14:textId="77777777" w:rsidR="00CE57F9" w:rsidRPr="00983A06" w:rsidRDefault="00CE57F9" w:rsidP="00F72E6D">
                                  <w:pPr>
                                    <w:widowControl/>
                                    <w:adjustRightInd w:val="0"/>
                                    <w:snapToGrid w:val="0"/>
                                    <w:ind w:rightChars="25" w:right="60" w:firstLineChars="26" w:firstLine="52"/>
                                    <w:jc w:val="distribute"/>
                                    <w:rPr>
                                      <w:rFonts w:ascii="標楷體" w:eastAsia="標楷體" w:hAnsi="標楷體" w:cs="新細明體"/>
                                      <w:kern w:val="0"/>
                                      <w:sz w:val="20"/>
                                    </w:rPr>
                                  </w:pPr>
                                  <w:r w:rsidRPr="00983A06">
                                    <w:rPr>
                                      <w:rFonts w:ascii="標楷體" w:eastAsia="標楷體" w:hAnsi="標楷體" w:cs="新細明體" w:hint="eastAsia"/>
                                      <w:kern w:val="0"/>
                                      <w:sz w:val="20"/>
                                    </w:rPr>
                                    <w:t>法務部</w:t>
                                  </w:r>
                                </w:p>
                              </w:tc>
                              <w:tc>
                                <w:tcPr>
                                  <w:tcW w:w="2450" w:type="pct"/>
                                  <w:shd w:val="clear" w:color="auto" w:fill="FFFFFF"/>
                                  <w:vAlign w:val="center"/>
                                  <w:hideMark/>
                                </w:tcPr>
                                <w:p w14:paraId="74963369" w14:textId="77777777" w:rsidR="00CE57F9" w:rsidRPr="00983A06" w:rsidRDefault="00CE57F9" w:rsidP="00F72E6D">
                                  <w:pPr>
                                    <w:widowControl/>
                                    <w:adjustRightInd w:val="0"/>
                                    <w:snapToGrid w:val="0"/>
                                    <w:jc w:val="both"/>
                                    <w:rPr>
                                      <w:rFonts w:ascii="標楷體" w:eastAsia="標楷體" w:hAnsi="標楷體" w:cs="新細明體"/>
                                      <w:kern w:val="0"/>
                                      <w:sz w:val="20"/>
                                    </w:rPr>
                                  </w:pPr>
                                  <w:r w:rsidRPr="00983A06">
                                    <w:rPr>
                                      <w:rFonts w:ascii="標楷體" w:eastAsia="標楷體" w:hAnsi="標楷體" w:cs="新細明體" w:hint="eastAsia"/>
                                      <w:kern w:val="0"/>
                                      <w:sz w:val="20"/>
                                    </w:rPr>
                                    <w:t>偵訊效能提升及偵謊輔助系統開發計畫</w:t>
                                  </w:r>
                                </w:p>
                              </w:tc>
                              <w:tc>
                                <w:tcPr>
                                  <w:tcW w:w="747" w:type="pct"/>
                                  <w:shd w:val="clear" w:color="auto" w:fill="auto"/>
                                  <w:noWrap/>
                                  <w:vAlign w:val="center"/>
                                </w:tcPr>
                                <w:p w14:paraId="413F278C"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66.86</w:t>
                                  </w:r>
                                </w:p>
                              </w:tc>
                              <w:tc>
                                <w:tcPr>
                                  <w:tcW w:w="748" w:type="pct"/>
                                  <w:vAlign w:val="center"/>
                                </w:tcPr>
                                <w:p w14:paraId="2EDD0EFC"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51.54</w:t>
                                  </w:r>
                                </w:p>
                              </w:tc>
                            </w:tr>
                          </w:tbl>
                          <w:p w14:paraId="6FC9D91C" w14:textId="5133FDCB" w:rsidR="00CE57F9" w:rsidRPr="00983A06" w:rsidRDefault="00CE57F9" w:rsidP="005D19A1">
                            <w:pPr>
                              <w:adjustRightInd w:val="0"/>
                              <w:snapToGrid w:val="0"/>
                              <w:ind w:leftChars="-50" w:left="-120"/>
                              <w:rPr>
                                <w:rFonts w:ascii="標楷體" w:eastAsia="標楷體" w:hAnsi="標楷體" w:cstheme="minorBidi"/>
                                <w:sz w:val="18"/>
                                <w:szCs w:val="24"/>
                              </w:rPr>
                            </w:pPr>
                            <w:r w:rsidRPr="00983A06">
                              <w:rPr>
                                <w:rFonts w:ascii="標楷體" w:eastAsia="標楷體" w:hAnsi="標楷體" w:cstheme="minorBidi" w:hint="eastAsia"/>
                                <w:sz w:val="18"/>
                                <w:szCs w:val="24"/>
                              </w:rPr>
                              <w:t>資料來源：整理自</w:t>
                            </w:r>
                            <w:r w:rsidRPr="00346BDD">
                              <w:rPr>
                                <w:rFonts w:ascii="標楷體" w:eastAsia="標楷體" w:hAnsi="標楷體" w:cstheme="minorBidi" w:hint="eastAsia"/>
                                <w:sz w:val="18"/>
                                <w:szCs w:val="24"/>
                              </w:rPr>
                              <w:t>各機關（單位）查</w:t>
                            </w:r>
                            <w:r w:rsidRPr="00983A06">
                              <w:rPr>
                                <w:rFonts w:ascii="標楷體" w:eastAsia="標楷體" w:hAnsi="標楷體" w:cstheme="minorBidi" w:hint="eastAsia"/>
                                <w:sz w:val="18"/>
                                <w:szCs w:val="24"/>
                              </w:rPr>
                              <w:t>填資料。</w:t>
                            </w:r>
                          </w:p>
                          <w:p w14:paraId="2D9AFB89" w14:textId="77777777" w:rsidR="00CE57F9" w:rsidRPr="00983A06" w:rsidRDefault="00CE57F9" w:rsidP="006B58C2">
                            <w:pPr>
                              <w:spacing w:line="2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2CBC64" id="文字方塊 28" o:spid="_x0000_s1134" type="#_x0000_t202" style="position:absolute;left:0;text-align:left;margin-left:116.4pt;margin-top:406.9pt;width:379.55pt;height:291.7pt;z-index:2516495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" filled="f" stroked="f">
                <v:textbox>
                  <w:txbxContent>
                    <w:p w14:paraId="797357CE" w14:textId="62109660" w:rsidR="00CE57F9" w:rsidRPr="006B58C2" w:rsidRDefault="00CE57F9" w:rsidP="006B58C2">
                      <w:pPr>
                        <w:widowControl/>
                        <w:adjustRightInd w:val="0"/>
                        <w:snapToGrid w:val="0"/>
                        <w:jc w:val="center"/>
                        <w:rPr>
                          <w:rFonts w:ascii="標楷體" w:eastAsia="標楷體" w:hAnsi="標楷體" w:cstheme="minorBidi"/>
                          <w:b/>
                          <w:szCs w:val="32"/>
                        </w:rPr>
                      </w:pPr>
                      <w:r w:rsidRPr="006B58C2">
                        <w:rPr>
                          <w:rFonts w:ascii="標楷體" w:eastAsia="標楷體" w:hAnsi="標楷體" w:cstheme="minorBidi"/>
                          <w:b/>
                          <w:szCs w:val="32"/>
                        </w:rPr>
                        <w:t>表17</w:t>
                      </w:r>
                      <w:r w:rsidRPr="006B58C2">
                        <w:rPr>
                          <w:rFonts w:ascii="標楷體" w:eastAsia="標楷體" w:hAnsi="標楷體" w:cstheme="minorBidi" w:hint="eastAsia"/>
                          <w:b/>
                          <w:szCs w:val="32"/>
                        </w:rPr>
                        <w:t xml:space="preserve">　</w:t>
                      </w:r>
                      <w:r w:rsidRPr="00346BDD">
                        <w:rPr>
                          <w:rFonts w:ascii="標楷體" w:eastAsia="標楷體" w:hAnsi="標楷體" w:cstheme="minorBidi"/>
                          <w:b/>
                          <w:szCs w:val="32"/>
                        </w:rPr>
                        <w:t>111年度科技發展計畫</w:t>
                      </w:r>
                      <w:r w:rsidRPr="006B58C2">
                        <w:rPr>
                          <w:rFonts w:ascii="標楷體" w:eastAsia="標楷體" w:hAnsi="標楷體" w:cstheme="minorBidi" w:hint="eastAsia"/>
                          <w:b/>
                          <w:szCs w:val="32"/>
                        </w:rPr>
                        <w:t>已實現比率連續2年未達8</w:t>
                      </w:r>
                      <w:r w:rsidRPr="006B58C2">
                        <w:rPr>
                          <w:rFonts w:ascii="標楷體" w:eastAsia="標楷體" w:hAnsi="標楷體" w:cstheme="minorBidi"/>
                          <w:b/>
                          <w:szCs w:val="32"/>
                        </w:rPr>
                        <w:t>成</w:t>
                      </w:r>
                      <w:r w:rsidRPr="006B58C2">
                        <w:rPr>
                          <w:rFonts w:ascii="標楷體" w:eastAsia="標楷體" w:hAnsi="標楷體" w:cstheme="minorBidi" w:hint="eastAsia"/>
                          <w:b/>
                          <w:szCs w:val="32"/>
                        </w:rPr>
                        <w:t>情形</w:t>
                      </w:r>
                    </w:p>
                    <w:p w14:paraId="58FC64AF" w14:textId="0DBB182B" w:rsidR="00CE57F9" w:rsidRPr="0084346B" w:rsidRDefault="00CE57F9" w:rsidP="00DA2751">
                      <w:pPr>
                        <w:adjustRightInd w:val="0"/>
                        <w:snapToGrid w:val="0"/>
                        <w:ind w:leftChars="274" w:left="658" w:rightChars="8" w:right="19" w:firstLineChars="210" w:firstLine="420"/>
                        <w:jc w:val="right"/>
                        <w:rPr>
                          <w:rFonts w:ascii="標楷體" w:eastAsia="標楷體" w:hAnsi="標楷體" w:cstheme="minorBidi"/>
                          <w:sz w:val="20"/>
                          <w:szCs w:val="24"/>
                        </w:rPr>
                      </w:pPr>
                      <w:r w:rsidRPr="0084346B">
                        <w:rPr>
                          <w:rFonts w:ascii="標楷體" w:eastAsia="標楷體" w:hAnsi="標楷體" w:cstheme="minorBidi" w:hint="eastAsia"/>
                          <w:sz w:val="20"/>
                          <w:szCs w:val="24"/>
                        </w:rPr>
                        <w:t>單位</w:t>
                      </w:r>
                      <w:r w:rsidRPr="0084346B">
                        <w:rPr>
                          <w:rFonts w:ascii="新細明體" w:hAnsi="新細明體" w:cstheme="minorBidi" w:hint="eastAsia"/>
                          <w:sz w:val="20"/>
                          <w:szCs w:val="24"/>
                        </w:rPr>
                        <w:t>：</w:t>
                      </w:r>
                      <w:r w:rsidRPr="0084346B">
                        <w:rPr>
                          <w:rFonts w:ascii="標楷體" w:eastAsia="標楷體" w:hAnsi="標楷體" w:cstheme="minorBidi" w:hint="eastAsia"/>
                          <w:sz w:val="20"/>
                          <w:szCs w:val="24"/>
                        </w:rPr>
                        <w:t>％</w:t>
                      </w:r>
                    </w:p>
                    <w:tbl>
                      <w:tblPr>
                        <w:tblW w:w="5078" w:type="pct"/>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right w:w="28" w:type="dxa"/>
                        </w:tblCellMar>
                        <w:tblLook w:val="04A0" w:firstRow="1" w:lastRow="0" w:firstColumn="1" w:lastColumn="0" w:noHBand="0" w:noVBand="1"/>
                      </w:tblPr>
                      <w:tblGrid>
                        <w:gridCol w:w="1577"/>
                        <w:gridCol w:w="3663"/>
                        <w:gridCol w:w="1117"/>
                        <w:gridCol w:w="1118"/>
                      </w:tblGrid>
                      <w:tr w:rsidR="00CE57F9" w:rsidRPr="00983A06" w14:paraId="18ED7AAB" w14:textId="77777777" w:rsidTr="005D19A1">
                        <w:trPr>
                          <w:trHeight w:val="322"/>
                          <w:tblHeader/>
                        </w:trPr>
                        <w:tc>
                          <w:tcPr>
                            <w:tcW w:w="1054" w:type="pct"/>
                            <w:vMerge w:val="restart"/>
                            <w:shd w:val="clear" w:color="auto" w:fill="FFFFFF"/>
                            <w:noWrap/>
                            <w:vAlign w:val="center"/>
                          </w:tcPr>
                          <w:p w14:paraId="65AF684F" w14:textId="77777777" w:rsidR="00CE57F9" w:rsidRPr="00983A06" w:rsidRDefault="00CE57F9" w:rsidP="00F72E6D">
                            <w:pPr>
                              <w:adjustRightInd w:val="0"/>
                              <w:snapToGrid w:val="0"/>
                              <w:jc w:val="center"/>
                              <w:rPr>
                                <w:rFonts w:ascii="標楷體" w:eastAsia="標楷體" w:hAnsi="標楷體" w:cs="新細明體"/>
                                <w:kern w:val="0"/>
                                <w:sz w:val="20"/>
                              </w:rPr>
                            </w:pPr>
                            <w:r w:rsidRPr="00983A06">
                              <w:rPr>
                                <w:rFonts w:ascii="標楷體" w:eastAsia="標楷體" w:hAnsi="標楷體" w:cs="新細明體" w:hint="eastAsia"/>
                                <w:kern w:val="0"/>
                                <w:sz w:val="20"/>
                              </w:rPr>
                              <w:t>主管</w:t>
                            </w:r>
                          </w:p>
                          <w:p w14:paraId="15419DA1" w14:textId="77777777" w:rsidR="00CE57F9" w:rsidRPr="00983A06" w:rsidRDefault="00CE57F9" w:rsidP="00F72E6D">
                            <w:pPr>
                              <w:adjustRightInd w:val="0"/>
                              <w:snapToGrid w:val="0"/>
                              <w:jc w:val="center"/>
                              <w:rPr>
                                <w:rFonts w:ascii="標楷體" w:eastAsia="標楷體" w:hAnsi="標楷體" w:cs="新細明體"/>
                                <w:kern w:val="0"/>
                                <w:sz w:val="20"/>
                              </w:rPr>
                            </w:pPr>
                            <w:r w:rsidRPr="00983A06">
                              <w:rPr>
                                <w:rFonts w:ascii="標楷體" w:eastAsia="標楷體" w:hAnsi="標楷體" w:cs="新細明體" w:hint="eastAsia"/>
                                <w:kern w:val="0"/>
                                <w:sz w:val="20"/>
                              </w:rPr>
                              <w:t>機關</w:t>
                            </w:r>
                          </w:p>
                        </w:tc>
                        <w:tc>
                          <w:tcPr>
                            <w:tcW w:w="2450" w:type="pct"/>
                            <w:vMerge w:val="restart"/>
                            <w:shd w:val="clear" w:color="auto" w:fill="FFFFFF"/>
                            <w:vAlign w:val="center"/>
                          </w:tcPr>
                          <w:p w14:paraId="1148F7CB" w14:textId="77777777" w:rsidR="00CE57F9" w:rsidRPr="00983A06" w:rsidRDefault="00CE57F9" w:rsidP="00F72E6D">
                            <w:pPr>
                              <w:adjustRightInd w:val="0"/>
                              <w:snapToGrid w:val="0"/>
                              <w:jc w:val="center"/>
                              <w:rPr>
                                <w:rFonts w:ascii="標楷體" w:eastAsia="標楷體" w:hAnsi="標楷體" w:cs="新細明體"/>
                                <w:kern w:val="0"/>
                                <w:sz w:val="20"/>
                              </w:rPr>
                            </w:pPr>
                            <w:r w:rsidRPr="00983A06">
                              <w:rPr>
                                <w:rFonts w:ascii="標楷體" w:eastAsia="標楷體" w:hAnsi="標楷體" w:cs="新細明體" w:hint="eastAsia"/>
                                <w:kern w:val="0"/>
                                <w:sz w:val="20"/>
                              </w:rPr>
                              <w:t>計畫名稱</w:t>
                            </w:r>
                          </w:p>
                        </w:tc>
                        <w:tc>
                          <w:tcPr>
                            <w:tcW w:w="1495" w:type="pct"/>
                            <w:gridSpan w:val="2"/>
                            <w:shd w:val="clear" w:color="auto" w:fill="FFFFFF"/>
                            <w:vAlign w:val="center"/>
                          </w:tcPr>
                          <w:p w14:paraId="3756D31B" w14:textId="77777777" w:rsidR="00CE57F9" w:rsidRPr="00983A06" w:rsidRDefault="00CE57F9" w:rsidP="00F72E6D">
                            <w:pPr>
                              <w:widowControl/>
                              <w:adjustRightInd w:val="0"/>
                              <w:snapToGrid w:val="0"/>
                              <w:jc w:val="center"/>
                              <w:rPr>
                                <w:rFonts w:ascii="標楷體" w:eastAsia="標楷體" w:hAnsi="標楷體" w:cs="新細明體"/>
                                <w:kern w:val="0"/>
                                <w:sz w:val="20"/>
                              </w:rPr>
                            </w:pPr>
                            <w:r w:rsidRPr="00983A06">
                              <w:rPr>
                                <w:rFonts w:ascii="標楷體" w:eastAsia="標楷體" w:hAnsi="標楷體" w:cs="新細明體" w:hint="eastAsia"/>
                                <w:kern w:val="0"/>
                                <w:sz w:val="20"/>
                              </w:rPr>
                              <w:t>已實現比率</w:t>
                            </w:r>
                          </w:p>
                        </w:tc>
                      </w:tr>
                      <w:tr w:rsidR="00CE57F9" w:rsidRPr="00983A06" w14:paraId="43865923" w14:textId="77777777" w:rsidTr="005D19A1">
                        <w:trPr>
                          <w:trHeight w:val="307"/>
                          <w:tblHeader/>
                        </w:trPr>
                        <w:tc>
                          <w:tcPr>
                            <w:tcW w:w="1054" w:type="pct"/>
                            <w:vMerge/>
                            <w:shd w:val="clear" w:color="auto" w:fill="FFFFFF"/>
                            <w:noWrap/>
                            <w:vAlign w:val="center"/>
                          </w:tcPr>
                          <w:p w14:paraId="6987AD03" w14:textId="77777777" w:rsidR="00CE57F9" w:rsidRPr="00983A06" w:rsidRDefault="00CE57F9" w:rsidP="00F72E6D">
                            <w:pPr>
                              <w:adjustRightInd w:val="0"/>
                              <w:snapToGrid w:val="0"/>
                              <w:jc w:val="center"/>
                              <w:rPr>
                                <w:rFonts w:ascii="標楷體" w:eastAsia="標楷體" w:hAnsi="標楷體" w:cs="新細明體"/>
                                <w:kern w:val="0"/>
                                <w:sz w:val="20"/>
                              </w:rPr>
                            </w:pPr>
                          </w:p>
                        </w:tc>
                        <w:tc>
                          <w:tcPr>
                            <w:tcW w:w="2450" w:type="pct"/>
                            <w:vMerge/>
                            <w:shd w:val="clear" w:color="auto" w:fill="FFFFFF"/>
                            <w:vAlign w:val="center"/>
                          </w:tcPr>
                          <w:p w14:paraId="15054374" w14:textId="77777777" w:rsidR="00CE57F9" w:rsidRPr="00983A06" w:rsidRDefault="00CE57F9" w:rsidP="00F72E6D">
                            <w:pPr>
                              <w:adjustRightInd w:val="0"/>
                              <w:snapToGrid w:val="0"/>
                              <w:jc w:val="center"/>
                              <w:rPr>
                                <w:rFonts w:ascii="標楷體" w:eastAsia="標楷體" w:hAnsi="標楷體" w:cs="新細明體"/>
                                <w:kern w:val="0"/>
                                <w:sz w:val="20"/>
                              </w:rPr>
                            </w:pPr>
                          </w:p>
                        </w:tc>
                        <w:tc>
                          <w:tcPr>
                            <w:tcW w:w="747" w:type="pct"/>
                            <w:shd w:val="clear" w:color="auto" w:fill="FFFFFF"/>
                            <w:vAlign w:val="center"/>
                          </w:tcPr>
                          <w:p w14:paraId="05F97A2F" w14:textId="77777777" w:rsidR="00CE57F9" w:rsidRPr="00983A06" w:rsidRDefault="00CE57F9" w:rsidP="00F72E6D">
                            <w:pPr>
                              <w:widowControl/>
                              <w:adjustRightInd w:val="0"/>
                              <w:snapToGrid w:val="0"/>
                              <w:jc w:val="center"/>
                              <w:rPr>
                                <w:rFonts w:ascii="標楷體" w:eastAsia="標楷體" w:hAnsi="標楷體" w:cs="新細明體"/>
                                <w:kern w:val="0"/>
                                <w:sz w:val="20"/>
                              </w:rPr>
                            </w:pPr>
                            <w:r w:rsidRPr="00983A06">
                              <w:rPr>
                                <w:rFonts w:ascii="標楷體" w:eastAsia="標楷體" w:hAnsi="標楷體" w:cs="新細明體" w:hint="eastAsia"/>
                                <w:kern w:val="0"/>
                                <w:sz w:val="20"/>
                              </w:rPr>
                              <w:t>1</w:t>
                            </w:r>
                            <w:r w:rsidRPr="00983A06">
                              <w:rPr>
                                <w:rFonts w:ascii="標楷體" w:eastAsia="標楷體" w:hAnsi="標楷體" w:cs="新細明體"/>
                                <w:kern w:val="0"/>
                                <w:sz w:val="20"/>
                              </w:rPr>
                              <w:t>10</w:t>
                            </w:r>
                            <w:r w:rsidRPr="00983A06">
                              <w:rPr>
                                <w:rFonts w:ascii="標楷體" w:eastAsia="標楷體" w:hAnsi="標楷體" w:cs="新細明體" w:hint="eastAsia"/>
                                <w:kern w:val="0"/>
                                <w:sz w:val="20"/>
                              </w:rPr>
                              <w:t>年度</w:t>
                            </w:r>
                          </w:p>
                        </w:tc>
                        <w:tc>
                          <w:tcPr>
                            <w:tcW w:w="748" w:type="pct"/>
                            <w:shd w:val="clear" w:color="auto" w:fill="FFFFFF"/>
                            <w:vAlign w:val="center"/>
                          </w:tcPr>
                          <w:p w14:paraId="4ED103A9" w14:textId="77777777" w:rsidR="00CE57F9" w:rsidRPr="00983A06" w:rsidRDefault="00CE57F9" w:rsidP="00F72E6D">
                            <w:pPr>
                              <w:widowControl/>
                              <w:adjustRightInd w:val="0"/>
                              <w:snapToGrid w:val="0"/>
                              <w:jc w:val="center"/>
                              <w:rPr>
                                <w:rFonts w:ascii="標楷體" w:eastAsia="標楷體" w:hAnsi="標楷體" w:cs="新細明體"/>
                                <w:kern w:val="0"/>
                                <w:sz w:val="20"/>
                              </w:rPr>
                            </w:pPr>
                            <w:r w:rsidRPr="00983A06">
                              <w:rPr>
                                <w:rFonts w:ascii="標楷體" w:eastAsia="標楷體" w:hAnsi="標楷體" w:cs="新細明體" w:hint="eastAsia"/>
                                <w:kern w:val="0"/>
                                <w:sz w:val="20"/>
                              </w:rPr>
                              <w:t>1</w:t>
                            </w:r>
                            <w:r w:rsidRPr="00983A06">
                              <w:rPr>
                                <w:rFonts w:ascii="標楷體" w:eastAsia="標楷體" w:hAnsi="標楷體" w:cs="新細明體"/>
                                <w:kern w:val="0"/>
                                <w:sz w:val="20"/>
                              </w:rPr>
                              <w:t>11</w:t>
                            </w:r>
                            <w:r w:rsidRPr="00983A06">
                              <w:rPr>
                                <w:rFonts w:ascii="標楷體" w:eastAsia="標楷體" w:hAnsi="標楷體" w:cs="新細明體" w:hint="eastAsia"/>
                                <w:kern w:val="0"/>
                                <w:sz w:val="20"/>
                              </w:rPr>
                              <w:t>年度</w:t>
                            </w:r>
                          </w:p>
                        </w:tc>
                      </w:tr>
                      <w:tr w:rsidR="00CE57F9" w:rsidRPr="00983A06" w14:paraId="4229DD33" w14:textId="77777777" w:rsidTr="005D19A1">
                        <w:trPr>
                          <w:trHeight w:val="163"/>
                        </w:trPr>
                        <w:tc>
                          <w:tcPr>
                            <w:tcW w:w="1054" w:type="pct"/>
                            <w:vMerge w:val="restart"/>
                            <w:shd w:val="clear" w:color="auto" w:fill="FFFFFF"/>
                            <w:noWrap/>
                            <w:vAlign w:val="center"/>
                            <w:hideMark/>
                          </w:tcPr>
                          <w:p w14:paraId="4596D77F" w14:textId="77777777" w:rsidR="00CE57F9" w:rsidRPr="00346BDD" w:rsidRDefault="00CE57F9" w:rsidP="00B42C69">
                            <w:pPr>
                              <w:widowControl/>
                              <w:adjustRightInd w:val="0"/>
                              <w:snapToGrid w:val="0"/>
                              <w:ind w:leftChars="26" w:left="62" w:rightChars="25" w:right="60" w:firstLineChars="1" w:firstLine="1"/>
                              <w:jc w:val="distribute"/>
                              <w:rPr>
                                <w:rFonts w:ascii="標楷體" w:eastAsia="標楷體" w:hAnsi="標楷體" w:cs="新細明體"/>
                                <w:spacing w:val="-34"/>
                                <w:kern w:val="0"/>
                                <w:sz w:val="20"/>
                              </w:rPr>
                            </w:pPr>
                            <w:r w:rsidRPr="00346BDD">
                              <w:rPr>
                                <w:rFonts w:ascii="標楷體" w:eastAsia="標楷體" w:hAnsi="標楷體" w:cs="新細明體" w:hint="eastAsia"/>
                                <w:spacing w:val="-34"/>
                                <w:kern w:val="0"/>
                                <w:sz w:val="20"/>
                              </w:rPr>
                              <w:t>科技部</w:t>
                            </w:r>
                          </w:p>
                          <w:p w14:paraId="46D61015" w14:textId="77777777" w:rsidR="00CE57F9" w:rsidRPr="00346BDD" w:rsidRDefault="00CE57F9" w:rsidP="00B42C69">
                            <w:pPr>
                              <w:widowControl/>
                              <w:adjustRightInd w:val="0"/>
                              <w:snapToGrid w:val="0"/>
                              <w:ind w:leftChars="26" w:left="62" w:rightChars="25" w:right="60" w:firstLineChars="1" w:firstLine="1"/>
                              <w:jc w:val="distribute"/>
                              <w:rPr>
                                <w:rFonts w:ascii="標楷體" w:eastAsia="標楷體" w:hAnsi="標楷體" w:cs="新細明體"/>
                                <w:spacing w:val="-34"/>
                                <w:kern w:val="0"/>
                                <w:sz w:val="20"/>
                              </w:rPr>
                            </w:pPr>
                            <w:r w:rsidRPr="00346BDD">
                              <w:rPr>
                                <w:rFonts w:ascii="標楷體" w:eastAsia="標楷體" w:hAnsi="標楷體" w:cs="新細明體" w:hint="eastAsia"/>
                                <w:spacing w:val="-34"/>
                                <w:kern w:val="0"/>
                                <w:sz w:val="20"/>
                              </w:rPr>
                              <w:t>（國家科學及</w:t>
                            </w:r>
                          </w:p>
                          <w:p w14:paraId="3E21D37B" w14:textId="14498F68" w:rsidR="00CE57F9" w:rsidRPr="00DA2751" w:rsidRDefault="00CE57F9" w:rsidP="00F72E6D">
                            <w:pPr>
                              <w:widowControl/>
                              <w:adjustRightInd w:val="0"/>
                              <w:snapToGrid w:val="0"/>
                              <w:ind w:leftChars="26" w:left="62" w:rightChars="25" w:right="60" w:firstLineChars="1" w:firstLine="1"/>
                              <w:jc w:val="distribute"/>
                              <w:rPr>
                                <w:rFonts w:ascii="標楷體" w:eastAsia="標楷體" w:hAnsi="標楷體" w:cs="新細明體"/>
                                <w:spacing w:val="-34"/>
                                <w:kern w:val="0"/>
                                <w:sz w:val="20"/>
                                <w:u w:val="single"/>
                              </w:rPr>
                            </w:pPr>
                            <w:r w:rsidRPr="00346BDD">
                              <w:rPr>
                                <w:rFonts w:ascii="標楷體" w:eastAsia="標楷體" w:hAnsi="標楷體" w:cs="新細明體" w:hint="eastAsia"/>
                                <w:spacing w:val="-34"/>
                                <w:kern w:val="0"/>
                                <w:sz w:val="20"/>
                              </w:rPr>
                              <w:t>技術委員會）</w:t>
                            </w:r>
                          </w:p>
                        </w:tc>
                        <w:tc>
                          <w:tcPr>
                            <w:tcW w:w="2450" w:type="pct"/>
                            <w:shd w:val="clear" w:color="auto" w:fill="FFFFFF"/>
                            <w:vAlign w:val="center"/>
                            <w:hideMark/>
                          </w:tcPr>
                          <w:p w14:paraId="32BAD958" w14:textId="77777777" w:rsidR="00CE57F9" w:rsidRPr="00983A06" w:rsidRDefault="00CE57F9" w:rsidP="00F72E6D">
                            <w:pPr>
                              <w:widowControl/>
                              <w:adjustRightInd w:val="0"/>
                              <w:snapToGrid w:val="0"/>
                              <w:jc w:val="both"/>
                              <w:rPr>
                                <w:rFonts w:ascii="標楷體" w:eastAsia="標楷體" w:hAnsi="標楷體" w:cs="新細明體"/>
                                <w:kern w:val="0"/>
                                <w:sz w:val="20"/>
                              </w:rPr>
                            </w:pPr>
                            <w:r w:rsidRPr="00983A06">
                              <w:rPr>
                                <w:rFonts w:ascii="標楷體" w:eastAsia="標楷體" w:hAnsi="標楷體" w:cs="新細明體" w:hint="eastAsia"/>
                                <w:kern w:val="0"/>
                                <w:sz w:val="20"/>
                              </w:rPr>
                              <w:t>推動創新及應用科技研究計畫</w:t>
                            </w:r>
                          </w:p>
                        </w:tc>
                        <w:tc>
                          <w:tcPr>
                            <w:tcW w:w="747" w:type="pct"/>
                            <w:shd w:val="clear" w:color="auto" w:fill="FFFFFF"/>
                            <w:noWrap/>
                            <w:vAlign w:val="center"/>
                          </w:tcPr>
                          <w:p w14:paraId="4530DFA2"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68.32</w:t>
                            </w:r>
                          </w:p>
                        </w:tc>
                        <w:tc>
                          <w:tcPr>
                            <w:tcW w:w="748" w:type="pct"/>
                            <w:shd w:val="clear" w:color="auto" w:fill="FFFFFF"/>
                            <w:vAlign w:val="center"/>
                          </w:tcPr>
                          <w:p w14:paraId="7F001B72"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70.61</w:t>
                            </w:r>
                          </w:p>
                        </w:tc>
                      </w:tr>
                      <w:tr w:rsidR="00CE57F9" w:rsidRPr="00983A06" w14:paraId="63E0C38A" w14:textId="77777777" w:rsidTr="005D19A1">
                        <w:trPr>
                          <w:trHeight w:val="40"/>
                        </w:trPr>
                        <w:tc>
                          <w:tcPr>
                            <w:tcW w:w="1054" w:type="pct"/>
                            <w:vMerge/>
                            <w:shd w:val="clear" w:color="auto" w:fill="FFFFFF"/>
                            <w:noWrap/>
                            <w:vAlign w:val="center"/>
                          </w:tcPr>
                          <w:p w14:paraId="5B17BFDF" w14:textId="77777777" w:rsidR="00CE57F9" w:rsidRPr="00983A06" w:rsidRDefault="00CE57F9" w:rsidP="00F72E6D">
                            <w:pPr>
                              <w:adjustRightInd w:val="0"/>
                              <w:snapToGrid w:val="0"/>
                              <w:jc w:val="distribute"/>
                              <w:rPr>
                                <w:rFonts w:ascii="標楷體" w:eastAsia="標楷體" w:hAnsi="標楷體" w:cs="新細明體"/>
                                <w:kern w:val="0"/>
                                <w:sz w:val="20"/>
                              </w:rPr>
                            </w:pPr>
                          </w:p>
                        </w:tc>
                        <w:tc>
                          <w:tcPr>
                            <w:tcW w:w="2450" w:type="pct"/>
                            <w:shd w:val="clear" w:color="auto" w:fill="FFFFFF"/>
                            <w:vAlign w:val="center"/>
                          </w:tcPr>
                          <w:p w14:paraId="3928BFC1" w14:textId="77777777" w:rsidR="00CE57F9" w:rsidRPr="00983A06" w:rsidRDefault="00CE57F9" w:rsidP="00F72E6D">
                            <w:pPr>
                              <w:widowControl/>
                              <w:adjustRightInd w:val="0"/>
                              <w:snapToGrid w:val="0"/>
                              <w:jc w:val="both"/>
                              <w:rPr>
                                <w:rFonts w:ascii="標楷體" w:eastAsia="標楷體" w:hAnsi="標楷體" w:cs="新細明體"/>
                                <w:kern w:val="0"/>
                                <w:sz w:val="20"/>
                              </w:rPr>
                            </w:pPr>
                            <w:r w:rsidRPr="00983A06">
                              <w:rPr>
                                <w:rFonts w:ascii="標楷體" w:eastAsia="標楷體" w:hAnsi="標楷體" w:cs="新細明體" w:hint="eastAsia"/>
                                <w:kern w:val="0"/>
                                <w:sz w:val="20"/>
                              </w:rPr>
                              <w:t>科研成果創新創業價創計畫</w:t>
                            </w:r>
                          </w:p>
                        </w:tc>
                        <w:tc>
                          <w:tcPr>
                            <w:tcW w:w="747" w:type="pct"/>
                            <w:shd w:val="clear" w:color="auto" w:fill="FFFFFF"/>
                            <w:noWrap/>
                            <w:vAlign w:val="center"/>
                          </w:tcPr>
                          <w:p w14:paraId="6B511E9C"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78.60</w:t>
                            </w:r>
                          </w:p>
                        </w:tc>
                        <w:tc>
                          <w:tcPr>
                            <w:tcW w:w="748" w:type="pct"/>
                            <w:shd w:val="clear" w:color="auto" w:fill="FFFFFF"/>
                            <w:vAlign w:val="center"/>
                          </w:tcPr>
                          <w:p w14:paraId="22103C29"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69.01</w:t>
                            </w:r>
                          </w:p>
                        </w:tc>
                      </w:tr>
                      <w:tr w:rsidR="00CE57F9" w:rsidRPr="00983A06" w14:paraId="4AC89E08" w14:textId="77777777" w:rsidTr="005D19A1">
                        <w:trPr>
                          <w:trHeight w:val="40"/>
                        </w:trPr>
                        <w:tc>
                          <w:tcPr>
                            <w:tcW w:w="1054" w:type="pct"/>
                            <w:vMerge/>
                            <w:shd w:val="clear" w:color="auto" w:fill="FFFFFF"/>
                            <w:noWrap/>
                            <w:vAlign w:val="center"/>
                            <w:hideMark/>
                          </w:tcPr>
                          <w:p w14:paraId="40BA6C62" w14:textId="77777777" w:rsidR="00CE57F9" w:rsidRPr="00983A06" w:rsidRDefault="00CE57F9" w:rsidP="00F72E6D">
                            <w:pPr>
                              <w:adjustRightInd w:val="0"/>
                              <w:snapToGrid w:val="0"/>
                              <w:jc w:val="distribute"/>
                              <w:rPr>
                                <w:rFonts w:ascii="標楷體" w:eastAsia="標楷體" w:hAnsi="標楷體" w:cs="新細明體"/>
                                <w:kern w:val="0"/>
                                <w:sz w:val="20"/>
                              </w:rPr>
                            </w:pPr>
                          </w:p>
                        </w:tc>
                        <w:tc>
                          <w:tcPr>
                            <w:tcW w:w="2450" w:type="pct"/>
                            <w:shd w:val="clear" w:color="auto" w:fill="FFFFFF"/>
                            <w:vAlign w:val="center"/>
                            <w:hideMark/>
                          </w:tcPr>
                          <w:p w14:paraId="4ADCD0FB" w14:textId="77777777" w:rsidR="00CE57F9" w:rsidRPr="00983A06" w:rsidRDefault="00CE57F9" w:rsidP="00F72E6D">
                            <w:pPr>
                              <w:widowControl/>
                              <w:adjustRightInd w:val="0"/>
                              <w:snapToGrid w:val="0"/>
                              <w:jc w:val="both"/>
                              <w:rPr>
                                <w:rFonts w:ascii="標楷體" w:eastAsia="標楷體" w:hAnsi="標楷體" w:cs="新細明體"/>
                                <w:spacing w:val="-10"/>
                                <w:kern w:val="0"/>
                                <w:sz w:val="20"/>
                              </w:rPr>
                            </w:pPr>
                            <w:r w:rsidRPr="00983A06">
                              <w:rPr>
                                <w:rFonts w:ascii="標楷體" w:eastAsia="標楷體" w:hAnsi="標楷體" w:cs="新細明體" w:hint="eastAsia"/>
                                <w:spacing w:val="-10"/>
                                <w:kern w:val="0"/>
                                <w:sz w:val="20"/>
                              </w:rPr>
                              <w:t>下世代太空科技發展延續推動計畫</w:t>
                            </w:r>
                          </w:p>
                        </w:tc>
                        <w:tc>
                          <w:tcPr>
                            <w:tcW w:w="747" w:type="pct"/>
                            <w:shd w:val="clear" w:color="auto" w:fill="FFFFFF"/>
                            <w:noWrap/>
                            <w:vAlign w:val="center"/>
                          </w:tcPr>
                          <w:p w14:paraId="1449FDCF"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62.09</w:t>
                            </w:r>
                          </w:p>
                        </w:tc>
                        <w:tc>
                          <w:tcPr>
                            <w:tcW w:w="748" w:type="pct"/>
                            <w:shd w:val="clear" w:color="auto" w:fill="FFFFFF"/>
                            <w:vAlign w:val="center"/>
                          </w:tcPr>
                          <w:p w14:paraId="759AB2C1"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57.32</w:t>
                            </w:r>
                          </w:p>
                        </w:tc>
                      </w:tr>
                      <w:tr w:rsidR="00CE57F9" w:rsidRPr="00983A06" w14:paraId="51E73418" w14:textId="77777777" w:rsidTr="005D19A1">
                        <w:trPr>
                          <w:trHeight w:val="40"/>
                        </w:trPr>
                        <w:tc>
                          <w:tcPr>
                            <w:tcW w:w="1054" w:type="pct"/>
                            <w:vMerge/>
                            <w:shd w:val="clear" w:color="auto" w:fill="FFFFFF"/>
                            <w:noWrap/>
                            <w:vAlign w:val="center"/>
                            <w:hideMark/>
                          </w:tcPr>
                          <w:p w14:paraId="0D6385EE" w14:textId="77777777" w:rsidR="00CE57F9" w:rsidRPr="00983A06" w:rsidRDefault="00CE57F9" w:rsidP="00F72E6D">
                            <w:pPr>
                              <w:adjustRightInd w:val="0"/>
                              <w:snapToGrid w:val="0"/>
                              <w:jc w:val="distribute"/>
                              <w:rPr>
                                <w:rFonts w:ascii="標楷體" w:eastAsia="標楷體" w:hAnsi="標楷體" w:cs="新細明體"/>
                                <w:kern w:val="0"/>
                                <w:sz w:val="20"/>
                              </w:rPr>
                            </w:pPr>
                          </w:p>
                        </w:tc>
                        <w:tc>
                          <w:tcPr>
                            <w:tcW w:w="2450" w:type="pct"/>
                            <w:shd w:val="clear" w:color="auto" w:fill="FFFFFF"/>
                            <w:vAlign w:val="center"/>
                            <w:hideMark/>
                          </w:tcPr>
                          <w:p w14:paraId="3E15B9F4" w14:textId="77777777" w:rsidR="00CE57F9" w:rsidRPr="00983A06" w:rsidRDefault="00CE57F9" w:rsidP="00F72E6D">
                            <w:pPr>
                              <w:widowControl/>
                              <w:adjustRightInd w:val="0"/>
                              <w:snapToGrid w:val="0"/>
                              <w:jc w:val="both"/>
                              <w:rPr>
                                <w:rFonts w:ascii="標楷體" w:eastAsia="標楷體" w:hAnsi="標楷體" w:cs="新細明體"/>
                                <w:kern w:val="0"/>
                                <w:sz w:val="20"/>
                              </w:rPr>
                            </w:pPr>
                            <w:r w:rsidRPr="00983A06">
                              <w:rPr>
                                <w:rFonts w:ascii="標楷體" w:eastAsia="標楷體" w:hAnsi="標楷體" w:cs="新細明體" w:hint="eastAsia"/>
                                <w:spacing w:val="-10"/>
                                <w:kern w:val="0"/>
                                <w:sz w:val="20"/>
                              </w:rPr>
                              <w:t>醫療器材產業加速新創與躍升國際推動計畫</w:t>
                            </w:r>
                          </w:p>
                        </w:tc>
                        <w:tc>
                          <w:tcPr>
                            <w:tcW w:w="747" w:type="pct"/>
                            <w:shd w:val="clear" w:color="auto" w:fill="FFFFFF"/>
                            <w:noWrap/>
                            <w:vAlign w:val="center"/>
                          </w:tcPr>
                          <w:p w14:paraId="628B8BD9"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65.79</w:t>
                            </w:r>
                          </w:p>
                        </w:tc>
                        <w:tc>
                          <w:tcPr>
                            <w:tcW w:w="748" w:type="pct"/>
                            <w:shd w:val="clear" w:color="auto" w:fill="FFFFFF"/>
                            <w:vAlign w:val="center"/>
                          </w:tcPr>
                          <w:p w14:paraId="1E80E53E"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68.91</w:t>
                            </w:r>
                          </w:p>
                        </w:tc>
                      </w:tr>
                      <w:tr w:rsidR="00CE57F9" w:rsidRPr="00983A06" w14:paraId="24103DA5" w14:textId="77777777" w:rsidTr="005D19A1">
                        <w:trPr>
                          <w:trHeight w:val="113"/>
                        </w:trPr>
                        <w:tc>
                          <w:tcPr>
                            <w:tcW w:w="1054" w:type="pct"/>
                            <w:vMerge w:val="restart"/>
                            <w:shd w:val="clear" w:color="auto" w:fill="FFFFFF"/>
                            <w:noWrap/>
                            <w:vAlign w:val="center"/>
                            <w:hideMark/>
                          </w:tcPr>
                          <w:p w14:paraId="2DC65BE1" w14:textId="77777777" w:rsidR="00CE57F9" w:rsidRPr="00983A06" w:rsidRDefault="00CE57F9" w:rsidP="00F72E6D">
                            <w:pPr>
                              <w:widowControl/>
                              <w:adjustRightInd w:val="0"/>
                              <w:snapToGrid w:val="0"/>
                              <w:ind w:rightChars="25" w:right="60" w:firstLineChars="26" w:firstLine="52"/>
                              <w:jc w:val="distribute"/>
                              <w:rPr>
                                <w:rFonts w:ascii="標楷體" w:eastAsia="標楷體" w:hAnsi="標楷體" w:cs="新細明體"/>
                                <w:kern w:val="0"/>
                                <w:sz w:val="20"/>
                              </w:rPr>
                            </w:pPr>
                            <w:r w:rsidRPr="00983A06">
                              <w:rPr>
                                <w:rFonts w:ascii="標楷體" w:eastAsia="標楷體" w:hAnsi="標楷體" w:cs="新細明體" w:hint="eastAsia"/>
                                <w:kern w:val="0"/>
                                <w:sz w:val="20"/>
                              </w:rPr>
                              <w:t>衛生福利部</w:t>
                            </w:r>
                          </w:p>
                        </w:tc>
                        <w:tc>
                          <w:tcPr>
                            <w:tcW w:w="2450" w:type="pct"/>
                            <w:shd w:val="clear" w:color="auto" w:fill="auto"/>
                            <w:hideMark/>
                          </w:tcPr>
                          <w:p w14:paraId="2DBF9471" w14:textId="77777777" w:rsidR="00CE57F9" w:rsidRPr="00983A06" w:rsidRDefault="00CE57F9" w:rsidP="00F72E6D">
                            <w:pPr>
                              <w:widowControl/>
                              <w:adjustRightInd w:val="0"/>
                              <w:snapToGrid w:val="0"/>
                              <w:jc w:val="both"/>
                              <w:rPr>
                                <w:rFonts w:ascii="標楷體" w:eastAsia="標楷體" w:hAnsi="標楷體" w:cs="新細明體"/>
                                <w:kern w:val="0"/>
                                <w:sz w:val="20"/>
                              </w:rPr>
                            </w:pPr>
                            <w:r w:rsidRPr="00983A06">
                              <w:rPr>
                                <w:rFonts w:ascii="標楷體" w:eastAsia="標楷體" w:hAnsi="標楷體" w:cs="新細明體"/>
                                <w:kern w:val="0"/>
                                <w:sz w:val="20"/>
                              </w:rPr>
                              <w:t>全人健康促進與成癮防治研究</w:t>
                            </w:r>
                          </w:p>
                        </w:tc>
                        <w:tc>
                          <w:tcPr>
                            <w:tcW w:w="747" w:type="pct"/>
                            <w:shd w:val="clear" w:color="auto" w:fill="auto"/>
                            <w:noWrap/>
                            <w:vAlign w:val="center"/>
                          </w:tcPr>
                          <w:p w14:paraId="29AE7464"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74.47</w:t>
                            </w:r>
                          </w:p>
                        </w:tc>
                        <w:tc>
                          <w:tcPr>
                            <w:tcW w:w="748" w:type="pct"/>
                            <w:vAlign w:val="center"/>
                          </w:tcPr>
                          <w:p w14:paraId="24B3E2CB"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69.57</w:t>
                            </w:r>
                          </w:p>
                        </w:tc>
                      </w:tr>
                      <w:tr w:rsidR="00CE57F9" w:rsidRPr="00983A06" w14:paraId="37B63641" w14:textId="77777777" w:rsidTr="005D19A1">
                        <w:trPr>
                          <w:trHeight w:val="87"/>
                        </w:trPr>
                        <w:tc>
                          <w:tcPr>
                            <w:tcW w:w="1054" w:type="pct"/>
                            <w:vMerge/>
                            <w:shd w:val="clear" w:color="auto" w:fill="FFFFFF"/>
                            <w:noWrap/>
                            <w:vAlign w:val="center"/>
                            <w:hideMark/>
                          </w:tcPr>
                          <w:p w14:paraId="1E19A9C0" w14:textId="77777777" w:rsidR="00CE57F9" w:rsidRPr="00983A06" w:rsidRDefault="00CE57F9" w:rsidP="00F72E6D">
                            <w:pPr>
                              <w:widowControl/>
                              <w:adjustRightInd w:val="0"/>
                              <w:snapToGrid w:val="0"/>
                              <w:ind w:rightChars="25" w:right="60" w:firstLineChars="26" w:firstLine="52"/>
                              <w:jc w:val="distribute"/>
                              <w:rPr>
                                <w:rFonts w:ascii="標楷體" w:eastAsia="標楷體" w:hAnsi="標楷體" w:cs="新細明體"/>
                                <w:kern w:val="0"/>
                                <w:sz w:val="20"/>
                              </w:rPr>
                            </w:pPr>
                          </w:p>
                        </w:tc>
                        <w:tc>
                          <w:tcPr>
                            <w:tcW w:w="2450" w:type="pct"/>
                            <w:shd w:val="clear" w:color="auto" w:fill="FFFFFF"/>
                            <w:hideMark/>
                          </w:tcPr>
                          <w:p w14:paraId="5991F72D" w14:textId="77777777" w:rsidR="00CE57F9" w:rsidRPr="00346BDD" w:rsidRDefault="00CE57F9" w:rsidP="00F72E6D">
                            <w:pPr>
                              <w:widowControl/>
                              <w:adjustRightInd w:val="0"/>
                              <w:snapToGrid w:val="0"/>
                              <w:jc w:val="both"/>
                              <w:rPr>
                                <w:rFonts w:ascii="標楷體" w:eastAsia="標楷體" w:hAnsi="標楷體" w:cs="新細明體"/>
                                <w:kern w:val="0"/>
                                <w:sz w:val="20"/>
                              </w:rPr>
                            </w:pPr>
                            <w:r w:rsidRPr="00346BDD">
                              <w:rPr>
                                <w:rFonts w:ascii="標楷體" w:eastAsia="標楷體" w:hAnsi="標楷體" w:cs="新細明體" w:hint="eastAsia"/>
                                <w:kern w:val="0"/>
                                <w:sz w:val="20"/>
                              </w:rPr>
                              <w:t>社會福利多元服務與實證決策模式計畫</w:t>
                            </w:r>
                          </w:p>
                        </w:tc>
                        <w:tc>
                          <w:tcPr>
                            <w:tcW w:w="747" w:type="pct"/>
                            <w:shd w:val="clear" w:color="auto" w:fill="FFFFFF"/>
                            <w:noWrap/>
                            <w:vAlign w:val="center"/>
                          </w:tcPr>
                          <w:p w14:paraId="4FC45DAD"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57.13</w:t>
                            </w:r>
                          </w:p>
                        </w:tc>
                        <w:tc>
                          <w:tcPr>
                            <w:tcW w:w="748" w:type="pct"/>
                            <w:shd w:val="clear" w:color="auto" w:fill="FFFFFF"/>
                            <w:vAlign w:val="center"/>
                          </w:tcPr>
                          <w:p w14:paraId="3B4A9801"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hint="eastAsia"/>
                                <w:spacing w:val="-8"/>
                                <w:kern w:val="0"/>
                                <w:sz w:val="20"/>
                              </w:rPr>
                              <w:t>25.48</w:t>
                            </w:r>
                          </w:p>
                        </w:tc>
                      </w:tr>
                      <w:tr w:rsidR="00CE57F9" w:rsidRPr="00983A06" w14:paraId="4F496194" w14:textId="77777777" w:rsidTr="005D19A1">
                        <w:trPr>
                          <w:trHeight w:val="192"/>
                        </w:trPr>
                        <w:tc>
                          <w:tcPr>
                            <w:tcW w:w="1054" w:type="pct"/>
                            <w:vMerge/>
                            <w:shd w:val="clear" w:color="auto" w:fill="FFFFFF"/>
                            <w:noWrap/>
                            <w:vAlign w:val="center"/>
                            <w:hideMark/>
                          </w:tcPr>
                          <w:p w14:paraId="644C37EC" w14:textId="77777777" w:rsidR="00CE57F9" w:rsidRPr="00983A06" w:rsidRDefault="00CE57F9" w:rsidP="00F72E6D">
                            <w:pPr>
                              <w:widowControl/>
                              <w:adjustRightInd w:val="0"/>
                              <w:snapToGrid w:val="0"/>
                              <w:ind w:rightChars="25" w:right="60" w:firstLineChars="26" w:firstLine="52"/>
                              <w:jc w:val="distribute"/>
                              <w:rPr>
                                <w:rFonts w:ascii="標楷體" w:eastAsia="標楷體" w:hAnsi="標楷體" w:cs="新細明體"/>
                                <w:kern w:val="0"/>
                                <w:sz w:val="20"/>
                              </w:rPr>
                            </w:pPr>
                          </w:p>
                        </w:tc>
                        <w:tc>
                          <w:tcPr>
                            <w:tcW w:w="2450" w:type="pct"/>
                            <w:shd w:val="clear" w:color="auto" w:fill="FFFFFF"/>
                            <w:hideMark/>
                          </w:tcPr>
                          <w:p w14:paraId="5B0A508B" w14:textId="650F49E4" w:rsidR="00CE57F9" w:rsidRPr="00346BDD" w:rsidRDefault="00CE57F9" w:rsidP="00F72E6D">
                            <w:pPr>
                              <w:widowControl/>
                              <w:adjustRightInd w:val="0"/>
                              <w:snapToGrid w:val="0"/>
                              <w:jc w:val="both"/>
                              <w:rPr>
                                <w:rFonts w:ascii="標楷體" w:eastAsia="標楷體" w:hAnsi="標楷體" w:cs="新細明體"/>
                                <w:kern w:val="0"/>
                                <w:sz w:val="20"/>
                              </w:rPr>
                            </w:pPr>
                            <w:r w:rsidRPr="00346BDD">
                              <w:rPr>
                                <w:rFonts w:ascii="標楷體" w:eastAsia="標楷體" w:hAnsi="標楷體" w:cs="新細明體" w:hint="eastAsia"/>
                                <w:kern w:val="0"/>
                                <w:sz w:val="20"/>
                              </w:rPr>
                              <w:t>資安跨域整合聯防計畫－關鍵基礎設施領域資安推動工作計畫</w:t>
                            </w:r>
                          </w:p>
                        </w:tc>
                        <w:tc>
                          <w:tcPr>
                            <w:tcW w:w="747" w:type="pct"/>
                            <w:shd w:val="clear" w:color="auto" w:fill="FFFFFF"/>
                            <w:noWrap/>
                            <w:vAlign w:val="center"/>
                          </w:tcPr>
                          <w:p w14:paraId="35C0CF58"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75.73</w:t>
                            </w:r>
                          </w:p>
                        </w:tc>
                        <w:tc>
                          <w:tcPr>
                            <w:tcW w:w="748" w:type="pct"/>
                            <w:shd w:val="clear" w:color="auto" w:fill="FFFFFF"/>
                            <w:vAlign w:val="center"/>
                          </w:tcPr>
                          <w:p w14:paraId="40DF3D8F"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hint="eastAsia"/>
                                <w:spacing w:val="-8"/>
                                <w:kern w:val="0"/>
                                <w:sz w:val="20"/>
                              </w:rPr>
                              <w:t>33.32</w:t>
                            </w:r>
                          </w:p>
                        </w:tc>
                      </w:tr>
                      <w:tr w:rsidR="00CE57F9" w:rsidRPr="00983A06" w14:paraId="3D6589E0" w14:textId="77777777" w:rsidTr="005D19A1">
                        <w:trPr>
                          <w:trHeight w:val="231"/>
                        </w:trPr>
                        <w:tc>
                          <w:tcPr>
                            <w:tcW w:w="1054" w:type="pct"/>
                            <w:shd w:val="clear" w:color="auto" w:fill="FFFFFF"/>
                            <w:noWrap/>
                            <w:vAlign w:val="center"/>
                          </w:tcPr>
                          <w:p w14:paraId="4D31414F" w14:textId="77777777" w:rsidR="00CE57F9" w:rsidRPr="00983A06" w:rsidRDefault="00CE57F9" w:rsidP="00F72E6D">
                            <w:pPr>
                              <w:widowControl/>
                              <w:adjustRightInd w:val="0"/>
                              <w:snapToGrid w:val="0"/>
                              <w:ind w:rightChars="25" w:right="60" w:firstLineChars="26" w:firstLine="52"/>
                              <w:jc w:val="distribute"/>
                              <w:rPr>
                                <w:rFonts w:ascii="標楷體" w:eastAsia="標楷體" w:hAnsi="標楷體" w:cs="新細明體"/>
                                <w:kern w:val="0"/>
                                <w:sz w:val="20"/>
                              </w:rPr>
                            </w:pPr>
                            <w:r w:rsidRPr="00983A06">
                              <w:rPr>
                                <w:rFonts w:ascii="標楷體" w:eastAsia="標楷體" w:hAnsi="標楷體" w:cs="新細明體" w:hint="eastAsia"/>
                                <w:kern w:val="0"/>
                                <w:sz w:val="20"/>
                              </w:rPr>
                              <w:t>農業委員會</w:t>
                            </w:r>
                          </w:p>
                        </w:tc>
                        <w:tc>
                          <w:tcPr>
                            <w:tcW w:w="2450" w:type="pct"/>
                            <w:shd w:val="clear" w:color="auto" w:fill="FFFFFF"/>
                          </w:tcPr>
                          <w:p w14:paraId="75A345AB" w14:textId="77777777" w:rsidR="00CE57F9" w:rsidRPr="00346BDD" w:rsidRDefault="00CE57F9" w:rsidP="00F72E6D">
                            <w:pPr>
                              <w:widowControl/>
                              <w:adjustRightInd w:val="0"/>
                              <w:snapToGrid w:val="0"/>
                              <w:jc w:val="both"/>
                              <w:rPr>
                                <w:rFonts w:ascii="標楷體" w:eastAsia="標楷體" w:hAnsi="標楷體" w:cs="新細明體"/>
                                <w:kern w:val="0"/>
                                <w:sz w:val="20"/>
                              </w:rPr>
                            </w:pPr>
                            <w:r w:rsidRPr="00346BDD">
                              <w:rPr>
                                <w:rFonts w:ascii="標楷體" w:eastAsia="標楷體" w:hAnsi="標楷體" w:cs="新細明體" w:hint="eastAsia"/>
                                <w:kern w:val="0"/>
                                <w:sz w:val="20"/>
                              </w:rPr>
                              <w:t>精進防疫一體傳染病智慧防治技術</w:t>
                            </w:r>
                          </w:p>
                        </w:tc>
                        <w:tc>
                          <w:tcPr>
                            <w:tcW w:w="74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B4A663"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75.48</w:t>
                            </w:r>
                          </w:p>
                        </w:tc>
                        <w:tc>
                          <w:tcPr>
                            <w:tcW w:w="748" w:type="pct"/>
                            <w:tcBorders>
                              <w:top w:val="single" w:sz="4" w:space="0" w:color="auto"/>
                              <w:left w:val="single" w:sz="4" w:space="0" w:color="auto"/>
                              <w:bottom w:val="single" w:sz="4" w:space="0" w:color="auto"/>
                              <w:right w:val="single" w:sz="4" w:space="0" w:color="auto"/>
                            </w:tcBorders>
                            <w:vAlign w:val="center"/>
                          </w:tcPr>
                          <w:p w14:paraId="145FE1C9"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hint="eastAsia"/>
                                <w:spacing w:val="-8"/>
                                <w:kern w:val="0"/>
                                <w:sz w:val="20"/>
                              </w:rPr>
                              <w:t>7</w:t>
                            </w:r>
                            <w:r w:rsidRPr="00983A06">
                              <w:rPr>
                                <w:rFonts w:ascii="標楷體" w:eastAsia="標楷體" w:hAnsi="標楷體" w:cs="新細明體"/>
                                <w:spacing w:val="-8"/>
                                <w:kern w:val="0"/>
                                <w:sz w:val="20"/>
                              </w:rPr>
                              <w:t>8.57</w:t>
                            </w:r>
                          </w:p>
                        </w:tc>
                      </w:tr>
                      <w:tr w:rsidR="00CE57F9" w:rsidRPr="00983A06" w14:paraId="67D49078" w14:textId="77777777" w:rsidTr="005D19A1">
                        <w:trPr>
                          <w:trHeight w:val="126"/>
                        </w:trPr>
                        <w:tc>
                          <w:tcPr>
                            <w:tcW w:w="1054" w:type="pct"/>
                            <w:shd w:val="clear" w:color="auto" w:fill="FFFFFF"/>
                            <w:noWrap/>
                            <w:vAlign w:val="center"/>
                          </w:tcPr>
                          <w:p w14:paraId="41A2F4CA" w14:textId="1692AA1D" w:rsidR="00CE57F9" w:rsidRPr="00983A06" w:rsidRDefault="00CE57F9" w:rsidP="006B58C2">
                            <w:pPr>
                              <w:widowControl/>
                              <w:adjustRightInd w:val="0"/>
                              <w:snapToGrid w:val="0"/>
                              <w:ind w:leftChars="26" w:left="62" w:rightChars="31" w:right="74" w:firstLineChars="1" w:firstLine="1"/>
                              <w:jc w:val="distribute"/>
                              <w:rPr>
                                <w:rFonts w:ascii="標楷體" w:eastAsia="標楷體" w:hAnsi="標楷體" w:cs="新細明體"/>
                                <w:spacing w:val="-36"/>
                                <w:kern w:val="0"/>
                                <w:sz w:val="20"/>
                              </w:rPr>
                            </w:pPr>
                            <w:r w:rsidRPr="00983A06">
                              <w:rPr>
                                <w:rFonts w:ascii="標楷體" w:eastAsia="標楷體" w:hAnsi="標楷體" w:cs="新細明體" w:hint="eastAsia"/>
                                <w:spacing w:val="-36"/>
                                <w:kern w:val="0"/>
                                <w:sz w:val="20"/>
                              </w:rPr>
                              <w:t>行政院國家科學</w:t>
                            </w:r>
                            <w:r>
                              <w:rPr>
                                <w:rFonts w:ascii="標楷體" w:eastAsia="標楷體" w:hAnsi="標楷體" w:cs="新細明體"/>
                                <w:spacing w:val="-36"/>
                                <w:kern w:val="0"/>
                                <w:sz w:val="20"/>
                              </w:rPr>
                              <w:br/>
                            </w:r>
                            <w:r w:rsidRPr="00983A06">
                              <w:rPr>
                                <w:rFonts w:ascii="標楷體" w:eastAsia="標楷體" w:hAnsi="標楷體" w:cs="新細明體" w:hint="eastAsia"/>
                                <w:spacing w:val="-36"/>
                                <w:kern w:val="0"/>
                                <w:sz w:val="20"/>
                              </w:rPr>
                              <w:t>技術發展基金</w:t>
                            </w:r>
                          </w:p>
                        </w:tc>
                        <w:tc>
                          <w:tcPr>
                            <w:tcW w:w="2450" w:type="pct"/>
                            <w:shd w:val="clear" w:color="auto" w:fill="FFFFFF"/>
                            <w:vAlign w:val="center"/>
                          </w:tcPr>
                          <w:p w14:paraId="2395C206" w14:textId="77777777" w:rsidR="00CE57F9" w:rsidRPr="00346BDD" w:rsidRDefault="00CE57F9" w:rsidP="00F72E6D">
                            <w:pPr>
                              <w:widowControl/>
                              <w:adjustRightInd w:val="0"/>
                              <w:snapToGrid w:val="0"/>
                              <w:jc w:val="both"/>
                              <w:rPr>
                                <w:rFonts w:ascii="標楷體" w:eastAsia="標楷體" w:hAnsi="標楷體" w:cs="新細明體"/>
                                <w:kern w:val="0"/>
                                <w:sz w:val="20"/>
                              </w:rPr>
                            </w:pPr>
                            <w:r w:rsidRPr="00346BDD">
                              <w:rPr>
                                <w:rFonts w:eastAsia="標楷體" w:cs="Calibri" w:hint="eastAsia"/>
                                <w:sz w:val="20"/>
                              </w:rPr>
                              <w:t>科技會報跨部會署科發基金計畫</w:t>
                            </w:r>
                          </w:p>
                        </w:tc>
                        <w:tc>
                          <w:tcPr>
                            <w:tcW w:w="747" w:type="pct"/>
                            <w:shd w:val="clear" w:color="auto" w:fill="FFFFFF"/>
                            <w:noWrap/>
                            <w:vAlign w:val="center"/>
                          </w:tcPr>
                          <w:p w14:paraId="43413573"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69.92</w:t>
                            </w:r>
                          </w:p>
                        </w:tc>
                        <w:tc>
                          <w:tcPr>
                            <w:tcW w:w="748" w:type="pct"/>
                            <w:shd w:val="clear" w:color="auto" w:fill="FFFFFF"/>
                            <w:vAlign w:val="center"/>
                          </w:tcPr>
                          <w:p w14:paraId="37AC4B61"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68.22</w:t>
                            </w:r>
                          </w:p>
                        </w:tc>
                      </w:tr>
                      <w:tr w:rsidR="00CE57F9" w:rsidRPr="00983A06" w14:paraId="6BF82673" w14:textId="77777777" w:rsidTr="005D19A1">
                        <w:trPr>
                          <w:trHeight w:val="248"/>
                        </w:trPr>
                        <w:tc>
                          <w:tcPr>
                            <w:tcW w:w="1054" w:type="pct"/>
                            <w:shd w:val="clear" w:color="auto" w:fill="FFFFFF"/>
                            <w:noWrap/>
                            <w:vAlign w:val="center"/>
                          </w:tcPr>
                          <w:p w14:paraId="60B72954" w14:textId="77777777" w:rsidR="00CE57F9" w:rsidRPr="00983A06" w:rsidRDefault="00CE57F9" w:rsidP="00F72E6D">
                            <w:pPr>
                              <w:widowControl/>
                              <w:adjustRightInd w:val="0"/>
                              <w:snapToGrid w:val="0"/>
                              <w:ind w:rightChars="25" w:right="60" w:firstLineChars="26" w:firstLine="52"/>
                              <w:jc w:val="distribute"/>
                              <w:rPr>
                                <w:rFonts w:ascii="標楷體" w:eastAsia="標楷體" w:hAnsi="標楷體" w:cs="新細明體"/>
                                <w:kern w:val="0"/>
                                <w:sz w:val="20"/>
                              </w:rPr>
                            </w:pPr>
                            <w:r w:rsidRPr="00983A06">
                              <w:rPr>
                                <w:rFonts w:ascii="標楷體" w:eastAsia="標楷體" w:hAnsi="標楷體" w:cs="新細明體" w:hint="eastAsia"/>
                                <w:kern w:val="0"/>
                                <w:sz w:val="20"/>
                              </w:rPr>
                              <w:t>交通部</w:t>
                            </w:r>
                          </w:p>
                        </w:tc>
                        <w:tc>
                          <w:tcPr>
                            <w:tcW w:w="2450" w:type="pct"/>
                            <w:shd w:val="clear" w:color="auto" w:fill="FFFFFF"/>
                          </w:tcPr>
                          <w:p w14:paraId="6DB95E45" w14:textId="77777777" w:rsidR="00CE57F9" w:rsidRPr="00346BDD" w:rsidRDefault="00CE57F9" w:rsidP="00F72E6D">
                            <w:pPr>
                              <w:widowControl/>
                              <w:adjustRightInd w:val="0"/>
                              <w:snapToGrid w:val="0"/>
                              <w:jc w:val="both"/>
                              <w:rPr>
                                <w:rFonts w:ascii="標楷體" w:eastAsia="標楷體" w:hAnsi="標楷體" w:cs="新細明體"/>
                                <w:kern w:val="0"/>
                                <w:sz w:val="20"/>
                              </w:rPr>
                            </w:pPr>
                            <w:r w:rsidRPr="00346BDD">
                              <w:rPr>
                                <w:rFonts w:ascii="標楷體" w:eastAsia="標楷體" w:hAnsi="標楷體" w:cs="新細明體" w:hint="eastAsia"/>
                                <w:kern w:val="0"/>
                                <w:sz w:val="20"/>
                              </w:rPr>
                              <w:t>氣象雷達災防預警技術提升計畫</w:t>
                            </w:r>
                          </w:p>
                        </w:tc>
                        <w:tc>
                          <w:tcPr>
                            <w:tcW w:w="747" w:type="pct"/>
                            <w:shd w:val="clear" w:color="auto" w:fill="FFFFFF"/>
                            <w:noWrap/>
                            <w:vAlign w:val="center"/>
                          </w:tcPr>
                          <w:p w14:paraId="7B626656"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76.06</w:t>
                            </w:r>
                          </w:p>
                        </w:tc>
                        <w:tc>
                          <w:tcPr>
                            <w:tcW w:w="748" w:type="pct"/>
                            <w:shd w:val="clear" w:color="auto" w:fill="FFFFFF"/>
                            <w:vAlign w:val="center"/>
                          </w:tcPr>
                          <w:p w14:paraId="08FCF964"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60.25</w:t>
                            </w:r>
                          </w:p>
                        </w:tc>
                      </w:tr>
                      <w:tr w:rsidR="00CE57F9" w:rsidRPr="00983A06" w14:paraId="17EB0FA9" w14:textId="77777777" w:rsidTr="005D19A1">
                        <w:trPr>
                          <w:trHeight w:val="248"/>
                        </w:trPr>
                        <w:tc>
                          <w:tcPr>
                            <w:tcW w:w="1054" w:type="pct"/>
                            <w:shd w:val="clear" w:color="auto" w:fill="FFFFFF"/>
                            <w:noWrap/>
                            <w:vAlign w:val="center"/>
                            <w:hideMark/>
                          </w:tcPr>
                          <w:p w14:paraId="29E801AA" w14:textId="77777777" w:rsidR="00CE57F9" w:rsidRPr="00983A06" w:rsidRDefault="00CE57F9" w:rsidP="00F72E6D">
                            <w:pPr>
                              <w:widowControl/>
                              <w:adjustRightInd w:val="0"/>
                              <w:snapToGrid w:val="0"/>
                              <w:ind w:rightChars="25" w:right="60" w:firstLineChars="26" w:firstLine="52"/>
                              <w:jc w:val="distribute"/>
                              <w:rPr>
                                <w:rFonts w:ascii="標楷體" w:eastAsia="標楷體" w:hAnsi="標楷體" w:cs="新細明體"/>
                                <w:kern w:val="0"/>
                                <w:sz w:val="20"/>
                              </w:rPr>
                            </w:pPr>
                            <w:r w:rsidRPr="00983A06">
                              <w:rPr>
                                <w:rFonts w:ascii="標楷體" w:eastAsia="標楷體" w:hAnsi="標楷體" w:cs="新細明體" w:hint="eastAsia"/>
                                <w:kern w:val="0"/>
                                <w:sz w:val="20"/>
                              </w:rPr>
                              <w:t>教育部</w:t>
                            </w:r>
                          </w:p>
                        </w:tc>
                        <w:tc>
                          <w:tcPr>
                            <w:tcW w:w="2450" w:type="pct"/>
                            <w:shd w:val="clear" w:color="auto" w:fill="FFFFFF"/>
                            <w:vAlign w:val="center"/>
                            <w:hideMark/>
                          </w:tcPr>
                          <w:p w14:paraId="4494A236" w14:textId="1394DECC" w:rsidR="00CE57F9" w:rsidRPr="00346BDD" w:rsidRDefault="00CE57F9" w:rsidP="00F72E6D">
                            <w:pPr>
                              <w:widowControl/>
                              <w:adjustRightInd w:val="0"/>
                              <w:snapToGrid w:val="0"/>
                              <w:jc w:val="both"/>
                              <w:rPr>
                                <w:rFonts w:ascii="標楷體" w:eastAsia="標楷體" w:hAnsi="標楷體" w:cs="新細明體"/>
                                <w:kern w:val="0"/>
                                <w:sz w:val="20"/>
                              </w:rPr>
                            </w:pPr>
                            <w:r w:rsidRPr="00346BDD">
                              <w:rPr>
                                <w:rFonts w:ascii="標楷體" w:eastAsia="標楷體" w:hAnsi="標楷體" w:cs="新細明體" w:hint="eastAsia"/>
                                <w:kern w:val="0"/>
                                <w:sz w:val="20"/>
                              </w:rPr>
                              <w:t>臺灣資安卓越深耕－擴增資安師資計畫</w:t>
                            </w:r>
                          </w:p>
                        </w:tc>
                        <w:tc>
                          <w:tcPr>
                            <w:tcW w:w="747" w:type="pct"/>
                            <w:shd w:val="clear" w:color="auto" w:fill="FFFFFF"/>
                            <w:noWrap/>
                            <w:vAlign w:val="center"/>
                          </w:tcPr>
                          <w:p w14:paraId="151FC816"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10.56</w:t>
                            </w:r>
                          </w:p>
                        </w:tc>
                        <w:tc>
                          <w:tcPr>
                            <w:tcW w:w="748" w:type="pct"/>
                            <w:shd w:val="clear" w:color="auto" w:fill="FFFFFF"/>
                            <w:vAlign w:val="center"/>
                          </w:tcPr>
                          <w:p w14:paraId="7F4BBEFE"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29</w:t>
                            </w:r>
                            <w:r w:rsidRPr="00983A06">
                              <w:rPr>
                                <w:rFonts w:ascii="標楷體" w:eastAsia="標楷體" w:hAnsi="標楷體" w:cs="新細明體" w:hint="eastAsia"/>
                                <w:spacing w:val="-8"/>
                                <w:kern w:val="0"/>
                                <w:sz w:val="20"/>
                              </w:rPr>
                              <w:t>.</w:t>
                            </w:r>
                            <w:r w:rsidRPr="00983A06">
                              <w:rPr>
                                <w:rFonts w:ascii="標楷體" w:eastAsia="標楷體" w:hAnsi="標楷體" w:cs="新細明體"/>
                                <w:spacing w:val="-8"/>
                                <w:kern w:val="0"/>
                                <w:sz w:val="20"/>
                              </w:rPr>
                              <w:t>07</w:t>
                            </w:r>
                          </w:p>
                        </w:tc>
                      </w:tr>
                      <w:tr w:rsidR="00CE57F9" w:rsidRPr="00983A06" w14:paraId="2B139377" w14:textId="77777777" w:rsidTr="005D19A1">
                        <w:trPr>
                          <w:trHeight w:val="441"/>
                        </w:trPr>
                        <w:tc>
                          <w:tcPr>
                            <w:tcW w:w="1054" w:type="pct"/>
                            <w:shd w:val="clear" w:color="auto" w:fill="FFFFFF"/>
                            <w:noWrap/>
                            <w:vAlign w:val="center"/>
                            <w:hideMark/>
                          </w:tcPr>
                          <w:p w14:paraId="2FC483C3" w14:textId="77777777" w:rsidR="00CE57F9" w:rsidRPr="00983A06" w:rsidRDefault="00CE57F9" w:rsidP="00F72E6D">
                            <w:pPr>
                              <w:widowControl/>
                              <w:adjustRightInd w:val="0"/>
                              <w:snapToGrid w:val="0"/>
                              <w:ind w:rightChars="25" w:right="60" w:firstLineChars="26" w:firstLine="52"/>
                              <w:jc w:val="distribute"/>
                              <w:rPr>
                                <w:rFonts w:ascii="標楷體" w:eastAsia="標楷體" w:hAnsi="標楷體" w:cs="新細明體"/>
                                <w:kern w:val="0"/>
                                <w:sz w:val="20"/>
                              </w:rPr>
                            </w:pPr>
                            <w:r w:rsidRPr="00983A06">
                              <w:rPr>
                                <w:rFonts w:ascii="標楷體" w:eastAsia="標楷體" w:hAnsi="標楷體" w:cs="新細明體" w:hint="eastAsia"/>
                                <w:kern w:val="0"/>
                                <w:sz w:val="20"/>
                              </w:rPr>
                              <w:t>原子能委員會</w:t>
                            </w:r>
                          </w:p>
                        </w:tc>
                        <w:tc>
                          <w:tcPr>
                            <w:tcW w:w="2450" w:type="pct"/>
                            <w:shd w:val="clear" w:color="auto" w:fill="FFFFFF"/>
                            <w:vAlign w:val="center"/>
                            <w:hideMark/>
                          </w:tcPr>
                          <w:p w14:paraId="20FFA09D" w14:textId="77777777" w:rsidR="00CE57F9" w:rsidRPr="00983A06" w:rsidRDefault="00CE57F9" w:rsidP="00F72E6D">
                            <w:pPr>
                              <w:widowControl/>
                              <w:adjustRightInd w:val="0"/>
                              <w:snapToGrid w:val="0"/>
                              <w:jc w:val="both"/>
                              <w:rPr>
                                <w:rFonts w:ascii="標楷體" w:eastAsia="標楷體" w:hAnsi="標楷體" w:cs="新細明體"/>
                                <w:kern w:val="0"/>
                                <w:sz w:val="20"/>
                              </w:rPr>
                            </w:pPr>
                            <w:r w:rsidRPr="00983A06">
                              <w:rPr>
                                <w:rFonts w:ascii="標楷體" w:eastAsia="標楷體" w:hAnsi="標楷體" w:cs="新細明體" w:hint="eastAsia"/>
                                <w:kern w:val="0"/>
                                <w:sz w:val="20"/>
                              </w:rPr>
                              <w:t>原子能科技學術合作研究計畫</w:t>
                            </w:r>
                          </w:p>
                        </w:tc>
                        <w:tc>
                          <w:tcPr>
                            <w:tcW w:w="747" w:type="pct"/>
                            <w:shd w:val="clear" w:color="auto" w:fill="FFFFFF"/>
                            <w:noWrap/>
                            <w:vAlign w:val="center"/>
                          </w:tcPr>
                          <w:p w14:paraId="09C17989"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73.52</w:t>
                            </w:r>
                          </w:p>
                        </w:tc>
                        <w:tc>
                          <w:tcPr>
                            <w:tcW w:w="748" w:type="pct"/>
                            <w:shd w:val="clear" w:color="auto" w:fill="FFFFFF"/>
                            <w:vAlign w:val="center"/>
                          </w:tcPr>
                          <w:p w14:paraId="5E602FB8"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hint="eastAsia"/>
                                <w:spacing w:val="-8"/>
                                <w:kern w:val="0"/>
                                <w:sz w:val="20"/>
                              </w:rPr>
                              <w:t>7</w:t>
                            </w:r>
                            <w:r w:rsidRPr="00983A06">
                              <w:rPr>
                                <w:rFonts w:ascii="標楷體" w:eastAsia="標楷體" w:hAnsi="標楷體" w:cs="新細明體"/>
                                <w:spacing w:val="-8"/>
                                <w:kern w:val="0"/>
                                <w:sz w:val="20"/>
                              </w:rPr>
                              <w:t>5</w:t>
                            </w:r>
                            <w:r w:rsidRPr="00983A06">
                              <w:rPr>
                                <w:rFonts w:ascii="標楷體" w:eastAsia="標楷體" w:hAnsi="標楷體" w:cs="新細明體" w:hint="eastAsia"/>
                                <w:spacing w:val="-8"/>
                                <w:kern w:val="0"/>
                                <w:sz w:val="20"/>
                              </w:rPr>
                              <w:t>.</w:t>
                            </w:r>
                            <w:r w:rsidRPr="00983A06">
                              <w:rPr>
                                <w:rFonts w:ascii="標楷體" w:eastAsia="標楷體" w:hAnsi="標楷體" w:cs="新細明體"/>
                                <w:spacing w:val="-8"/>
                                <w:kern w:val="0"/>
                                <w:sz w:val="20"/>
                              </w:rPr>
                              <w:t>16</w:t>
                            </w:r>
                          </w:p>
                        </w:tc>
                      </w:tr>
                      <w:tr w:rsidR="00CE57F9" w:rsidRPr="00983A06" w14:paraId="7194AD50" w14:textId="77777777" w:rsidTr="005D19A1">
                        <w:trPr>
                          <w:trHeight w:val="245"/>
                        </w:trPr>
                        <w:tc>
                          <w:tcPr>
                            <w:tcW w:w="1054" w:type="pct"/>
                            <w:shd w:val="clear" w:color="auto" w:fill="FFFFFF"/>
                            <w:noWrap/>
                            <w:vAlign w:val="center"/>
                            <w:hideMark/>
                          </w:tcPr>
                          <w:p w14:paraId="290D0C1B" w14:textId="77777777" w:rsidR="00CE57F9" w:rsidRPr="00983A06" w:rsidRDefault="00CE57F9" w:rsidP="00F72E6D">
                            <w:pPr>
                              <w:widowControl/>
                              <w:adjustRightInd w:val="0"/>
                              <w:snapToGrid w:val="0"/>
                              <w:ind w:rightChars="25" w:right="60" w:firstLineChars="26" w:firstLine="52"/>
                              <w:jc w:val="distribute"/>
                              <w:rPr>
                                <w:rFonts w:ascii="標楷體" w:eastAsia="標楷體" w:hAnsi="標楷體" w:cs="新細明體"/>
                                <w:kern w:val="0"/>
                                <w:sz w:val="20"/>
                              </w:rPr>
                            </w:pPr>
                            <w:r w:rsidRPr="00983A06">
                              <w:rPr>
                                <w:rFonts w:ascii="標楷體" w:eastAsia="標楷體" w:hAnsi="標楷體" w:cs="新細明體" w:hint="eastAsia"/>
                                <w:kern w:val="0"/>
                                <w:sz w:val="20"/>
                              </w:rPr>
                              <w:t>法務部</w:t>
                            </w:r>
                          </w:p>
                        </w:tc>
                        <w:tc>
                          <w:tcPr>
                            <w:tcW w:w="2450" w:type="pct"/>
                            <w:shd w:val="clear" w:color="auto" w:fill="FFFFFF"/>
                            <w:vAlign w:val="center"/>
                            <w:hideMark/>
                          </w:tcPr>
                          <w:p w14:paraId="74963369" w14:textId="77777777" w:rsidR="00CE57F9" w:rsidRPr="00983A06" w:rsidRDefault="00CE57F9" w:rsidP="00F72E6D">
                            <w:pPr>
                              <w:widowControl/>
                              <w:adjustRightInd w:val="0"/>
                              <w:snapToGrid w:val="0"/>
                              <w:jc w:val="both"/>
                              <w:rPr>
                                <w:rFonts w:ascii="標楷體" w:eastAsia="標楷體" w:hAnsi="標楷體" w:cs="新細明體"/>
                                <w:kern w:val="0"/>
                                <w:sz w:val="20"/>
                              </w:rPr>
                            </w:pPr>
                            <w:r w:rsidRPr="00983A06">
                              <w:rPr>
                                <w:rFonts w:ascii="標楷體" w:eastAsia="標楷體" w:hAnsi="標楷體" w:cs="新細明體" w:hint="eastAsia"/>
                                <w:kern w:val="0"/>
                                <w:sz w:val="20"/>
                              </w:rPr>
                              <w:t>偵訊效能提升及偵謊輔助系統開發計畫</w:t>
                            </w:r>
                          </w:p>
                        </w:tc>
                        <w:tc>
                          <w:tcPr>
                            <w:tcW w:w="747" w:type="pct"/>
                            <w:shd w:val="clear" w:color="auto" w:fill="auto"/>
                            <w:noWrap/>
                            <w:vAlign w:val="center"/>
                          </w:tcPr>
                          <w:p w14:paraId="413F278C"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66.86</w:t>
                            </w:r>
                          </w:p>
                        </w:tc>
                        <w:tc>
                          <w:tcPr>
                            <w:tcW w:w="748" w:type="pct"/>
                            <w:vAlign w:val="center"/>
                          </w:tcPr>
                          <w:p w14:paraId="2EDD0EFC" w14:textId="77777777" w:rsidR="00CE57F9" w:rsidRPr="00983A06" w:rsidRDefault="00CE57F9" w:rsidP="00F72E6D">
                            <w:pPr>
                              <w:widowControl/>
                              <w:adjustRightInd w:val="0"/>
                              <w:snapToGrid w:val="0"/>
                              <w:jc w:val="right"/>
                              <w:rPr>
                                <w:rFonts w:ascii="標楷體" w:eastAsia="標楷體" w:hAnsi="標楷體" w:cs="新細明體"/>
                                <w:spacing w:val="-8"/>
                                <w:kern w:val="0"/>
                                <w:sz w:val="20"/>
                              </w:rPr>
                            </w:pPr>
                            <w:r w:rsidRPr="00983A06">
                              <w:rPr>
                                <w:rFonts w:ascii="標楷體" w:eastAsia="標楷體" w:hAnsi="標楷體" w:cs="新細明體"/>
                                <w:spacing w:val="-8"/>
                                <w:kern w:val="0"/>
                                <w:sz w:val="20"/>
                              </w:rPr>
                              <w:t>51.54</w:t>
                            </w:r>
                          </w:p>
                        </w:tc>
                      </w:tr>
                    </w:tbl>
                    <w:p w14:paraId="6FC9D91C" w14:textId="5133FDCB" w:rsidR="00CE57F9" w:rsidRPr="00983A06" w:rsidRDefault="00CE57F9" w:rsidP="005D19A1">
                      <w:pPr>
                        <w:adjustRightInd w:val="0"/>
                        <w:snapToGrid w:val="0"/>
                        <w:ind w:leftChars="-50" w:left="-120"/>
                        <w:rPr>
                          <w:rFonts w:ascii="標楷體" w:eastAsia="標楷體" w:hAnsi="標楷體" w:cstheme="minorBidi"/>
                          <w:sz w:val="18"/>
                          <w:szCs w:val="24"/>
                        </w:rPr>
                      </w:pPr>
                      <w:r w:rsidRPr="00983A06">
                        <w:rPr>
                          <w:rFonts w:ascii="標楷體" w:eastAsia="標楷體" w:hAnsi="標楷體" w:cstheme="minorBidi" w:hint="eastAsia"/>
                          <w:sz w:val="18"/>
                          <w:szCs w:val="24"/>
                        </w:rPr>
                        <w:t>資料來源：整理自</w:t>
                      </w:r>
                      <w:r w:rsidRPr="00346BDD">
                        <w:rPr>
                          <w:rFonts w:ascii="標楷體" w:eastAsia="標楷體" w:hAnsi="標楷體" w:cstheme="minorBidi" w:hint="eastAsia"/>
                          <w:sz w:val="18"/>
                          <w:szCs w:val="24"/>
                        </w:rPr>
                        <w:t>各機關（單位）查</w:t>
                      </w:r>
                      <w:r w:rsidRPr="00983A06">
                        <w:rPr>
                          <w:rFonts w:ascii="標楷體" w:eastAsia="標楷體" w:hAnsi="標楷體" w:cstheme="minorBidi" w:hint="eastAsia"/>
                          <w:sz w:val="18"/>
                          <w:szCs w:val="24"/>
                        </w:rPr>
                        <w:t>填資料。</w:t>
                      </w:r>
                    </w:p>
                    <w:p w14:paraId="2D9AFB89" w14:textId="77777777" w:rsidR="00CE57F9" w:rsidRPr="00983A06" w:rsidRDefault="00CE57F9" w:rsidP="006B58C2">
                      <w:pPr>
                        <w:spacing w:line="20" w:lineRule="exact"/>
                      </w:pPr>
                    </w:p>
                  </w:txbxContent>
                </v:textbox>
                <w10:wrap type="square" anchorx="margin"/>
              </v:shape>
            </w:pict>
          </mc:Fallback>
        </mc:AlternateContent>
      </w:r>
      <w:r w:rsidRPr="009D11AD">
        <w:rPr>
          <w:rFonts w:ascii="標楷體" w:eastAsia="標楷體" w:hAnsi="標楷體" w:hint="eastAsia"/>
          <w:kern w:val="0"/>
          <w:szCs w:val="32"/>
        </w:rPr>
        <w:t>前瞻基礎建設計畫40項），其中</w:t>
      </w:r>
      <w:r w:rsidR="00B42C69" w:rsidRPr="00346BDD">
        <w:rPr>
          <w:rFonts w:ascii="標楷體" w:eastAsia="標楷體" w:hAnsi="標楷體" w:hint="eastAsia"/>
          <w:kern w:val="0"/>
          <w:szCs w:val="32"/>
        </w:rPr>
        <w:t>科技部（</w:t>
      </w:r>
      <w:r w:rsidR="00B42C69" w:rsidRPr="00346BDD">
        <w:rPr>
          <w:rFonts w:ascii="標楷體" w:eastAsia="標楷體" w:hAnsi="標楷體"/>
          <w:kern w:val="0"/>
          <w:szCs w:val="32"/>
        </w:rPr>
        <w:t>111</w:t>
      </w:r>
      <w:r w:rsidR="00B42C69" w:rsidRPr="00346BDD">
        <w:rPr>
          <w:rFonts w:ascii="標楷體" w:eastAsia="標楷體" w:hAnsi="標楷體" w:hint="eastAsia"/>
          <w:kern w:val="0"/>
          <w:szCs w:val="32"/>
        </w:rPr>
        <w:t>年</w:t>
      </w:r>
      <w:r w:rsidR="00B42C69" w:rsidRPr="00346BDD">
        <w:rPr>
          <w:rFonts w:ascii="標楷體" w:eastAsia="標楷體" w:hAnsi="標楷體"/>
          <w:kern w:val="0"/>
          <w:szCs w:val="32"/>
        </w:rPr>
        <w:t>7月27日改制為國家科學及技術委員會，下稱國科會）</w:t>
      </w:r>
      <w:r w:rsidRPr="009D11AD">
        <w:rPr>
          <w:rFonts w:ascii="標楷體" w:eastAsia="標楷體" w:hAnsi="標楷體" w:hint="eastAsia"/>
          <w:kern w:val="0"/>
          <w:szCs w:val="32"/>
        </w:rPr>
        <w:t>、經濟部、衛生福利部、教育部、交通部、內政部及原子能委員會等7個</w:t>
      </w:r>
      <w:r w:rsidR="00B42C69" w:rsidRPr="00346BDD">
        <w:rPr>
          <w:rFonts w:ascii="標楷體" w:eastAsia="標楷體" w:hAnsi="標楷體" w:hint="eastAsia"/>
          <w:kern w:val="0"/>
          <w:szCs w:val="32"/>
        </w:rPr>
        <w:t>機關</w:t>
      </w:r>
      <w:r w:rsidRPr="009D11AD">
        <w:rPr>
          <w:rFonts w:ascii="標楷體" w:eastAsia="標楷體" w:hAnsi="標楷體" w:hint="eastAsia"/>
          <w:kern w:val="0"/>
          <w:szCs w:val="32"/>
        </w:rPr>
        <w:t>辦理之「警消微波網路系統移頻計畫」等12項計</w:t>
      </w:r>
      <w:r w:rsidRPr="009D11AD">
        <w:rPr>
          <w:rFonts w:ascii="標楷體" w:eastAsia="標楷體" w:hAnsi="標楷體" w:hint="eastAsia"/>
          <w:spacing w:val="4"/>
          <w:kern w:val="0"/>
          <w:szCs w:val="32"/>
        </w:rPr>
        <w:t>畫，因新型冠狀病毒肺炎（COVID－19）疫</w:t>
      </w:r>
      <w:r w:rsidRPr="00770817">
        <w:rPr>
          <w:rFonts w:ascii="標楷體" w:eastAsia="標楷體" w:hAnsi="標楷體" w:hint="eastAsia"/>
          <w:spacing w:val="4"/>
          <w:kern w:val="0"/>
          <w:szCs w:val="32"/>
        </w:rPr>
        <w:t>情、晶片短</w:t>
      </w:r>
      <w:r w:rsidRPr="00770817">
        <w:rPr>
          <w:rFonts w:ascii="標楷體" w:eastAsia="標楷體" w:hAnsi="標楷體" w:hint="eastAsia"/>
          <w:spacing w:val="4"/>
          <w:kern w:val="0"/>
          <w:szCs w:val="32"/>
        </w:rPr>
        <w:lastRenderedPageBreak/>
        <w:t>缺及俄烏戰爭等影響，原物料價格上升及人力短缺，致警消微波通訊系統建置案</w:t>
      </w:r>
      <w:r w:rsidRPr="009D11AD">
        <w:rPr>
          <w:rFonts w:ascii="標楷體" w:eastAsia="標楷體" w:hAnsi="標楷體" w:hint="eastAsia"/>
          <w:spacing w:val="4"/>
          <w:kern w:val="0"/>
          <w:szCs w:val="32"/>
        </w:rPr>
        <w:t>延後決標，無法於111年底釋出新頻段，另因關鍵元件延後遞交，影響太空衛星關鍵技術與元件發展；復受到總體經濟景氣不佳影響，致衛星地面設備相關產值增幅未如預期；又因鑽探用地耗時較預期長，影響地質鑽探驗證井深度，以及工程多次流標，致臺大新竹生醫園區分院第二期研究大樓完工期程展延等</w:t>
      </w:r>
      <w:r w:rsidR="007A1528">
        <w:rPr>
          <w:rFonts w:ascii="標楷體" w:eastAsia="標楷體" w:hAnsi="標楷體" w:hint="eastAsia"/>
          <w:spacing w:val="4"/>
          <w:kern w:val="0"/>
          <w:szCs w:val="32"/>
        </w:rPr>
        <w:t>情事</w:t>
      </w:r>
      <w:r w:rsidRPr="009D11AD">
        <w:rPr>
          <w:rFonts w:ascii="標楷體" w:eastAsia="標楷體" w:hAnsi="標楷體" w:hint="eastAsia"/>
          <w:spacing w:val="4"/>
          <w:kern w:val="0"/>
          <w:szCs w:val="32"/>
        </w:rPr>
        <w:t>。經函請行政院督促加強執行並研謀改善，以提升我國整體科研資源運用效能，厚植我國科研及產業發展。</w:t>
      </w:r>
      <w:r w:rsidRPr="00DA2751">
        <w:rPr>
          <w:rFonts w:ascii="標楷體" w:eastAsia="標楷體" w:hAnsi="標楷體" w:hint="eastAsia"/>
          <w:spacing w:val="4"/>
          <w:kern w:val="0"/>
          <w:szCs w:val="32"/>
        </w:rPr>
        <w:t>據復</w:t>
      </w:r>
      <w:r w:rsidRPr="00B42C69">
        <w:rPr>
          <w:rFonts w:ascii="標楷體" w:eastAsia="標楷體" w:hAnsi="標楷體" w:hint="eastAsia"/>
          <w:spacing w:val="4"/>
          <w:kern w:val="0"/>
          <w:szCs w:val="32"/>
        </w:rPr>
        <w:t>：</w:t>
      </w:r>
      <w:r w:rsidR="00B42C69" w:rsidRPr="00346BDD">
        <w:rPr>
          <w:rFonts w:ascii="標楷體" w:eastAsia="標楷體" w:hAnsi="標楷體" w:hint="eastAsia"/>
          <w:spacing w:val="4"/>
          <w:kern w:val="0"/>
          <w:szCs w:val="32"/>
        </w:rPr>
        <w:t>各主管機關將持續掌握計畫執行進度及品質，</w:t>
      </w:r>
      <w:r w:rsidR="00E37E59" w:rsidRPr="00346BDD">
        <w:rPr>
          <w:rFonts w:ascii="標楷體" w:eastAsia="標楷體" w:hAnsi="標楷體" w:hint="eastAsia"/>
          <w:spacing w:val="4"/>
          <w:kern w:val="0"/>
          <w:szCs w:val="32"/>
        </w:rPr>
        <w:t>並將</w:t>
      </w:r>
      <w:r w:rsidR="00B42C69" w:rsidRPr="00346BDD">
        <w:rPr>
          <w:rFonts w:ascii="標楷體" w:eastAsia="標楷體" w:hAnsi="標楷體" w:hint="eastAsia"/>
          <w:spacing w:val="4"/>
          <w:kern w:val="0"/>
          <w:szCs w:val="32"/>
        </w:rPr>
        <w:t>計畫評核結果納為後續計畫審議及施政評量之重要參據，另國科會將適時協助各主管機關針對執行進度落後計畫提出預警或召開溝通協調會議，以利計畫順利推動，提升整體資源運用效能。</w:t>
      </w:r>
    </w:p>
    <w:p w14:paraId="1AF06440" w14:textId="70B984FE" w:rsidR="002918AF" w:rsidRPr="00346BDD" w:rsidRDefault="002918AF" w:rsidP="0084346B">
      <w:pPr>
        <w:overflowPunct w:val="0"/>
        <w:adjustRightInd w:val="0"/>
        <w:snapToGrid w:val="0"/>
        <w:spacing w:line="430" w:lineRule="exact"/>
        <w:ind w:firstLineChars="450" w:firstLine="1081"/>
        <w:jc w:val="both"/>
        <w:rPr>
          <w:rFonts w:ascii="標楷體" w:eastAsia="標楷體" w:hAnsi="標楷體"/>
          <w:kern w:val="0"/>
          <w:szCs w:val="32"/>
        </w:rPr>
      </w:pPr>
      <w:bookmarkStart w:id="5" w:name="_Hlk105663422"/>
      <w:r w:rsidRPr="009D11AD">
        <w:rPr>
          <w:rFonts w:ascii="標楷體" w:eastAsia="標楷體" w:hAnsi="標楷體"/>
          <w:b/>
          <w:kern w:val="0"/>
          <w:szCs w:val="32"/>
        </w:rPr>
        <w:t>2</w:t>
      </w:r>
      <w:r w:rsidRPr="009D11AD">
        <w:rPr>
          <w:rFonts w:ascii="標楷體" w:eastAsia="標楷體" w:hAnsi="標楷體" w:hint="eastAsia"/>
          <w:b/>
          <w:kern w:val="0"/>
          <w:szCs w:val="32"/>
        </w:rPr>
        <w:t>.</w:t>
      </w:r>
      <w:bookmarkStart w:id="6" w:name="_Hlk105679488"/>
      <w:r w:rsidRPr="009D11AD">
        <w:rPr>
          <w:rFonts w:ascii="標楷體" w:eastAsia="標楷體" w:hAnsi="標楷體" w:hint="eastAsia"/>
          <w:b/>
          <w:color w:val="000000"/>
          <w:szCs w:val="22"/>
        </w:rPr>
        <w:t xml:space="preserve">　</w:t>
      </w:r>
      <w:bookmarkEnd w:id="5"/>
      <w:bookmarkEnd w:id="6"/>
      <w:r w:rsidRPr="00346BDD">
        <w:rPr>
          <w:rFonts w:ascii="標楷體" w:eastAsia="標楷體" w:hAnsi="標楷體" w:hint="eastAsia"/>
          <w:b/>
          <w:kern w:val="0"/>
          <w:szCs w:val="32"/>
        </w:rPr>
        <w:t>部分科技發展計畫目標與關鍵成果訂定未盡妥適：</w:t>
      </w:r>
      <w:r w:rsidRPr="00346BDD">
        <w:rPr>
          <w:rFonts w:ascii="標楷體" w:eastAsia="標楷體" w:hAnsi="標楷體" w:hint="eastAsia"/>
          <w:kern w:val="0"/>
          <w:szCs w:val="32"/>
        </w:rPr>
        <w:t>政府為有效衡量科技發展計畫執行成效，自110年度起導入績效評估工具「目標與關鍵成果（Object-Key Results, OKR）」，並由</w:t>
      </w:r>
      <w:r w:rsidR="001B4A7A" w:rsidRPr="00346BDD">
        <w:rPr>
          <w:rFonts w:ascii="標楷體" w:eastAsia="標楷體" w:hAnsi="標楷體" w:hint="eastAsia"/>
          <w:kern w:val="0"/>
          <w:szCs w:val="32"/>
        </w:rPr>
        <w:t>國科會</w:t>
      </w:r>
      <w:r w:rsidRPr="00346BDD">
        <w:rPr>
          <w:rFonts w:ascii="標楷體" w:eastAsia="標楷體" w:hAnsi="標楷體" w:hint="eastAsia"/>
          <w:kern w:val="0"/>
          <w:szCs w:val="32"/>
        </w:rPr>
        <w:t>配合修正政府科技發展計畫概算編製暨審議作業手冊（下稱審議作業手冊）。依據111年度審議作業手冊載述，請參考新興管理工具OKR之核心概念，設定計畫之年度目標與關鍵成果，其中年度目標應敘明計畫預定達成之最終結果，關鍵成果係如何衡</w:t>
      </w:r>
      <w:r w:rsidR="00F20CDA" w:rsidRPr="00346BDD">
        <w:rPr>
          <w:rFonts w:ascii="標楷體" w:eastAsia="標楷體" w:hAnsi="標楷體" w:hint="eastAsia"/>
          <w:kern w:val="0"/>
          <w:szCs w:val="32"/>
        </w:rPr>
        <w:t>量年度目標是否達成，兩者之間須有嚴謹之邏輯關係</w:t>
      </w:r>
      <w:r w:rsidRPr="00346BDD">
        <w:rPr>
          <w:rFonts w:ascii="標楷體" w:eastAsia="標楷體" w:hAnsi="標楷體" w:hint="eastAsia"/>
          <w:kern w:val="0"/>
          <w:szCs w:val="32"/>
        </w:rPr>
        <w:t>。經查111年度科技發展計畫及科技發展類前瞻基礎建設計畫共計387項，設定1,144項計畫目標，並據以訂定2,462項關鍵成果，惟各計畫之目標與關鍵成果訂定情形，經本部抽查結果，</w:t>
      </w:r>
      <w:r w:rsidR="00030E57" w:rsidRPr="00346BDD">
        <w:rPr>
          <w:rFonts w:ascii="標楷體" w:eastAsia="標楷體" w:hAnsi="標楷體" w:hint="eastAsia"/>
          <w:kern w:val="0"/>
          <w:szCs w:val="32"/>
        </w:rPr>
        <w:t>核有：（1）</w:t>
      </w:r>
      <w:r w:rsidRPr="00346BDD">
        <w:rPr>
          <w:rFonts w:ascii="標楷體" w:eastAsia="標楷體" w:hAnsi="標楷體" w:hint="eastAsia"/>
          <w:kern w:val="0"/>
          <w:szCs w:val="32"/>
        </w:rPr>
        <w:t>於計畫目標訂定方面</w:t>
      </w:r>
      <w:r w:rsidR="00B42C69" w:rsidRPr="00346BDD">
        <w:rPr>
          <w:rFonts w:ascii="標楷體" w:eastAsia="標楷體" w:hAnsi="標楷體" w:hint="eastAsia"/>
          <w:kern w:val="0"/>
          <w:szCs w:val="32"/>
        </w:rPr>
        <w:t>，</w:t>
      </w:r>
      <w:r w:rsidRPr="00346BDD">
        <w:rPr>
          <w:rFonts w:ascii="標楷體" w:eastAsia="標楷體" w:hAnsi="標楷體" w:hint="eastAsia"/>
          <w:kern w:val="0"/>
          <w:szCs w:val="32"/>
        </w:rPr>
        <w:t>計畫目標非計畫範圍內可達成，難以衡量執行成效、未設定具體可衡量之年度目標、計畫目標屬關鍵成果或績效指標，或與關鍵成果相同等；</w:t>
      </w:r>
      <w:r w:rsidR="00030E57" w:rsidRPr="00346BDD">
        <w:rPr>
          <w:rFonts w:ascii="標楷體" w:eastAsia="標楷體" w:hAnsi="標楷體" w:hint="eastAsia"/>
          <w:kern w:val="0"/>
          <w:szCs w:val="32"/>
        </w:rPr>
        <w:t>（2）</w:t>
      </w:r>
      <w:r w:rsidRPr="00346BDD">
        <w:rPr>
          <w:rFonts w:ascii="標楷體" w:eastAsia="標楷體" w:hAnsi="標楷體" w:hint="eastAsia"/>
          <w:kern w:val="0"/>
          <w:szCs w:val="32"/>
        </w:rPr>
        <w:t>於關鍵成果訂定方面，關鍵成果設定不明確，僅質化描述，未訂定具突破性或關鍵進展之量化指標、關鍵成果屬投入型及過程型，難以瞭解計畫實際效益情況、設定計畫終期之關鍵成果，難以衡量當年度計畫效益、將例行性業務直接轉換為關鍵成果，未具成果或效益意涵，與計畫目標關聯性低等情</w:t>
      </w:r>
      <w:r w:rsidR="00030E57" w:rsidRPr="00346BDD">
        <w:rPr>
          <w:rFonts w:ascii="標楷體" w:eastAsia="標楷體" w:hAnsi="標楷體" w:hint="eastAsia"/>
          <w:kern w:val="0"/>
          <w:szCs w:val="32"/>
        </w:rPr>
        <w:t>事</w:t>
      </w:r>
      <w:r w:rsidR="00B42C69" w:rsidRPr="00346BDD">
        <w:rPr>
          <w:rFonts w:ascii="標楷體" w:eastAsia="標楷體" w:hAnsi="標楷體" w:hint="eastAsia"/>
          <w:kern w:val="0"/>
          <w:szCs w:val="32"/>
        </w:rPr>
        <w:t>，</w:t>
      </w:r>
      <w:r w:rsidRPr="00346BDD">
        <w:rPr>
          <w:rFonts w:ascii="標楷體" w:eastAsia="標楷體" w:hAnsi="標楷體" w:hint="eastAsia"/>
          <w:kern w:val="0"/>
          <w:szCs w:val="32"/>
        </w:rPr>
        <w:t>經函請行政院督促強化績效管理，並落實先期評估作業，俾提升科技計畫管理效能。據復：</w:t>
      </w:r>
      <w:r w:rsidR="00B42C69" w:rsidRPr="00346BDD">
        <w:rPr>
          <w:rFonts w:ascii="標楷體" w:eastAsia="標楷體" w:hAnsi="標楷體" w:hint="eastAsia"/>
          <w:kern w:val="0"/>
          <w:szCs w:val="32"/>
        </w:rPr>
        <w:t>已責由國科會舉辦說明會加強宣導目標與關鍵成果機制重點及核心精神，並請專家學者就計畫目標與關鍵成果提供審查意見，各機關亦將加強衡量目標與關鍵成果之明確性及區分性，逐步提升計畫目標與關鍵成果撰擬品質，俾利績效衡量與管理</w:t>
      </w:r>
      <w:r w:rsidRPr="00346BDD">
        <w:rPr>
          <w:rFonts w:ascii="標楷體" w:eastAsia="標楷體" w:hAnsi="標楷體" w:hint="eastAsia"/>
          <w:kern w:val="0"/>
          <w:szCs w:val="32"/>
        </w:rPr>
        <w:t>。</w:t>
      </w:r>
    </w:p>
    <w:p w14:paraId="22E99978" w14:textId="3C0199DC" w:rsidR="00B85264" w:rsidRDefault="002918AF" w:rsidP="0084346B">
      <w:pPr>
        <w:overflowPunct w:val="0"/>
        <w:adjustRightInd w:val="0"/>
        <w:snapToGrid w:val="0"/>
        <w:spacing w:line="430" w:lineRule="exact"/>
        <w:ind w:firstLineChars="450" w:firstLine="1081"/>
        <w:jc w:val="both"/>
        <w:rPr>
          <w:rFonts w:ascii="標楷體" w:eastAsia="標楷體" w:hAnsi="標楷體"/>
          <w:bCs/>
          <w:kern w:val="0"/>
          <w:szCs w:val="32"/>
        </w:rPr>
      </w:pPr>
      <w:r w:rsidRPr="009D11AD">
        <w:rPr>
          <w:rFonts w:ascii="標楷體" w:eastAsia="標楷體" w:hAnsi="標楷體"/>
          <w:b/>
          <w:kern w:val="0"/>
          <w:szCs w:val="32"/>
        </w:rPr>
        <w:t>3</w:t>
      </w:r>
      <w:r w:rsidRPr="009D11AD">
        <w:rPr>
          <w:rFonts w:ascii="標楷體" w:eastAsia="標楷體" w:hAnsi="標楷體" w:hint="eastAsia"/>
          <w:b/>
          <w:kern w:val="0"/>
          <w:szCs w:val="32"/>
        </w:rPr>
        <w:t>.</w:t>
      </w:r>
      <w:r w:rsidRPr="009D11AD">
        <w:rPr>
          <w:rFonts w:ascii="標楷體" w:eastAsia="標楷體" w:hAnsi="標楷體" w:hint="eastAsia"/>
          <w:b/>
          <w:color w:val="000000"/>
          <w:szCs w:val="22"/>
        </w:rPr>
        <w:t xml:space="preserve">　</w:t>
      </w:r>
      <w:r w:rsidRPr="009D11AD">
        <w:rPr>
          <w:rFonts w:ascii="標楷體" w:eastAsia="標楷體" w:hAnsi="標楷體" w:hint="eastAsia"/>
          <w:b/>
          <w:kern w:val="0"/>
          <w:szCs w:val="32"/>
        </w:rPr>
        <w:t>部分機關未依規定公開計畫評核結果，或評核內容未有具體評核意見，或與實際執行情形存有落差：</w:t>
      </w:r>
      <w:r w:rsidRPr="009D11AD">
        <w:rPr>
          <w:rFonts w:ascii="標楷體" w:eastAsia="標楷體" w:hAnsi="標楷體" w:hint="eastAsia"/>
          <w:kern w:val="0"/>
          <w:szCs w:val="32"/>
        </w:rPr>
        <w:t>行政院為提升各機關個案計畫全生命週期績效管理效能，訂定行政院所屬各機關個案計畫管制評核作業要點（下稱管制評核作業要點），科技發展計畫管制評核依照上開作業要點辦理分級管制。依據管制評核作業要點第3點規定，科技發展計畫管考級別區分為行政院管制、部會管制、自行管制三級；第14點規定，各機關於年度終了時，應就列管之個案計畫分別辦理評核，部會管制計畫區分為主辦機關自評、各部會評核及評核結果公告等程序；</w:t>
      </w:r>
      <w:r w:rsidRPr="00346BDD">
        <w:rPr>
          <w:rFonts w:ascii="標楷體" w:eastAsia="標楷體" w:hAnsi="標楷體" w:hint="eastAsia"/>
          <w:kern w:val="0"/>
          <w:szCs w:val="32"/>
        </w:rPr>
        <w:lastRenderedPageBreak/>
        <w:t>自行管制計畫則由各</w:t>
      </w:r>
      <w:r w:rsidR="00FE7799" w:rsidRPr="00346BDD">
        <w:rPr>
          <w:rFonts w:ascii="標楷體" w:eastAsia="標楷體" w:hAnsi="標楷體" w:hint="eastAsia"/>
          <w:kern w:val="0"/>
          <w:szCs w:val="32"/>
        </w:rPr>
        <w:t>機關</w:t>
      </w:r>
      <w:r w:rsidRPr="00346BDD">
        <w:rPr>
          <w:rFonts w:ascii="標楷體" w:eastAsia="標楷體" w:hAnsi="標楷體" w:hint="eastAsia"/>
          <w:kern w:val="0"/>
          <w:szCs w:val="32"/>
        </w:rPr>
        <w:t>決定評核程序，並皆須於次年4月30日前完成評核結果公告；第19點規定，各機關應將作業計畫評核結果納為施政及預算編審之參考，並確實改善執行缺失。復依</w:t>
      </w:r>
      <w:r w:rsidR="001B4A7A" w:rsidRPr="00346BDD">
        <w:rPr>
          <w:rFonts w:ascii="標楷體" w:eastAsia="標楷體" w:hAnsi="標楷體" w:hint="eastAsia"/>
          <w:kern w:val="0"/>
          <w:szCs w:val="32"/>
        </w:rPr>
        <w:t>國科會</w:t>
      </w:r>
      <w:r w:rsidRPr="00346BDD">
        <w:rPr>
          <w:rFonts w:ascii="標楷體" w:eastAsia="標楷體" w:hAnsi="標楷體" w:hint="eastAsia"/>
          <w:kern w:val="0"/>
          <w:szCs w:val="32"/>
        </w:rPr>
        <w:t>110年2月23日公告之科技發展類行政院管制計畫評核作業說明第6點第2項規定：「部會管制及自行管制計畫評核結果，應由各機關上網公告，公告項目至少包括計畫名稱及評核意見等，……。」經查110年度科技發展計畫（303項）及科技發展類前瞻基礎建設計畫（66項）共計369項，分由29個機關（單位）執行，除中央研究院辦理之「中央研究院總體計畫」未列入管制評核外，屬行政院管制計畫者有13項，部會管制計畫188項，自行管制計畫167項，其中行政院管制計畫評核結果已於111年6月21日公告；至部會管制及自行管制計畫應於次年4月30日前公告評核結果，惟中央研究院、文化部、教育部等11個機關，因疏漏或簽核作業流程較晚等，未依規定於111年4月30日前公告，甚有交通部及法務部等</w:t>
      </w:r>
      <w:r w:rsidRPr="00346BDD">
        <w:rPr>
          <w:rFonts w:ascii="標楷體" w:eastAsia="標楷體" w:hAnsi="標楷體"/>
          <w:kern w:val="0"/>
          <w:szCs w:val="32"/>
        </w:rPr>
        <w:t>1</w:t>
      </w:r>
      <w:r w:rsidR="00FE7799" w:rsidRPr="00346BDD">
        <w:rPr>
          <w:rFonts w:ascii="標楷體" w:eastAsia="標楷體" w:hAnsi="標楷體"/>
          <w:kern w:val="0"/>
          <w:szCs w:val="32"/>
        </w:rPr>
        <w:t>1</w:t>
      </w:r>
      <w:r w:rsidRPr="00346BDD">
        <w:rPr>
          <w:rFonts w:ascii="標楷體" w:eastAsia="標楷體" w:hAnsi="標楷體" w:hint="eastAsia"/>
          <w:kern w:val="0"/>
          <w:szCs w:val="32"/>
        </w:rPr>
        <w:t>個機關（單位）共</w:t>
      </w:r>
      <w:r w:rsidR="00FE7799" w:rsidRPr="00346BDD">
        <w:rPr>
          <w:rFonts w:ascii="標楷體" w:eastAsia="標楷體" w:hAnsi="標楷體"/>
          <w:kern w:val="0"/>
          <w:szCs w:val="32"/>
        </w:rPr>
        <w:t>27</w:t>
      </w:r>
      <w:r w:rsidRPr="00346BDD">
        <w:rPr>
          <w:rFonts w:ascii="標楷體" w:eastAsia="標楷體" w:hAnsi="標楷體" w:hint="eastAsia"/>
          <w:kern w:val="0"/>
          <w:szCs w:val="32"/>
        </w:rPr>
        <w:t>項計畫（表1</w:t>
      </w:r>
      <w:r w:rsidR="00EE218A" w:rsidRPr="00346BDD">
        <w:rPr>
          <w:rFonts w:ascii="標楷體" w:eastAsia="標楷體" w:hAnsi="標楷體" w:hint="eastAsia"/>
          <w:kern w:val="0"/>
          <w:szCs w:val="32"/>
        </w:rPr>
        <w:t>8</w:t>
      </w:r>
      <w:r w:rsidRPr="00346BDD">
        <w:rPr>
          <w:rFonts w:ascii="標楷體" w:eastAsia="標楷體" w:hAnsi="標楷體" w:hint="eastAsia"/>
          <w:kern w:val="0"/>
          <w:szCs w:val="32"/>
        </w:rPr>
        <w:t>），未依規定公告各計畫評核結果。</w:t>
      </w:r>
      <w:r w:rsidR="00FE7799" w:rsidRPr="00346BDD">
        <w:rPr>
          <w:rFonts w:ascii="標楷體" w:eastAsia="標楷體" w:hAnsi="標楷體" w:hint="eastAsia"/>
          <w:kern w:val="0"/>
          <w:szCs w:val="32"/>
        </w:rPr>
        <w:t>另經於</w:t>
      </w:r>
      <w:r w:rsidR="00FE7799" w:rsidRPr="00346BDD">
        <w:rPr>
          <w:rFonts w:ascii="標楷體" w:eastAsia="標楷體" w:hAnsi="標楷體"/>
          <w:kern w:val="0"/>
          <w:szCs w:val="32"/>
        </w:rPr>
        <w:t>111年4月30日</w:t>
      </w:r>
      <w:r w:rsidR="00FE7799" w:rsidRPr="00346BDD">
        <w:rPr>
          <w:rFonts w:ascii="標楷體" w:eastAsia="標楷體" w:hAnsi="標楷體" w:hint="eastAsia"/>
          <w:kern w:val="0"/>
          <w:szCs w:val="32"/>
        </w:rPr>
        <w:t>檢視各機關公告之評核結果</w:t>
      </w:r>
      <w:r w:rsidRPr="00346BDD">
        <w:rPr>
          <w:rFonts w:ascii="標楷體" w:eastAsia="標楷體" w:hAnsi="標楷體" w:hint="eastAsia"/>
          <w:kern w:val="0"/>
          <w:szCs w:val="32"/>
        </w:rPr>
        <w:t>，核有：（1）教育部</w:t>
      </w:r>
      <w:r w:rsidR="00FE7799" w:rsidRPr="00346BDD">
        <w:rPr>
          <w:rFonts w:ascii="標楷體" w:eastAsia="標楷體" w:hAnsi="標楷體" w:hint="eastAsia"/>
          <w:kern w:val="0"/>
          <w:szCs w:val="32"/>
        </w:rPr>
        <w:t>、農業委員會及環境保護署</w:t>
      </w:r>
      <w:r w:rsidRPr="009D11AD">
        <w:rPr>
          <w:rFonts w:ascii="標楷體" w:eastAsia="標楷體" w:hAnsi="標楷體" w:hint="eastAsia"/>
          <w:kern w:val="0"/>
          <w:szCs w:val="32"/>
        </w:rPr>
        <w:t>僅公布評核級別（等第），未有評核意見；</w:t>
      </w:r>
      <w:r w:rsidRPr="00406DBD">
        <w:rPr>
          <w:rFonts w:ascii="標楷體" w:eastAsia="標楷體" w:hAnsi="標楷體" w:hint="eastAsia"/>
          <w:kern w:val="0"/>
          <w:szCs w:val="32"/>
        </w:rPr>
        <w:t>（</w:t>
      </w:r>
      <w:r w:rsidR="00FE7799" w:rsidRPr="00406DBD">
        <w:rPr>
          <w:rFonts w:ascii="標楷體" w:eastAsia="標楷體" w:hAnsi="標楷體"/>
          <w:kern w:val="0"/>
          <w:szCs w:val="32"/>
        </w:rPr>
        <w:t>2</w:t>
      </w:r>
      <w:r w:rsidRPr="00406DBD">
        <w:rPr>
          <w:rFonts w:ascii="標楷體" w:eastAsia="標楷體" w:hAnsi="標楷體" w:hint="eastAsia"/>
          <w:kern w:val="0"/>
          <w:szCs w:val="32"/>
        </w:rPr>
        <w:t>）中</w:t>
      </w:r>
      <w:r w:rsidRPr="009D11AD">
        <w:rPr>
          <w:rFonts w:ascii="標楷體" w:eastAsia="標楷體" w:hAnsi="標楷體" w:hint="eastAsia"/>
          <w:kern w:val="0"/>
          <w:szCs w:val="32"/>
        </w:rPr>
        <w:t>央研究院、內政部警政署、</w:t>
      </w:r>
      <w:r w:rsidR="009149DD" w:rsidRPr="009D11AD">
        <w:rPr>
          <w:rFonts w:ascii="標楷體" w:eastAsia="標楷體" w:hAnsi="標楷體"/>
          <w:noProof/>
          <w:szCs w:val="32"/>
        </w:rPr>
        <mc:AlternateContent>
          <mc:Choice Requires="wps">
            <w:drawing>
              <wp:anchor distT="45720" distB="45720" distL="114300" distR="114300" simplePos="0" relativeHeight="251653632" behindDoc="0" locked="0" layoutInCell="1" allowOverlap="1" wp14:anchorId="3C23C601" wp14:editId="67E4F741">
                <wp:simplePos x="0" y="0"/>
                <wp:positionH relativeFrom="margin">
                  <wp:posOffset>1777346</wp:posOffset>
                </wp:positionH>
                <wp:positionV relativeFrom="paragraph">
                  <wp:posOffset>4002405</wp:posOffset>
                </wp:positionV>
                <wp:extent cx="4576445" cy="3271520"/>
                <wp:effectExtent l="0" t="0" r="0" b="5080"/>
                <wp:wrapSquare wrapText="bothSides"/>
                <wp:docPr id="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6445" cy="3271520"/>
                        </a:xfrm>
                        <a:prstGeom prst="rect">
                          <a:avLst/>
                        </a:prstGeom>
                        <a:noFill/>
                        <a:ln w="9525">
                          <a:noFill/>
                          <a:miter lim="800000"/>
                          <a:headEnd/>
                          <a:tailEnd/>
                        </a:ln>
                      </wps:spPr>
                      <wps:txbx>
                        <w:txbxContent>
                          <w:tbl>
                            <w:tblPr>
                              <w:tblStyle w:val="1100"/>
                              <w:tblOverlap w:val="never"/>
                              <w:tblW w:w="4813" w:type="pct"/>
                              <w:jc w:val="center"/>
                              <w:tblLook w:val="04A0" w:firstRow="1" w:lastRow="0" w:firstColumn="1" w:lastColumn="0" w:noHBand="0" w:noVBand="1"/>
                            </w:tblPr>
                            <w:tblGrid>
                              <w:gridCol w:w="1258"/>
                              <w:gridCol w:w="5611"/>
                            </w:tblGrid>
                            <w:tr w:rsidR="00CE57F9" w:rsidRPr="00DA3FAA" w14:paraId="3D11F8FC" w14:textId="77777777" w:rsidTr="00DA2751">
                              <w:trPr>
                                <w:trHeight w:val="368"/>
                                <w:jc w:val="center"/>
                              </w:trPr>
                              <w:tc>
                                <w:tcPr>
                                  <w:tcW w:w="5000" w:type="pct"/>
                                  <w:gridSpan w:val="2"/>
                                  <w:tcBorders>
                                    <w:top w:val="nil"/>
                                    <w:left w:val="nil"/>
                                    <w:right w:val="nil"/>
                                  </w:tcBorders>
                                  <w:vAlign w:val="center"/>
                                </w:tcPr>
                                <w:p w14:paraId="2C4A6503" w14:textId="77777777" w:rsidR="00CE57F9" w:rsidRDefault="00CE57F9" w:rsidP="00525543">
                                  <w:pPr>
                                    <w:adjustRightInd w:val="0"/>
                                    <w:snapToGrid w:val="0"/>
                                    <w:ind w:leftChars="-2" w:left="764" w:rightChars="-40" w:right="-96" w:hangingChars="320" w:hanging="769"/>
                                    <w:suppressOverlap/>
                                    <w:rPr>
                                      <w:rFonts w:ascii="標楷體" w:eastAsia="標楷體" w:hAnsi="標楷體"/>
                                    </w:rPr>
                                  </w:pPr>
                                  <w:r w:rsidRPr="00D37EBA">
                                    <w:rPr>
                                      <w:rFonts w:ascii="標楷體" w:eastAsia="標楷體" w:hAnsi="標楷體" w:hint="eastAsia"/>
                                      <w:b/>
                                      <w:szCs w:val="32"/>
                                    </w:rPr>
                                    <w:t>表</w:t>
                                  </w:r>
                                  <w:r>
                                    <w:rPr>
                                      <w:rFonts w:ascii="標楷體" w:eastAsia="標楷體" w:hAnsi="標楷體"/>
                                      <w:b/>
                                      <w:szCs w:val="32"/>
                                    </w:rPr>
                                    <w:t>18</w:t>
                                  </w:r>
                                  <w:r w:rsidRPr="0012338C">
                                    <w:rPr>
                                      <w:rFonts w:ascii="標楷體" w:eastAsia="標楷體" w:hAnsi="標楷體" w:hint="eastAsia"/>
                                      <w:b/>
                                      <w:szCs w:val="32"/>
                                    </w:rPr>
                                    <w:t xml:space="preserve">　</w:t>
                                  </w:r>
                                  <w:r w:rsidRPr="00D37EBA">
                                    <w:rPr>
                                      <w:rFonts w:ascii="標楷體" w:eastAsia="標楷體" w:hAnsi="標楷體" w:hint="eastAsia"/>
                                      <w:b/>
                                      <w:szCs w:val="32"/>
                                    </w:rPr>
                                    <w:t>110年度科技發展計畫</w:t>
                                  </w:r>
                                  <w:r>
                                    <w:rPr>
                                      <w:rFonts w:ascii="標楷體" w:eastAsia="標楷體" w:hAnsi="標楷體" w:hint="eastAsia"/>
                                      <w:b/>
                                      <w:szCs w:val="32"/>
                                    </w:rPr>
                                    <w:t>及</w:t>
                                  </w:r>
                                  <w:r w:rsidRPr="00C02724">
                                    <w:rPr>
                                      <w:rFonts w:ascii="標楷體" w:eastAsia="標楷體" w:hAnsi="標楷體" w:hint="eastAsia"/>
                                      <w:b/>
                                      <w:szCs w:val="32"/>
                                    </w:rPr>
                                    <w:t>科技發展類前瞻基礎建設計畫</w:t>
                                  </w:r>
                                  <w:r w:rsidRPr="00D37EBA">
                                    <w:rPr>
                                      <w:rFonts w:ascii="標楷體" w:eastAsia="標楷體" w:hAnsi="標楷體" w:hint="eastAsia"/>
                                      <w:b/>
                                      <w:szCs w:val="32"/>
                                    </w:rPr>
                                    <w:t>評核結果</w:t>
                                  </w:r>
                                  <w:r>
                                    <w:rPr>
                                      <w:rFonts w:ascii="標楷體" w:eastAsia="標楷體" w:hAnsi="標楷體" w:hint="eastAsia"/>
                                      <w:b/>
                                      <w:szCs w:val="32"/>
                                    </w:rPr>
                                    <w:t>未如期公告或未公告之機關明細</w:t>
                                  </w:r>
                                </w:p>
                              </w:tc>
                            </w:tr>
                            <w:tr w:rsidR="00CE57F9" w:rsidRPr="00DA3FAA" w14:paraId="2F6673F1" w14:textId="77777777" w:rsidTr="00DA2751">
                              <w:trPr>
                                <w:jc w:val="center"/>
                              </w:trPr>
                              <w:tc>
                                <w:tcPr>
                                  <w:tcW w:w="916" w:type="pct"/>
                                  <w:vAlign w:val="center"/>
                                </w:tcPr>
                                <w:p w14:paraId="7589ADAA" w14:textId="77777777" w:rsidR="00CE57F9" w:rsidRPr="004D1C4E" w:rsidRDefault="00CE57F9" w:rsidP="00F72E6D">
                                  <w:pPr>
                                    <w:adjustRightInd w:val="0"/>
                                    <w:snapToGrid w:val="0"/>
                                    <w:suppressOverlap/>
                                    <w:jc w:val="center"/>
                                    <w:rPr>
                                      <w:rFonts w:ascii="標楷體" w:eastAsia="標楷體" w:hAnsi="標楷體"/>
                                      <w:sz w:val="20"/>
                                      <w:szCs w:val="20"/>
                                    </w:rPr>
                                  </w:pPr>
                                  <w:r>
                                    <w:rPr>
                                      <w:rFonts w:ascii="標楷體" w:eastAsia="標楷體" w:hAnsi="標楷體" w:hint="eastAsia"/>
                                      <w:sz w:val="20"/>
                                      <w:szCs w:val="20"/>
                                    </w:rPr>
                                    <w:t>缺失態樣</w:t>
                                  </w:r>
                                </w:p>
                              </w:tc>
                              <w:tc>
                                <w:tcPr>
                                  <w:tcW w:w="4084" w:type="pct"/>
                                  <w:vAlign w:val="center"/>
                                </w:tcPr>
                                <w:p w14:paraId="3DD855F5" w14:textId="77777777" w:rsidR="00CE57F9" w:rsidRPr="00D37EBA" w:rsidRDefault="00CE57F9" w:rsidP="00F72E6D">
                                  <w:pPr>
                                    <w:adjustRightInd w:val="0"/>
                                    <w:snapToGrid w:val="0"/>
                                    <w:suppressOverlap/>
                                    <w:jc w:val="center"/>
                                    <w:rPr>
                                      <w:rFonts w:ascii="標楷體" w:eastAsia="標楷體" w:hAnsi="標楷體"/>
                                      <w:sz w:val="20"/>
                                      <w:szCs w:val="20"/>
                                    </w:rPr>
                                  </w:pPr>
                                  <w:r>
                                    <w:rPr>
                                      <w:rFonts w:ascii="標楷體" w:eastAsia="標楷體" w:hAnsi="標楷體" w:hint="eastAsia"/>
                                      <w:sz w:val="20"/>
                                      <w:szCs w:val="20"/>
                                    </w:rPr>
                                    <w:t>機關名稱</w:t>
                                  </w:r>
                                </w:p>
                              </w:tc>
                            </w:tr>
                            <w:tr w:rsidR="00CE57F9" w:rsidRPr="000D65D1" w14:paraId="2B5CB660" w14:textId="77777777" w:rsidTr="00DA2751">
                              <w:trPr>
                                <w:jc w:val="center"/>
                              </w:trPr>
                              <w:tc>
                                <w:tcPr>
                                  <w:tcW w:w="916" w:type="pct"/>
                                  <w:vAlign w:val="center"/>
                                </w:tcPr>
                                <w:p w14:paraId="087AB986" w14:textId="77777777" w:rsidR="00CE57F9" w:rsidRDefault="00CE57F9" w:rsidP="00F72E6D">
                                  <w:pPr>
                                    <w:adjustRightInd w:val="0"/>
                                    <w:snapToGrid w:val="0"/>
                                    <w:suppressOverlap/>
                                    <w:jc w:val="center"/>
                                    <w:rPr>
                                      <w:rFonts w:ascii="標楷體" w:eastAsia="標楷體" w:hAnsi="標楷體"/>
                                      <w:sz w:val="20"/>
                                      <w:szCs w:val="20"/>
                                    </w:rPr>
                                  </w:pPr>
                                  <w:r w:rsidRPr="00391E4A">
                                    <w:rPr>
                                      <w:rFonts w:ascii="標楷體" w:eastAsia="標楷體" w:hAnsi="標楷體" w:hint="eastAsia"/>
                                      <w:sz w:val="20"/>
                                      <w:szCs w:val="20"/>
                                    </w:rPr>
                                    <w:t>評核結果</w:t>
                                  </w:r>
                                </w:p>
                                <w:p w14:paraId="672BFC67" w14:textId="77777777" w:rsidR="00CE57F9" w:rsidRPr="00D37EBA" w:rsidRDefault="00CE57F9" w:rsidP="00F72E6D">
                                  <w:pPr>
                                    <w:adjustRightInd w:val="0"/>
                                    <w:snapToGrid w:val="0"/>
                                    <w:suppressOverlap/>
                                    <w:jc w:val="center"/>
                                    <w:rPr>
                                      <w:rFonts w:ascii="標楷體" w:eastAsia="標楷體" w:hAnsi="標楷體"/>
                                      <w:sz w:val="20"/>
                                      <w:szCs w:val="20"/>
                                    </w:rPr>
                                  </w:pPr>
                                  <w:r>
                                    <w:rPr>
                                      <w:rFonts w:ascii="標楷體" w:eastAsia="標楷體" w:hAnsi="標楷體" w:hint="eastAsia"/>
                                      <w:sz w:val="20"/>
                                      <w:szCs w:val="20"/>
                                    </w:rPr>
                                    <w:t>未如期公告</w:t>
                                  </w:r>
                                </w:p>
                              </w:tc>
                              <w:tc>
                                <w:tcPr>
                                  <w:tcW w:w="4084" w:type="pct"/>
                                  <w:vAlign w:val="center"/>
                                </w:tcPr>
                                <w:p w14:paraId="1D7EFA80" w14:textId="77777777" w:rsidR="00CE57F9" w:rsidRPr="00D37EBA" w:rsidRDefault="00CE57F9" w:rsidP="00F72E6D">
                                  <w:pPr>
                                    <w:adjustRightInd w:val="0"/>
                                    <w:snapToGrid w:val="0"/>
                                    <w:suppressOverlap/>
                                    <w:jc w:val="both"/>
                                    <w:rPr>
                                      <w:rFonts w:ascii="標楷體" w:eastAsia="標楷體" w:hAnsi="標楷體"/>
                                      <w:sz w:val="20"/>
                                      <w:szCs w:val="20"/>
                                    </w:rPr>
                                  </w:pPr>
                                  <w:r w:rsidRPr="00D37EBA">
                                    <w:rPr>
                                      <w:rFonts w:ascii="標楷體" w:eastAsia="標楷體" w:hAnsi="標楷體" w:hint="eastAsia"/>
                                      <w:sz w:val="20"/>
                                      <w:szCs w:val="20"/>
                                    </w:rPr>
                                    <w:t>中央研究</w:t>
                                  </w:r>
                                  <w:r>
                                    <w:rPr>
                                      <w:rFonts w:ascii="標楷體" w:eastAsia="標楷體" w:hAnsi="標楷體" w:hint="eastAsia"/>
                                      <w:sz w:val="20"/>
                                      <w:szCs w:val="20"/>
                                    </w:rPr>
                                    <w:t>院（公告日期：</w:t>
                                  </w:r>
                                  <w:r w:rsidRPr="00D37EBA">
                                    <w:rPr>
                                      <w:rFonts w:ascii="標楷體" w:eastAsia="標楷體" w:hAnsi="標楷體" w:hint="eastAsia"/>
                                      <w:sz w:val="20"/>
                                      <w:szCs w:val="20"/>
                                    </w:rPr>
                                    <w:t>1</w:t>
                                  </w:r>
                                  <w:r w:rsidRPr="00D37EBA">
                                    <w:rPr>
                                      <w:rFonts w:ascii="標楷體" w:eastAsia="標楷體" w:hAnsi="標楷體"/>
                                      <w:sz w:val="20"/>
                                      <w:szCs w:val="20"/>
                                    </w:rPr>
                                    <w:t>12.2.18</w:t>
                                  </w:r>
                                  <w:r>
                                    <w:rPr>
                                      <w:rFonts w:ascii="標楷體" w:eastAsia="標楷體" w:hAnsi="標楷體"/>
                                      <w:sz w:val="20"/>
                                      <w:szCs w:val="20"/>
                                    </w:rPr>
                                    <w:t>）</w:t>
                                  </w:r>
                                  <w:r>
                                    <w:rPr>
                                      <w:rFonts w:ascii="標楷體" w:eastAsia="標楷體" w:hAnsi="標楷體" w:hint="eastAsia"/>
                                      <w:sz w:val="20"/>
                                      <w:szCs w:val="20"/>
                                    </w:rPr>
                                    <w:t>、</w:t>
                                  </w:r>
                                  <w:r w:rsidRPr="00D37EBA">
                                    <w:rPr>
                                      <w:rFonts w:ascii="標楷體" w:eastAsia="標楷體" w:hAnsi="標楷體" w:hint="eastAsia"/>
                                      <w:sz w:val="20"/>
                                      <w:szCs w:val="20"/>
                                    </w:rPr>
                                    <w:t>文化部</w:t>
                                  </w:r>
                                  <w:r>
                                    <w:rPr>
                                      <w:rFonts w:ascii="標楷體" w:eastAsia="標楷體" w:hAnsi="標楷體" w:hint="eastAsia"/>
                                      <w:sz w:val="20"/>
                                      <w:szCs w:val="20"/>
                                    </w:rPr>
                                    <w:t>（</w:t>
                                  </w:r>
                                  <w:r w:rsidRPr="000D65D1">
                                    <w:rPr>
                                      <w:rFonts w:ascii="標楷體" w:eastAsia="標楷體" w:hAnsi="標楷體" w:hint="eastAsia"/>
                                      <w:sz w:val="20"/>
                                      <w:szCs w:val="20"/>
                                    </w:rPr>
                                    <w:t>公告日期：</w:t>
                                  </w:r>
                                  <w:r w:rsidRPr="00D37EBA">
                                    <w:rPr>
                                      <w:rFonts w:ascii="標楷體" w:eastAsia="標楷體" w:hAnsi="標楷體" w:hint="eastAsia"/>
                                      <w:sz w:val="20"/>
                                      <w:szCs w:val="20"/>
                                    </w:rPr>
                                    <w:t>1</w:t>
                                  </w:r>
                                  <w:r w:rsidRPr="00D37EBA">
                                    <w:rPr>
                                      <w:rFonts w:ascii="標楷體" w:eastAsia="標楷體" w:hAnsi="標楷體"/>
                                      <w:sz w:val="20"/>
                                      <w:szCs w:val="20"/>
                                    </w:rPr>
                                    <w:t>11.5.11</w:t>
                                  </w:r>
                                  <w:r>
                                    <w:rPr>
                                      <w:rFonts w:ascii="標楷體" w:eastAsia="標楷體" w:hAnsi="標楷體" w:hint="eastAsia"/>
                                      <w:sz w:val="20"/>
                                      <w:szCs w:val="20"/>
                                    </w:rPr>
                                    <w:t>）、</w:t>
                                  </w:r>
                                  <w:r w:rsidRPr="00D37EBA">
                                    <w:rPr>
                                      <w:rFonts w:ascii="標楷體" w:eastAsia="標楷體" w:hAnsi="標楷體" w:hint="eastAsia"/>
                                      <w:sz w:val="20"/>
                                      <w:szCs w:val="20"/>
                                    </w:rPr>
                                    <w:t>教育部</w:t>
                                  </w:r>
                                  <w:r>
                                    <w:rPr>
                                      <w:rFonts w:ascii="標楷體" w:eastAsia="標楷體" w:hAnsi="標楷體" w:hint="eastAsia"/>
                                      <w:sz w:val="20"/>
                                      <w:szCs w:val="20"/>
                                    </w:rPr>
                                    <w:t>（</w:t>
                                  </w:r>
                                  <w:r w:rsidRPr="000D65D1">
                                    <w:rPr>
                                      <w:rFonts w:ascii="標楷體" w:eastAsia="標楷體" w:hAnsi="標楷體" w:hint="eastAsia"/>
                                      <w:sz w:val="20"/>
                                      <w:szCs w:val="20"/>
                                    </w:rPr>
                                    <w:t>公告日期：</w:t>
                                  </w:r>
                                  <w:r w:rsidRPr="00D37EBA">
                                    <w:rPr>
                                      <w:rFonts w:ascii="標楷體" w:eastAsia="標楷體" w:hAnsi="標楷體" w:hint="eastAsia"/>
                                      <w:sz w:val="20"/>
                                      <w:szCs w:val="20"/>
                                    </w:rPr>
                                    <w:t>1</w:t>
                                  </w:r>
                                  <w:r w:rsidRPr="00D37EBA">
                                    <w:rPr>
                                      <w:rFonts w:ascii="標楷體" w:eastAsia="標楷體" w:hAnsi="標楷體"/>
                                      <w:sz w:val="20"/>
                                      <w:szCs w:val="20"/>
                                    </w:rPr>
                                    <w:t>11.5.20</w:t>
                                  </w:r>
                                  <w:r>
                                    <w:rPr>
                                      <w:rFonts w:ascii="標楷體" w:eastAsia="標楷體" w:hAnsi="標楷體" w:hint="eastAsia"/>
                                      <w:sz w:val="20"/>
                                      <w:szCs w:val="20"/>
                                    </w:rPr>
                                    <w:t>）、</w:t>
                                  </w:r>
                                  <w:r w:rsidRPr="000D65D1">
                                    <w:rPr>
                                      <w:rFonts w:ascii="標楷體" w:eastAsia="標楷體" w:hAnsi="標楷體" w:hint="eastAsia"/>
                                      <w:sz w:val="20"/>
                                      <w:szCs w:val="20"/>
                                    </w:rPr>
                                    <w:t>國立故宮博物院</w:t>
                                  </w:r>
                                  <w:r>
                                    <w:rPr>
                                      <w:rFonts w:ascii="標楷體" w:eastAsia="標楷體" w:hAnsi="標楷體" w:hint="eastAsia"/>
                                      <w:sz w:val="20"/>
                                      <w:szCs w:val="20"/>
                                    </w:rPr>
                                    <w:t>（</w:t>
                                  </w:r>
                                  <w:r w:rsidRPr="000D65D1">
                                    <w:rPr>
                                      <w:rFonts w:ascii="標楷體" w:eastAsia="標楷體" w:hAnsi="標楷體" w:hint="eastAsia"/>
                                      <w:sz w:val="20"/>
                                      <w:szCs w:val="20"/>
                                    </w:rPr>
                                    <w:t>公告日期：</w:t>
                                  </w:r>
                                  <w:r w:rsidRPr="000D65D1">
                                    <w:rPr>
                                      <w:rFonts w:ascii="標楷體" w:eastAsia="標楷體" w:hAnsi="標楷體"/>
                                      <w:sz w:val="20"/>
                                      <w:szCs w:val="20"/>
                                    </w:rPr>
                                    <w:t>111.7.8</w:t>
                                  </w:r>
                                  <w:r>
                                    <w:rPr>
                                      <w:rFonts w:ascii="標楷體" w:eastAsia="標楷體" w:hAnsi="標楷體" w:hint="eastAsia"/>
                                      <w:sz w:val="20"/>
                                      <w:szCs w:val="20"/>
                                    </w:rPr>
                                    <w:t>）、</w:t>
                                  </w:r>
                                  <w:r w:rsidRPr="000D65D1">
                                    <w:rPr>
                                      <w:rFonts w:ascii="標楷體" w:eastAsia="標楷體" w:hAnsi="標楷體" w:hint="eastAsia"/>
                                      <w:sz w:val="20"/>
                                      <w:szCs w:val="20"/>
                                    </w:rPr>
                                    <w:t>原住民族委員會</w:t>
                                  </w:r>
                                  <w:r>
                                    <w:rPr>
                                      <w:rFonts w:ascii="標楷體" w:eastAsia="標楷體" w:hAnsi="標楷體" w:hint="eastAsia"/>
                                      <w:sz w:val="20"/>
                                      <w:szCs w:val="20"/>
                                    </w:rPr>
                                    <w:t>（</w:t>
                                  </w:r>
                                  <w:r w:rsidRPr="000D65D1">
                                    <w:rPr>
                                      <w:rFonts w:ascii="標楷體" w:eastAsia="標楷體" w:hAnsi="標楷體" w:hint="eastAsia"/>
                                      <w:sz w:val="20"/>
                                      <w:szCs w:val="20"/>
                                    </w:rPr>
                                    <w:t>公告日期：</w:t>
                                  </w:r>
                                  <w:r w:rsidRPr="000D65D1">
                                    <w:rPr>
                                      <w:rFonts w:ascii="標楷體" w:eastAsia="標楷體" w:hAnsi="標楷體"/>
                                      <w:sz w:val="20"/>
                                      <w:szCs w:val="20"/>
                                    </w:rPr>
                                    <w:t>111.5.3</w:t>
                                  </w:r>
                                  <w:r>
                                    <w:rPr>
                                      <w:rFonts w:ascii="標楷體" w:eastAsia="標楷體" w:hAnsi="標楷體" w:hint="eastAsia"/>
                                      <w:sz w:val="20"/>
                                      <w:szCs w:val="20"/>
                                    </w:rPr>
                                    <w:t>）、</w:t>
                                  </w:r>
                                  <w:r w:rsidRPr="000D65D1">
                                    <w:rPr>
                                      <w:rFonts w:ascii="標楷體" w:eastAsia="標楷體" w:hAnsi="標楷體" w:hint="eastAsia"/>
                                      <w:sz w:val="20"/>
                                      <w:szCs w:val="20"/>
                                    </w:rPr>
                                    <w:t>原子能委員會</w:t>
                                  </w:r>
                                  <w:r>
                                    <w:rPr>
                                      <w:rFonts w:ascii="標楷體" w:eastAsia="標楷體" w:hAnsi="標楷體" w:hint="eastAsia"/>
                                      <w:sz w:val="20"/>
                                      <w:szCs w:val="20"/>
                                    </w:rPr>
                                    <w:t>（</w:t>
                                  </w:r>
                                  <w:r w:rsidRPr="000D65D1">
                                    <w:rPr>
                                      <w:rFonts w:ascii="標楷體" w:eastAsia="標楷體" w:hAnsi="標楷體" w:hint="eastAsia"/>
                                      <w:sz w:val="20"/>
                                      <w:szCs w:val="20"/>
                                    </w:rPr>
                                    <w:t>公告日期：</w:t>
                                  </w:r>
                                  <w:r w:rsidRPr="000D65D1">
                                    <w:rPr>
                                      <w:rFonts w:ascii="標楷體" w:eastAsia="標楷體" w:hAnsi="標楷體"/>
                                      <w:sz w:val="20"/>
                                      <w:szCs w:val="20"/>
                                    </w:rPr>
                                    <w:t>111.5.3</w:t>
                                  </w:r>
                                  <w:r>
                                    <w:rPr>
                                      <w:rFonts w:ascii="標楷體" w:eastAsia="標楷體" w:hAnsi="標楷體" w:hint="eastAsia"/>
                                      <w:sz w:val="20"/>
                                      <w:szCs w:val="20"/>
                                    </w:rPr>
                                    <w:t>）、</w:t>
                                  </w:r>
                                  <w:r w:rsidRPr="000D65D1">
                                    <w:rPr>
                                      <w:rFonts w:ascii="標楷體" w:eastAsia="標楷體" w:hAnsi="標楷體" w:hint="eastAsia"/>
                                      <w:sz w:val="20"/>
                                      <w:szCs w:val="20"/>
                                    </w:rPr>
                                    <w:t>原子能委員會放射性物料管理局</w:t>
                                  </w:r>
                                  <w:r>
                                    <w:rPr>
                                      <w:rFonts w:ascii="標楷體" w:eastAsia="標楷體" w:hAnsi="標楷體" w:hint="eastAsia"/>
                                      <w:sz w:val="20"/>
                                      <w:szCs w:val="20"/>
                                    </w:rPr>
                                    <w:t>（</w:t>
                                  </w:r>
                                  <w:r w:rsidRPr="000D65D1">
                                    <w:rPr>
                                      <w:rFonts w:ascii="標楷體" w:eastAsia="標楷體" w:hAnsi="標楷體" w:hint="eastAsia"/>
                                      <w:sz w:val="20"/>
                                      <w:szCs w:val="20"/>
                                    </w:rPr>
                                    <w:t>公告日期：111.5.3</w:t>
                                  </w:r>
                                  <w:r>
                                    <w:rPr>
                                      <w:rFonts w:ascii="標楷體" w:eastAsia="標楷體" w:hAnsi="標楷體" w:hint="eastAsia"/>
                                      <w:sz w:val="20"/>
                                      <w:szCs w:val="20"/>
                                    </w:rPr>
                                    <w:t>）、</w:t>
                                  </w:r>
                                  <w:r w:rsidRPr="000D65D1">
                                    <w:rPr>
                                      <w:rFonts w:ascii="標楷體" w:eastAsia="標楷體" w:hAnsi="標楷體" w:hint="eastAsia"/>
                                      <w:sz w:val="20"/>
                                      <w:szCs w:val="20"/>
                                    </w:rPr>
                                    <w:t>內政部警政署</w:t>
                                  </w:r>
                                  <w:r>
                                    <w:rPr>
                                      <w:rFonts w:ascii="標楷體" w:eastAsia="標楷體" w:hAnsi="標楷體" w:hint="eastAsia"/>
                                      <w:sz w:val="20"/>
                                      <w:szCs w:val="20"/>
                                    </w:rPr>
                                    <w:t>（</w:t>
                                  </w:r>
                                  <w:r w:rsidRPr="000D65D1">
                                    <w:rPr>
                                      <w:rFonts w:ascii="標楷體" w:eastAsia="標楷體" w:hAnsi="標楷體" w:hint="eastAsia"/>
                                      <w:sz w:val="20"/>
                                      <w:szCs w:val="20"/>
                                    </w:rPr>
                                    <w:t>公告日期：</w:t>
                                  </w:r>
                                  <w:r w:rsidRPr="000D65D1">
                                    <w:rPr>
                                      <w:rFonts w:ascii="標楷體" w:eastAsia="標楷體" w:hAnsi="標楷體"/>
                                      <w:sz w:val="20"/>
                                      <w:szCs w:val="20"/>
                                    </w:rPr>
                                    <w:t>111.7.5</w:t>
                                  </w:r>
                                  <w:r>
                                    <w:rPr>
                                      <w:rFonts w:ascii="標楷體" w:eastAsia="標楷體" w:hAnsi="標楷體" w:hint="eastAsia"/>
                                      <w:sz w:val="20"/>
                                      <w:szCs w:val="20"/>
                                    </w:rPr>
                                    <w:t>）、</w:t>
                                  </w:r>
                                  <w:r w:rsidRPr="00D37EBA">
                                    <w:rPr>
                                      <w:rFonts w:ascii="標楷體" w:eastAsia="標楷體" w:hAnsi="標楷體" w:hint="eastAsia"/>
                                      <w:sz w:val="20"/>
                                      <w:szCs w:val="20"/>
                                    </w:rPr>
                                    <w:t>內政部</w:t>
                                  </w:r>
                                  <w:r w:rsidRPr="00D37EBA">
                                    <w:rPr>
                                      <w:rFonts w:ascii="標楷體" w:eastAsia="標楷體" w:hAnsi="標楷體"/>
                                      <w:sz w:val="20"/>
                                      <w:szCs w:val="20"/>
                                    </w:rPr>
                                    <w:t>營建署</w:t>
                                  </w:r>
                                  <w:r>
                                    <w:rPr>
                                      <w:rFonts w:ascii="標楷體" w:eastAsia="標楷體" w:hAnsi="標楷體" w:hint="eastAsia"/>
                                      <w:sz w:val="20"/>
                                      <w:szCs w:val="20"/>
                                    </w:rPr>
                                    <w:t>（</w:t>
                                  </w:r>
                                  <w:r w:rsidRPr="000D65D1">
                                    <w:rPr>
                                      <w:rFonts w:ascii="標楷體" w:eastAsia="標楷體" w:hAnsi="標楷體" w:hint="eastAsia"/>
                                      <w:sz w:val="20"/>
                                      <w:szCs w:val="20"/>
                                    </w:rPr>
                                    <w:t>公告日期：</w:t>
                                  </w:r>
                                  <w:r w:rsidRPr="000D65D1">
                                    <w:rPr>
                                      <w:rFonts w:ascii="標楷體" w:eastAsia="標楷體" w:hAnsi="標楷體"/>
                                      <w:sz w:val="20"/>
                                      <w:szCs w:val="20"/>
                                    </w:rPr>
                                    <w:t>111.8.3</w:t>
                                  </w:r>
                                  <w:r>
                                    <w:rPr>
                                      <w:rFonts w:ascii="標楷體" w:eastAsia="標楷體" w:hAnsi="標楷體" w:hint="eastAsia"/>
                                      <w:sz w:val="20"/>
                                      <w:szCs w:val="20"/>
                                    </w:rPr>
                                    <w:t>）、</w:t>
                                  </w:r>
                                  <w:r w:rsidRPr="00D37EBA">
                                    <w:rPr>
                                      <w:rFonts w:ascii="標楷體" w:eastAsia="標楷體" w:hAnsi="標楷體" w:hint="eastAsia"/>
                                      <w:sz w:val="20"/>
                                      <w:szCs w:val="20"/>
                                    </w:rPr>
                                    <w:t>內政部</w:t>
                                  </w:r>
                                  <w:r w:rsidRPr="00D37EBA">
                                    <w:rPr>
                                      <w:rFonts w:ascii="標楷體" w:eastAsia="標楷體" w:hAnsi="標楷體"/>
                                      <w:sz w:val="20"/>
                                      <w:szCs w:val="20"/>
                                    </w:rPr>
                                    <w:t>建</w:t>
                                  </w:r>
                                  <w:r w:rsidRPr="00D37EBA">
                                    <w:rPr>
                                      <w:rFonts w:ascii="標楷體" w:eastAsia="標楷體" w:hAnsi="標楷體" w:hint="eastAsia"/>
                                      <w:sz w:val="20"/>
                                      <w:szCs w:val="20"/>
                                    </w:rPr>
                                    <w:t>築</w:t>
                                  </w:r>
                                  <w:r w:rsidRPr="00D37EBA">
                                    <w:rPr>
                                      <w:rFonts w:ascii="標楷體" w:eastAsia="標楷體" w:hAnsi="標楷體"/>
                                      <w:sz w:val="20"/>
                                      <w:szCs w:val="20"/>
                                    </w:rPr>
                                    <w:t>研</w:t>
                                  </w:r>
                                  <w:r w:rsidRPr="00D37EBA">
                                    <w:rPr>
                                      <w:rFonts w:ascii="標楷體" w:eastAsia="標楷體" w:hAnsi="標楷體" w:hint="eastAsia"/>
                                      <w:sz w:val="20"/>
                                      <w:szCs w:val="20"/>
                                    </w:rPr>
                                    <w:t>究</w:t>
                                  </w:r>
                                  <w:r w:rsidRPr="00D37EBA">
                                    <w:rPr>
                                      <w:rFonts w:ascii="標楷體" w:eastAsia="標楷體" w:hAnsi="標楷體"/>
                                      <w:sz w:val="20"/>
                                      <w:szCs w:val="20"/>
                                    </w:rPr>
                                    <w:t>所</w:t>
                                  </w:r>
                                  <w:r>
                                    <w:rPr>
                                      <w:rFonts w:ascii="標楷體" w:eastAsia="標楷體" w:hAnsi="標楷體" w:hint="eastAsia"/>
                                      <w:sz w:val="20"/>
                                      <w:szCs w:val="20"/>
                                    </w:rPr>
                                    <w:t>（</w:t>
                                  </w:r>
                                  <w:r w:rsidRPr="000D65D1">
                                    <w:rPr>
                                      <w:rFonts w:ascii="標楷體" w:eastAsia="標楷體" w:hAnsi="標楷體" w:hint="eastAsia"/>
                                      <w:sz w:val="20"/>
                                      <w:szCs w:val="20"/>
                                    </w:rPr>
                                    <w:t>公告日期：</w:t>
                                  </w:r>
                                  <w:r w:rsidRPr="000D65D1">
                                    <w:rPr>
                                      <w:rFonts w:ascii="標楷體" w:eastAsia="標楷體" w:hAnsi="標楷體"/>
                                      <w:sz w:val="20"/>
                                      <w:szCs w:val="20"/>
                                    </w:rPr>
                                    <w:t>111.7.8</w:t>
                                  </w:r>
                                  <w:r>
                                    <w:rPr>
                                      <w:rFonts w:ascii="標楷體" w:eastAsia="標楷體" w:hAnsi="標楷體" w:hint="eastAsia"/>
                                      <w:sz w:val="20"/>
                                      <w:szCs w:val="20"/>
                                    </w:rPr>
                                    <w:t>）、</w:t>
                                  </w:r>
                                  <w:r w:rsidRPr="000D65D1">
                                    <w:rPr>
                                      <w:rFonts w:ascii="標楷體" w:eastAsia="標楷體" w:hAnsi="標楷體" w:hint="eastAsia"/>
                                      <w:sz w:val="20"/>
                                      <w:szCs w:val="20"/>
                                    </w:rPr>
                                    <w:t>內政部國土測繪中心</w:t>
                                  </w:r>
                                  <w:r>
                                    <w:rPr>
                                      <w:rFonts w:ascii="標楷體" w:eastAsia="標楷體" w:hAnsi="標楷體" w:hint="eastAsia"/>
                                      <w:sz w:val="20"/>
                                      <w:szCs w:val="20"/>
                                    </w:rPr>
                                    <w:t>（</w:t>
                                  </w:r>
                                  <w:r w:rsidRPr="000D65D1">
                                    <w:rPr>
                                      <w:rFonts w:ascii="標楷體" w:eastAsia="標楷體" w:hAnsi="標楷體" w:hint="eastAsia"/>
                                      <w:sz w:val="20"/>
                                      <w:szCs w:val="20"/>
                                    </w:rPr>
                                    <w:t>公告日期：</w:t>
                                  </w:r>
                                  <w:r w:rsidRPr="000D65D1">
                                    <w:rPr>
                                      <w:rFonts w:ascii="標楷體" w:eastAsia="標楷體" w:hAnsi="標楷體"/>
                                      <w:sz w:val="20"/>
                                      <w:szCs w:val="20"/>
                                    </w:rPr>
                                    <w:t>111.7.7</w:t>
                                  </w:r>
                                  <w:r>
                                    <w:rPr>
                                      <w:rFonts w:ascii="標楷體" w:eastAsia="標楷體" w:hAnsi="標楷體" w:hint="eastAsia"/>
                                      <w:sz w:val="20"/>
                                      <w:szCs w:val="20"/>
                                    </w:rPr>
                                    <w:t>）</w:t>
                                  </w:r>
                                </w:p>
                              </w:tc>
                            </w:tr>
                            <w:tr w:rsidR="00CE57F9" w:rsidRPr="000D65D1" w14:paraId="13C7BF9C" w14:textId="77777777" w:rsidTr="00DA2751">
                              <w:trPr>
                                <w:jc w:val="center"/>
                              </w:trPr>
                              <w:tc>
                                <w:tcPr>
                                  <w:tcW w:w="916" w:type="pct"/>
                                  <w:vAlign w:val="center"/>
                                </w:tcPr>
                                <w:p w14:paraId="1ECD4B5B" w14:textId="77777777" w:rsidR="00CE57F9" w:rsidRDefault="00CE57F9" w:rsidP="00F72E6D">
                                  <w:pPr>
                                    <w:adjustRightInd w:val="0"/>
                                    <w:snapToGrid w:val="0"/>
                                    <w:suppressOverlap/>
                                    <w:jc w:val="center"/>
                                    <w:rPr>
                                      <w:rFonts w:ascii="標楷體" w:eastAsia="標楷體" w:hAnsi="標楷體"/>
                                      <w:sz w:val="20"/>
                                      <w:szCs w:val="20"/>
                                    </w:rPr>
                                  </w:pPr>
                                  <w:r>
                                    <w:rPr>
                                      <w:rFonts w:ascii="標楷體" w:eastAsia="標楷體" w:hAnsi="標楷體" w:hint="eastAsia"/>
                                      <w:sz w:val="20"/>
                                      <w:szCs w:val="20"/>
                                    </w:rPr>
                                    <w:t>評核結果</w:t>
                                  </w:r>
                                </w:p>
                                <w:p w14:paraId="44D0AAAA" w14:textId="77777777" w:rsidR="00CE57F9" w:rsidRDefault="00CE57F9" w:rsidP="00F72E6D">
                                  <w:pPr>
                                    <w:adjustRightInd w:val="0"/>
                                    <w:snapToGrid w:val="0"/>
                                    <w:suppressOverlap/>
                                    <w:jc w:val="center"/>
                                    <w:rPr>
                                      <w:rFonts w:ascii="標楷體" w:eastAsia="標楷體" w:hAnsi="標楷體"/>
                                      <w:sz w:val="20"/>
                                      <w:szCs w:val="20"/>
                                    </w:rPr>
                                  </w:pPr>
                                  <w:r>
                                    <w:rPr>
                                      <w:rFonts w:ascii="標楷體" w:eastAsia="標楷體" w:hAnsi="標楷體" w:hint="eastAsia"/>
                                      <w:sz w:val="20"/>
                                      <w:szCs w:val="20"/>
                                    </w:rPr>
                                    <w:t>未公告</w:t>
                                  </w:r>
                                </w:p>
                              </w:tc>
                              <w:tc>
                                <w:tcPr>
                                  <w:tcW w:w="4084" w:type="pct"/>
                                  <w:vAlign w:val="center"/>
                                </w:tcPr>
                                <w:p w14:paraId="143015F9" w14:textId="5275BB0E" w:rsidR="00CE57F9" w:rsidRPr="00D37EBA" w:rsidRDefault="00CE57F9" w:rsidP="002C56EB">
                                  <w:pPr>
                                    <w:adjustRightInd w:val="0"/>
                                    <w:snapToGrid w:val="0"/>
                                    <w:suppressOverlap/>
                                    <w:jc w:val="both"/>
                                    <w:rPr>
                                      <w:rFonts w:ascii="標楷體" w:eastAsia="標楷體" w:hAnsi="標楷體"/>
                                      <w:sz w:val="20"/>
                                      <w:szCs w:val="20"/>
                                    </w:rPr>
                                  </w:pPr>
                                  <w:r w:rsidRPr="004D1C4E">
                                    <w:rPr>
                                      <w:rFonts w:ascii="標楷體" w:eastAsia="標楷體" w:hAnsi="標楷體" w:hint="eastAsia"/>
                                      <w:sz w:val="20"/>
                                      <w:szCs w:val="20"/>
                                    </w:rPr>
                                    <w:t>行政院科技會報辦公室</w:t>
                                  </w:r>
                                  <w:r w:rsidR="002C56EB">
                                    <w:rPr>
                                      <w:rFonts w:ascii="標楷體" w:eastAsia="標楷體" w:hAnsi="標楷體" w:hint="eastAsia"/>
                                      <w:sz w:val="20"/>
                                      <w:szCs w:val="20"/>
                                    </w:rPr>
                                    <w:t>（</w:t>
                                  </w:r>
                                  <w:r w:rsidR="002C56EB">
                                    <w:rPr>
                                      <w:rFonts w:ascii="標楷體" w:eastAsia="標楷體" w:hAnsi="標楷體"/>
                                      <w:sz w:val="20"/>
                                      <w:szCs w:val="20"/>
                                    </w:rPr>
                                    <w:t>1</w:t>
                                  </w:r>
                                  <w:r w:rsidR="002C56EB">
                                    <w:rPr>
                                      <w:rFonts w:ascii="標楷體" w:eastAsia="標楷體" w:hAnsi="標楷體" w:hint="eastAsia"/>
                                      <w:sz w:val="20"/>
                                      <w:szCs w:val="20"/>
                                    </w:rPr>
                                    <w:t>項）</w:t>
                                  </w:r>
                                  <w:r>
                                    <w:rPr>
                                      <w:rFonts w:ascii="標楷體" w:eastAsia="標楷體" w:hAnsi="標楷體" w:hint="eastAsia"/>
                                      <w:sz w:val="20"/>
                                      <w:szCs w:val="20"/>
                                    </w:rPr>
                                    <w:t>（註</w:t>
                                  </w:r>
                                  <w:r w:rsidRPr="00391E4A">
                                    <w:rPr>
                                      <w:rFonts w:ascii="標楷體" w:eastAsia="標楷體" w:hAnsi="標楷體" w:hint="eastAsia"/>
                                      <w:sz w:val="20"/>
                                      <w:szCs w:val="20"/>
                                    </w:rPr>
                                    <w:t>1</w:t>
                                  </w:r>
                                  <w:r>
                                    <w:rPr>
                                      <w:rFonts w:ascii="標楷體" w:eastAsia="標楷體" w:hAnsi="標楷體" w:hint="eastAsia"/>
                                      <w:sz w:val="20"/>
                                      <w:szCs w:val="20"/>
                                    </w:rPr>
                                    <w:t>）、</w:t>
                                  </w:r>
                                  <w:r w:rsidRPr="004D1C4E">
                                    <w:rPr>
                                      <w:rFonts w:ascii="標楷體" w:eastAsia="標楷體" w:hAnsi="標楷體" w:hint="eastAsia"/>
                                      <w:sz w:val="20"/>
                                      <w:szCs w:val="20"/>
                                    </w:rPr>
                                    <w:t>中央研究院</w:t>
                                  </w:r>
                                  <w:r>
                                    <w:rPr>
                                      <w:rFonts w:ascii="標楷體" w:eastAsia="標楷體" w:hAnsi="標楷體" w:hint="eastAsia"/>
                                      <w:sz w:val="20"/>
                                      <w:szCs w:val="20"/>
                                    </w:rPr>
                                    <w:t>（1項）（</w:t>
                                  </w:r>
                                  <w:r w:rsidRPr="00391E4A">
                                    <w:rPr>
                                      <w:rFonts w:ascii="標楷體" w:eastAsia="標楷體" w:hAnsi="標楷體" w:hint="eastAsia"/>
                                      <w:sz w:val="20"/>
                                      <w:szCs w:val="20"/>
                                    </w:rPr>
                                    <w:t>註</w:t>
                                  </w:r>
                                  <w:r>
                                    <w:rPr>
                                      <w:rFonts w:ascii="標楷體" w:eastAsia="標楷體" w:hAnsi="標楷體" w:hint="eastAsia"/>
                                      <w:sz w:val="20"/>
                                      <w:szCs w:val="20"/>
                                    </w:rPr>
                                    <w:t>2）、</w:t>
                                  </w:r>
                                  <w:r w:rsidRPr="004D1C4E">
                                    <w:rPr>
                                      <w:rFonts w:ascii="標楷體" w:eastAsia="標楷體" w:hAnsi="標楷體" w:hint="eastAsia"/>
                                      <w:sz w:val="20"/>
                                      <w:szCs w:val="20"/>
                                    </w:rPr>
                                    <w:t>行政院國家科學技術發展基金</w:t>
                                  </w:r>
                                  <w:r>
                                    <w:rPr>
                                      <w:rFonts w:ascii="標楷體" w:eastAsia="標楷體" w:hAnsi="標楷體" w:hint="eastAsia"/>
                                      <w:sz w:val="20"/>
                                      <w:szCs w:val="20"/>
                                    </w:rPr>
                                    <w:t>（</w:t>
                                  </w:r>
                                  <w:r>
                                    <w:rPr>
                                      <w:rFonts w:ascii="標楷體" w:eastAsia="標楷體" w:hAnsi="標楷體"/>
                                      <w:sz w:val="20"/>
                                      <w:szCs w:val="20"/>
                                    </w:rPr>
                                    <w:t>1</w:t>
                                  </w:r>
                                  <w:r w:rsidRPr="004D1C4E">
                                    <w:rPr>
                                      <w:rFonts w:ascii="標楷體" w:eastAsia="標楷體" w:hAnsi="標楷體" w:hint="eastAsia"/>
                                      <w:sz w:val="20"/>
                                      <w:szCs w:val="20"/>
                                    </w:rPr>
                                    <w:t>項</w:t>
                                  </w:r>
                                  <w:r>
                                    <w:rPr>
                                      <w:rFonts w:ascii="標楷體" w:eastAsia="標楷體" w:hAnsi="標楷體" w:hint="eastAsia"/>
                                      <w:sz w:val="20"/>
                                      <w:szCs w:val="20"/>
                                    </w:rPr>
                                    <w:t>）、</w:t>
                                  </w:r>
                                  <w:r w:rsidRPr="004D1C4E">
                                    <w:rPr>
                                      <w:rFonts w:ascii="標楷體" w:eastAsia="標楷體" w:hAnsi="標楷體" w:hint="eastAsia"/>
                                      <w:sz w:val="20"/>
                                      <w:szCs w:val="20"/>
                                    </w:rPr>
                                    <w:t>交通部</w:t>
                                  </w:r>
                                  <w:r>
                                    <w:rPr>
                                      <w:rFonts w:ascii="標楷體" w:eastAsia="標楷體" w:hAnsi="標楷體" w:hint="eastAsia"/>
                                      <w:sz w:val="20"/>
                                      <w:szCs w:val="20"/>
                                    </w:rPr>
                                    <w:t>（</w:t>
                                  </w:r>
                                  <w:r>
                                    <w:rPr>
                                      <w:rFonts w:ascii="標楷體" w:eastAsia="標楷體" w:hAnsi="標楷體"/>
                                      <w:sz w:val="20"/>
                                      <w:szCs w:val="20"/>
                                    </w:rPr>
                                    <w:t>2</w:t>
                                  </w:r>
                                  <w:r w:rsidRPr="004D1C4E">
                                    <w:rPr>
                                      <w:rFonts w:ascii="標楷體" w:eastAsia="標楷體" w:hAnsi="標楷體" w:hint="eastAsia"/>
                                      <w:sz w:val="20"/>
                                      <w:szCs w:val="20"/>
                                    </w:rPr>
                                    <w:t>項</w:t>
                                  </w:r>
                                  <w:r>
                                    <w:rPr>
                                      <w:rFonts w:ascii="標楷體" w:eastAsia="標楷體" w:hAnsi="標楷體" w:hint="eastAsia"/>
                                      <w:sz w:val="20"/>
                                      <w:szCs w:val="20"/>
                                    </w:rPr>
                                    <w:t>）、</w:t>
                                  </w:r>
                                  <w:r w:rsidRPr="004D1C4E">
                                    <w:rPr>
                                      <w:rFonts w:ascii="標楷體" w:eastAsia="標楷體" w:hAnsi="標楷體" w:hint="eastAsia"/>
                                      <w:sz w:val="20"/>
                                      <w:szCs w:val="20"/>
                                    </w:rPr>
                                    <w:t>交通部中央氣象局</w:t>
                                  </w:r>
                                  <w:r>
                                    <w:rPr>
                                      <w:rFonts w:ascii="標楷體" w:eastAsia="標楷體" w:hAnsi="標楷體" w:hint="eastAsia"/>
                                      <w:sz w:val="20"/>
                                      <w:szCs w:val="20"/>
                                    </w:rPr>
                                    <w:t>（</w:t>
                                  </w:r>
                                  <w:r>
                                    <w:rPr>
                                      <w:rFonts w:ascii="標楷體" w:eastAsia="標楷體" w:hAnsi="標楷體"/>
                                      <w:sz w:val="20"/>
                                      <w:szCs w:val="20"/>
                                    </w:rPr>
                                    <w:t>7</w:t>
                                  </w:r>
                                  <w:r w:rsidRPr="004D1C4E">
                                    <w:rPr>
                                      <w:rFonts w:ascii="標楷體" w:eastAsia="標楷體" w:hAnsi="標楷體" w:hint="eastAsia"/>
                                      <w:sz w:val="20"/>
                                      <w:szCs w:val="20"/>
                                    </w:rPr>
                                    <w:t>項</w:t>
                                  </w:r>
                                  <w:r>
                                    <w:rPr>
                                      <w:rFonts w:ascii="標楷體" w:eastAsia="標楷體" w:hAnsi="標楷體" w:hint="eastAsia"/>
                                      <w:sz w:val="20"/>
                                      <w:szCs w:val="20"/>
                                    </w:rPr>
                                    <w:t>）、</w:t>
                                  </w:r>
                                  <w:r w:rsidRPr="00346BDD">
                                    <w:rPr>
                                      <w:rFonts w:ascii="標楷體" w:eastAsia="標楷體" w:hAnsi="標楷體" w:hint="eastAsia"/>
                                      <w:sz w:val="20"/>
                                      <w:szCs w:val="20"/>
                                    </w:rPr>
                                    <w:t>行政院（2項）、法務部（</w:t>
                                  </w:r>
                                  <w:r w:rsidRPr="00346BDD">
                                    <w:rPr>
                                      <w:rFonts w:ascii="標楷體" w:eastAsia="標楷體" w:hAnsi="標楷體"/>
                                      <w:sz w:val="20"/>
                                      <w:szCs w:val="20"/>
                                    </w:rPr>
                                    <w:t>7</w:t>
                                  </w:r>
                                  <w:r w:rsidRPr="00346BDD">
                                    <w:rPr>
                                      <w:rFonts w:ascii="標楷體" w:eastAsia="標楷體" w:hAnsi="標楷體" w:hint="eastAsia"/>
                                      <w:sz w:val="20"/>
                                      <w:szCs w:val="20"/>
                                    </w:rPr>
                                    <w:t>項）</w:t>
                                  </w:r>
                                  <w:r>
                                    <w:rPr>
                                      <w:rFonts w:ascii="標楷體" w:eastAsia="標楷體" w:hAnsi="標楷體" w:hint="eastAsia"/>
                                      <w:sz w:val="20"/>
                                      <w:szCs w:val="20"/>
                                    </w:rPr>
                                    <w:t>、</w:t>
                                  </w:r>
                                  <w:r w:rsidRPr="004D1C4E">
                                    <w:rPr>
                                      <w:rFonts w:ascii="標楷體" w:eastAsia="標楷體" w:hAnsi="標楷體" w:hint="eastAsia"/>
                                      <w:sz w:val="20"/>
                                      <w:szCs w:val="20"/>
                                    </w:rPr>
                                    <w:t>海洋委員會海巡署</w:t>
                                  </w:r>
                                  <w:r>
                                    <w:rPr>
                                      <w:rFonts w:ascii="標楷體" w:eastAsia="標楷體" w:hAnsi="標楷體" w:hint="eastAsia"/>
                                      <w:sz w:val="20"/>
                                      <w:szCs w:val="20"/>
                                    </w:rPr>
                                    <w:t>（</w:t>
                                  </w:r>
                                  <w:r w:rsidRPr="004D1C4E">
                                    <w:rPr>
                                      <w:rFonts w:ascii="標楷體" w:eastAsia="標楷體" w:hAnsi="標楷體" w:hint="eastAsia"/>
                                      <w:sz w:val="20"/>
                                      <w:szCs w:val="20"/>
                                    </w:rPr>
                                    <w:t>1項</w:t>
                                  </w:r>
                                  <w:r>
                                    <w:rPr>
                                      <w:rFonts w:ascii="標楷體" w:eastAsia="標楷體" w:hAnsi="標楷體" w:hint="eastAsia"/>
                                      <w:sz w:val="20"/>
                                      <w:szCs w:val="20"/>
                                    </w:rPr>
                                    <w:t>）、</w:t>
                                  </w:r>
                                  <w:r w:rsidRPr="004D1C4E">
                                    <w:rPr>
                                      <w:rFonts w:ascii="標楷體" w:eastAsia="標楷體" w:hAnsi="標楷體" w:hint="eastAsia"/>
                                      <w:sz w:val="20"/>
                                      <w:szCs w:val="20"/>
                                    </w:rPr>
                                    <w:t>海洋委員會國家海洋研究院</w:t>
                                  </w:r>
                                  <w:r>
                                    <w:rPr>
                                      <w:rFonts w:ascii="標楷體" w:eastAsia="標楷體" w:hAnsi="標楷體" w:hint="eastAsia"/>
                                      <w:sz w:val="20"/>
                                      <w:szCs w:val="20"/>
                                    </w:rPr>
                                    <w:t>（</w:t>
                                  </w:r>
                                  <w:r w:rsidRPr="004D1C4E">
                                    <w:rPr>
                                      <w:rFonts w:ascii="標楷體" w:eastAsia="標楷體" w:hAnsi="標楷體" w:hint="eastAsia"/>
                                      <w:sz w:val="20"/>
                                      <w:szCs w:val="20"/>
                                    </w:rPr>
                                    <w:t>1項</w:t>
                                  </w:r>
                                  <w:r>
                                    <w:rPr>
                                      <w:rFonts w:ascii="標楷體" w:eastAsia="標楷體" w:hAnsi="標楷體" w:hint="eastAsia"/>
                                      <w:sz w:val="20"/>
                                      <w:szCs w:val="20"/>
                                    </w:rPr>
                                    <w:t>）、</w:t>
                                  </w:r>
                                  <w:r w:rsidRPr="004D1C4E">
                                    <w:rPr>
                                      <w:rFonts w:ascii="標楷體" w:eastAsia="標楷體" w:hAnsi="標楷體" w:hint="eastAsia"/>
                                      <w:sz w:val="20"/>
                                      <w:szCs w:val="20"/>
                                    </w:rPr>
                                    <w:t>國防部</w:t>
                                  </w:r>
                                  <w:r>
                                    <w:rPr>
                                      <w:rFonts w:ascii="標楷體" w:eastAsia="標楷體" w:hAnsi="標楷體" w:hint="eastAsia"/>
                                      <w:sz w:val="20"/>
                                      <w:szCs w:val="20"/>
                                    </w:rPr>
                                    <w:t>（</w:t>
                                  </w:r>
                                  <w:r>
                                    <w:rPr>
                                      <w:rFonts w:ascii="標楷體" w:eastAsia="標楷體" w:hAnsi="標楷體"/>
                                      <w:sz w:val="20"/>
                                      <w:szCs w:val="20"/>
                                    </w:rPr>
                                    <w:t>3</w:t>
                                  </w:r>
                                  <w:r w:rsidRPr="004D1C4E">
                                    <w:rPr>
                                      <w:rFonts w:ascii="標楷體" w:eastAsia="標楷體" w:hAnsi="標楷體" w:hint="eastAsia"/>
                                      <w:sz w:val="20"/>
                                      <w:szCs w:val="20"/>
                                    </w:rPr>
                                    <w:t>項</w:t>
                                  </w:r>
                                  <w:r>
                                    <w:rPr>
                                      <w:rFonts w:ascii="標楷體" w:eastAsia="標楷體" w:hAnsi="標楷體" w:hint="eastAsia"/>
                                      <w:sz w:val="20"/>
                                      <w:szCs w:val="20"/>
                                    </w:rPr>
                                    <w:t>）、</w:t>
                                  </w:r>
                                  <w:r w:rsidRPr="004D1C4E">
                                    <w:rPr>
                                      <w:rFonts w:ascii="標楷體" w:eastAsia="標楷體" w:hAnsi="標楷體" w:hint="eastAsia"/>
                                      <w:sz w:val="20"/>
                                      <w:szCs w:val="20"/>
                                    </w:rPr>
                                    <w:t>國史館</w:t>
                                  </w:r>
                                  <w:r>
                                    <w:rPr>
                                      <w:rFonts w:ascii="標楷體" w:eastAsia="標楷體" w:hAnsi="標楷體" w:hint="eastAsia"/>
                                      <w:sz w:val="20"/>
                                      <w:szCs w:val="20"/>
                                    </w:rPr>
                                    <w:t>（</w:t>
                                  </w:r>
                                  <w:r w:rsidRPr="00391E4A">
                                    <w:rPr>
                                      <w:rFonts w:ascii="標楷體" w:eastAsia="標楷體" w:hAnsi="標楷體" w:hint="eastAsia"/>
                                      <w:sz w:val="20"/>
                                      <w:szCs w:val="20"/>
                                    </w:rPr>
                                    <w:t>1項</w:t>
                                  </w:r>
                                  <w:r>
                                    <w:rPr>
                                      <w:rFonts w:ascii="標楷體" w:eastAsia="標楷體" w:hAnsi="標楷體" w:hint="eastAsia"/>
                                      <w:sz w:val="20"/>
                                      <w:szCs w:val="20"/>
                                    </w:rPr>
                                    <w:t>）</w:t>
                                  </w:r>
                                </w:p>
                              </w:tc>
                            </w:tr>
                            <w:tr w:rsidR="00CE57F9" w:rsidRPr="00DA3FAA" w14:paraId="4EBC7E0D" w14:textId="77777777" w:rsidTr="00DA2751">
                              <w:trPr>
                                <w:trHeight w:val="368"/>
                                <w:jc w:val="center"/>
                              </w:trPr>
                              <w:tc>
                                <w:tcPr>
                                  <w:tcW w:w="5000" w:type="pct"/>
                                  <w:gridSpan w:val="2"/>
                                  <w:tcBorders>
                                    <w:left w:val="nil"/>
                                    <w:bottom w:val="nil"/>
                                    <w:right w:val="nil"/>
                                  </w:tcBorders>
                                  <w:shd w:val="clear" w:color="auto" w:fill="auto"/>
                                  <w:vAlign w:val="center"/>
                                </w:tcPr>
                                <w:p w14:paraId="710E8874" w14:textId="77777777" w:rsidR="00CE57F9" w:rsidRPr="00391E4A" w:rsidRDefault="00CE57F9" w:rsidP="00F72E6D">
                                  <w:pPr>
                                    <w:widowControl/>
                                    <w:overflowPunct w:val="0"/>
                                    <w:adjustRightInd w:val="0"/>
                                    <w:snapToGrid w:val="0"/>
                                    <w:ind w:leftChars="-50" w:left="1" w:hangingChars="67" w:hanging="121"/>
                                    <w:suppressOverlap/>
                                    <w:jc w:val="both"/>
                                    <w:rPr>
                                      <w:rFonts w:ascii="標楷體" w:eastAsia="標楷體" w:hAnsi="標楷體"/>
                                      <w:sz w:val="18"/>
                                      <w:szCs w:val="18"/>
                                    </w:rPr>
                                  </w:pPr>
                                  <w:r w:rsidRPr="00391E4A">
                                    <w:rPr>
                                      <w:rFonts w:ascii="標楷體" w:eastAsia="標楷體" w:hAnsi="標楷體" w:hint="eastAsia"/>
                                      <w:sz w:val="18"/>
                                      <w:szCs w:val="18"/>
                                    </w:rPr>
                                    <w:t>註：1.已於111年7月27日改制為國家科學及技術委員會科技辦公室</w:t>
                                  </w:r>
                                  <w:r>
                                    <w:rPr>
                                      <w:rFonts w:ascii="標楷體" w:eastAsia="標楷體" w:hAnsi="標楷體" w:hint="eastAsia"/>
                                      <w:sz w:val="18"/>
                                      <w:szCs w:val="18"/>
                                    </w:rPr>
                                    <w:t>。</w:t>
                                  </w:r>
                                </w:p>
                                <w:p w14:paraId="5595C09A" w14:textId="77777777" w:rsidR="00CE57F9" w:rsidRPr="00391E4A" w:rsidRDefault="00CE57F9" w:rsidP="00F72E6D">
                                  <w:pPr>
                                    <w:widowControl/>
                                    <w:overflowPunct w:val="0"/>
                                    <w:adjustRightInd w:val="0"/>
                                    <w:snapToGrid w:val="0"/>
                                    <w:ind w:leftChars="107" w:left="547" w:rightChars="-52" w:right="-125" w:hangingChars="161" w:hanging="290"/>
                                    <w:suppressOverlap/>
                                    <w:jc w:val="both"/>
                                    <w:rPr>
                                      <w:rFonts w:ascii="標楷體" w:eastAsia="標楷體" w:hAnsi="標楷體"/>
                                      <w:sz w:val="18"/>
                                      <w:szCs w:val="18"/>
                                    </w:rPr>
                                  </w:pPr>
                                  <w:r w:rsidRPr="00391E4A">
                                    <w:rPr>
                                      <w:rFonts w:ascii="標楷體" w:eastAsia="標楷體" w:hAnsi="標楷體" w:hint="eastAsia"/>
                                      <w:sz w:val="18"/>
                                      <w:szCs w:val="18"/>
                                    </w:rPr>
                                    <w:t>2.中央研究院計有9項部會管制計畫，其餘8項已公告評核結果，1項未公告。</w:t>
                                  </w:r>
                                </w:p>
                                <w:p w14:paraId="6D0AB487" w14:textId="529C2BBD" w:rsidR="00CE57F9" w:rsidRPr="00D37EBA" w:rsidRDefault="00CE57F9" w:rsidP="00F72E6D">
                                  <w:pPr>
                                    <w:widowControl/>
                                    <w:overflowPunct w:val="0"/>
                                    <w:adjustRightInd w:val="0"/>
                                    <w:snapToGrid w:val="0"/>
                                    <w:ind w:firstLineChars="142" w:firstLine="256"/>
                                    <w:suppressOverlap/>
                                    <w:jc w:val="both"/>
                                    <w:rPr>
                                      <w:rFonts w:ascii="標楷體" w:eastAsia="標楷體" w:hAnsi="標楷體"/>
                                      <w:sz w:val="18"/>
                                      <w:szCs w:val="18"/>
                                    </w:rPr>
                                  </w:pPr>
                                  <w:r w:rsidRPr="00391E4A">
                                    <w:rPr>
                                      <w:rFonts w:ascii="標楷體" w:eastAsia="標楷體" w:hAnsi="標楷體" w:hint="eastAsia"/>
                                      <w:sz w:val="18"/>
                                      <w:szCs w:val="18"/>
                                    </w:rPr>
                                    <w:t>3.資料來源：整理自</w:t>
                                  </w:r>
                                  <w:r w:rsidRPr="00346BDD">
                                    <w:rPr>
                                      <w:rFonts w:ascii="標楷體" w:eastAsia="標楷體" w:hAnsi="標楷體" w:hint="eastAsia"/>
                                      <w:sz w:val="18"/>
                                      <w:szCs w:val="18"/>
                                    </w:rPr>
                                    <w:t>各機關網站（查詢日期</w:t>
                                  </w:r>
                                  <w:r w:rsidRPr="00346BDD">
                                    <w:rPr>
                                      <w:rFonts w:ascii="標楷體" w:eastAsia="標楷體" w:hAnsi="標楷體"/>
                                      <w:sz w:val="18"/>
                                      <w:szCs w:val="18"/>
                                    </w:rPr>
                                    <w:t>112年4月30日）</w:t>
                                  </w:r>
                                  <w:r w:rsidRPr="00391E4A">
                                    <w:rPr>
                                      <w:rFonts w:ascii="標楷體" w:eastAsia="標楷體" w:hAnsi="標楷體" w:hint="eastAsia"/>
                                      <w:sz w:val="18"/>
                                      <w:szCs w:val="18"/>
                                    </w:rPr>
                                    <w:t>及查填資料。</w:t>
                                  </w:r>
                                </w:p>
                              </w:tc>
                            </w:tr>
                          </w:tbl>
                          <w:p w14:paraId="303C9EDA" w14:textId="77777777" w:rsidR="00CE57F9" w:rsidRPr="004170B2" w:rsidRDefault="00CE57F9" w:rsidP="00B8526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23C601" id="_x0000_s1135" type="#_x0000_t202" style="position:absolute;left:0;text-align:left;margin-left:139.95pt;margin-top:315.15pt;width:360.35pt;height:257.6pt;z-index:2516536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" filled="f" stroked="f">
                <v:textbox>
                  <w:txbxContent>
                    <w:tbl>
                      <w:tblPr>
                        <w:tblStyle w:val="1100"/>
                        <w:tblOverlap w:val="never"/>
                        <w:tblW w:w="4813" w:type="pct"/>
                        <w:jc w:val="center"/>
                        <w:tblLook w:val="04A0" w:firstRow="1" w:lastRow="0" w:firstColumn="1" w:lastColumn="0" w:noHBand="0" w:noVBand="1"/>
                      </w:tblPr>
                      <w:tblGrid>
                        <w:gridCol w:w="1258"/>
                        <w:gridCol w:w="5611"/>
                      </w:tblGrid>
                      <w:tr w:rsidR="00CE57F9" w:rsidRPr="00DA3FAA" w14:paraId="3D11F8FC" w14:textId="77777777" w:rsidTr="00DA2751">
                        <w:trPr>
                          <w:trHeight w:val="368"/>
                          <w:jc w:val="center"/>
                        </w:trPr>
                        <w:tc>
                          <w:tcPr>
                            <w:tcW w:w="5000" w:type="pct"/>
                            <w:gridSpan w:val="2"/>
                            <w:tcBorders>
                              <w:top w:val="nil"/>
                              <w:left w:val="nil"/>
                              <w:right w:val="nil"/>
                            </w:tcBorders>
                            <w:vAlign w:val="center"/>
                          </w:tcPr>
                          <w:p w14:paraId="2C4A6503" w14:textId="77777777" w:rsidR="00CE57F9" w:rsidRDefault="00CE57F9" w:rsidP="00525543">
                            <w:pPr>
                              <w:adjustRightInd w:val="0"/>
                              <w:snapToGrid w:val="0"/>
                              <w:ind w:leftChars="-2" w:left="764" w:rightChars="-40" w:right="-96" w:hangingChars="320" w:hanging="769"/>
                              <w:suppressOverlap/>
                              <w:rPr>
                                <w:rFonts w:ascii="標楷體" w:eastAsia="標楷體" w:hAnsi="標楷體"/>
                              </w:rPr>
                            </w:pPr>
                            <w:r w:rsidRPr="00D37EBA">
                              <w:rPr>
                                <w:rFonts w:ascii="標楷體" w:eastAsia="標楷體" w:hAnsi="標楷體" w:hint="eastAsia"/>
                                <w:b/>
                                <w:szCs w:val="32"/>
                              </w:rPr>
                              <w:t>表</w:t>
                            </w:r>
                            <w:r>
                              <w:rPr>
                                <w:rFonts w:ascii="標楷體" w:eastAsia="標楷體" w:hAnsi="標楷體"/>
                                <w:b/>
                                <w:szCs w:val="32"/>
                              </w:rPr>
                              <w:t>18</w:t>
                            </w:r>
                            <w:r w:rsidRPr="0012338C">
                              <w:rPr>
                                <w:rFonts w:ascii="標楷體" w:eastAsia="標楷體" w:hAnsi="標楷體" w:hint="eastAsia"/>
                                <w:b/>
                                <w:szCs w:val="32"/>
                              </w:rPr>
                              <w:t xml:space="preserve">　</w:t>
                            </w:r>
                            <w:r w:rsidRPr="00D37EBA">
                              <w:rPr>
                                <w:rFonts w:ascii="標楷體" w:eastAsia="標楷體" w:hAnsi="標楷體" w:hint="eastAsia"/>
                                <w:b/>
                                <w:szCs w:val="32"/>
                              </w:rPr>
                              <w:t>110年度科技發展計畫</w:t>
                            </w:r>
                            <w:r>
                              <w:rPr>
                                <w:rFonts w:ascii="標楷體" w:eastAsia="標楷體" w:hAnsi="標楷體" w:hint="eastAsia"/>
                                <w:b/>
                                <w:szCs w:val="32"/>
                              </w:rPr>
                              <w:t>及</w:t>
                            </w:r>
                            <w:r w:rsidRPr="00C02724">
                              <w:rPr>
                                <w:rFonts w:ascii="標楷體" w:eastAsia="標楷體" w:hAnsi="標楷體" w:hint="eastAsia"/>
                                <w:b/>
                                <w:szCs w:val="32"/>
                              </w:rPr>
                              <w:t>科技發展類前瞻基礎建設計畫</w:t>
                            </w:r>
                            <w:r w:rsidRPr="00D37EBA">
                              <w:rPr>
                                <w:rFonts w:ascii="標楷體" w:eastAsia="標楷體" w:hAnsi="標楷體" w:hint="eastAsia"/>
                                <w:b/>
                                <w:szCs w:val="32"/>
                              </w:rPr>
                              <w:t>評核結果</w:t>
                            </w:r>
                            <w:r>
                              <w:rPr>
                                <w:rFonts w:ascii="標楷體" w:eastAsia="標楷體" w:hAnsi="標楷體" w:hint="eastAsia"/>
                                <w:b/>
                                <w:szCs w:val="32"/>
                              </w:rPr>
                              <w:t>未如期公告或未公告之機關明細</w:t>
                            </w:r>
                          </w:p>
                        </w:tc>
                      </w:tr>
                      <w:tr w:rsidR="00CE57F9" w:rsidRPr="00DA3FAA" w14:paraId="2F6673F1" w14:textId="77777777" w:rsidTr="00DA2751">
                        <w:trPr>
                          <w:jc w:val="center"/>
                        </w:trPr>
                        <w:tc>
                          <w:tcPr>
                            <w:tcW w:w="916" w:type="pct"/>
                            <w:vAlign w:val="center"/>
                          </w:tcPr>
                          <w:p w14:paraId="7589ADAA" w14:textId="77777777" w:rsidR="00CE57F9" w:rsidRPr="004D1C4E" w:rsidRDefault="00CE57F9" w:rsidP="00F72E6D">
                            <w:pPr>
                              <w:adjustRightInd w:val="0"/>
                              <w:snapToGrid w:val="0"/>
                              <w:suppressOverlap/>
                              <w:jc w:val="center"/>
                              <w:rPr>
                                <w:rFonts w:ascii="標楷體" w:eastAsia="標楷體" w:hAnsi="標楷體"/>
                                <w:sz w:val="20"/>
                                <w:szCs w:val="20"/>
                              </w:rPr>
                            </w:pPr>
                            <w:r>
                              <w:rPr>
                                <w:rFonts w:ascii="標楷體" w:eastAsia="標楷體" w:hAnsi="標楷體" w:hint="eastAsia"/>
                                <w:sz w:val="20"/>
                                <w:szCs w:val="20"/>
                              </w:rPr>
                              <w:t>缺失態樣</w:t>
                            </w:r>
                          </w:p>
                        </w:tc>
                        <w:tc>
                          <w:tcPr>
                            <w:tcW w:w="4084" w:type="pct"/>
                            <w:vAlign w:val="center"/>
                          </w:tcPr>
                          <w:p w14:paraId="3DD855F5" w14:textId="77777777" w:rsidR="00CE57F9" w:rsidRPr="00D37EBA" w:rsidRDefault="00CE57F9" w:rsidP="00F72E6D">
                            <w:pPr>
                              <w:adjustRightInd w:val="0"/>
                              <w:snapToGrid w:val="0"/>
                              <w:suppressOverlap/>
                              <w:jc w:val="center"/>
                              <w:rPr>
                                <w:rFonts w:ascii="標楷體" w:eastAsia="標楷體" w:hAnsi="標楷體"/>
                                <w:sz w:val="20"/>
                                <w:szCs w:val="20"/>
                              </w:rPr>
                            </w:pPr>
                            <w:r>
                              <w:rPr>
                                <w:rFonts w:ascii="標楷體" w:eastAsia="標楷體" w:hAnsi="標楷體" w:hint="eastAsia"/>
                                <w:sz w:val="20"/>
                                <w:szCs w:val="20"/>
                              </w:rPr>
                              <w:t>機關名稱</w:t>
                            </w:r>
                          </w:p>
                        </w:tc>
                      </w:tr>
                      <w:tr w:rsidR="00CE57F9" w:rsidRPr="000D65D1" w14:paraId="2B5CB660" w14:textId="77777777" w:rsidTr="00DA2751">
                        <w:trPr>
                          <w:jc w:val="center"/>
                        </w:trPr>
                        <w:tc>
                          <w:tcPr>
                            <w:tcW w:w="916" w:type="pct"/>
                            <w:vAlign w:val="center"/>
                          </w:tcPr>
                          <w:p w14:paraId="087AB986" w14:textId="77777777" w:rsidR="00CE57F9" w:rsidRDefault="00CE57F9" w:rsidP="00F72E6D">
                            <w:pPr>
                              <w:adjustRightInd w:val="0"/>
                              <w:snapToGrid w:val="0"/>
                              <w:suppressOverlap/>
                              <w:jc w:val="center"/>
                              <w:rPr>
                                <w:rFonts w:ascii="標楷體" w:eastAsia="標楷體" w:hAnsi="標楷體"/>
                                <w:sz w:val="20"/>
                                <w:szCs w:val="20"/>
                              </w:rPr>
                            </w:pPr>
                            <w:r w:rsidRPr="00391E4A">
                              <w:rPr>
                                <w:rFonts w:ascii="標楷體" w:eastAsia="標楷體" w:hAnsi="標楷體" w:hint="eastAsia"/>
                                <w:sz w:val="20"/>
                                <w:szCs w:val="20"/>
                              </w:rPr>
                              <w:t>評核結果</w:t>
                            </w:r>
                          </w:p>
                          <w:p w14:paraId="672BFC67" w14:textId="77777777" w:rsidR="00CE57F9" w:rsidRPr="00D37EBA" w:rsidRDefault="00CE57F9" w:rsidP="00F72E6D">
                            <w:pPr>
                              <w:adjustRightInd w:val="0"/>
                              <w:snapToGrid w:val="0"/>
                              <w:suppressOverlap/>
                              <w:jc w:val="center"/>
                              <w:rPr>
                                <w:rFonts w:ascii="標楷體" w:eastAsia="標楷體" w:hAnsi="標楷體"/>
                                <w:sz w:val="20"/>
                                <w:szCs w:val="20"/>
                              </w:rPr>
                            </w:pPr>
                            <w:r>
                              <w:rPr>
                                <w:rFonts w:ascii="標楷體" w:eastAsia="標楷體" w:hAnsi="標楷體" w:hint="eastAsia"/>
                                <w:sz w:val="20"/>
                                <w:szCs w:val="20"/>
                              </w:rPr>
                              <w:t>未如期公告</w:t>
                            </w:r>
                          </w:p>
                        </w:tc>
                        <w:tc>
                          <w:tcPr>
                            <w:tcW w:w="4084" w:type="pct"/>
                            <w:vAlign w:val="center"/>
                          </w:tcPr>
                          <w:p w14:paraId="1D7EFA80" w14:textId="77777777" w:rsidR="00CE57F9" w:rsidRPr="00D37EBA" w:rsidRDefault="00CE57F9" w:rsidP="00F72E6D">
                            <w:pPr>
                              <w:adjustRightInd w:val="0"/>
                              <w:snapToGrid w:val="0"/>
                              <w:suppressOverlap/>
                              <w:jc w:val="both"/>
                              <w:rPr>
                                <w:rFonts w:ascii="標楷體" w:eastAsia="標楷體" w:hAnsi="標楷體"/>
                                <w:sz w:val="20"/>
                                <w:szCs w:val="20"/>
                              </w:rPr>
                            </w:pPr>
                            <w:r w:rsidRPr="00D37EBA">
                              <w:rPr>
                                <w:rFonts w:ascii="標楷體" w:eastAsia="標楷體" w:hAnsi="標楷體" w:hint="eastAsia"/>
                                <w:sz w:val="20"/>
                                <w:szCs w:val="20"/>
                              </w:rPr>
                              <w:t>中央研究</w:t>
                            </w:r>
                            <w:r>
                              <w:rPr>
                                <w:rFonts w:ascii="標楷體" w:eastAsia="標楷體" w:hAnsi="標楷體" w:hint="eastAsia"/>
                                <w:sz w:val="20"/>
                                <w:szCs w:val="20"/>
                              </w:rPr>
                              <w:t>院（公告日期：</w:t>
                            </w:r>
                            <w:r w:rsidRPr="00D37EBA">
                              <w:rPr>
                                <w:rFonts w:ascii="標楷體" w:eastAsia="標楷體" w:hAnsi="標楷體" w:hint="eastAsia"/>
                                <w:sz w:val="20"/>
                                <w:szCs w:val="20"/>
                              </w:rPr>
                              <w:t>1</w:t>
                            </w:r>
                            <w:r w:rsidRPr="00D37EBA">
                              <w:rPr>
                                <w:rFonts w:ascii="標楷體" w:eastAsia="標楷體" w:hAnsi="標楷體"/>
                                <w:sz w:val="20"/>
                                <w:szCs w:val="20"/>
                              </w:rPr>
                              <w:t>12.2.18</w:t>
                            </w:r>
                            <w:r>
                              <w:rPr>
                                <w:rFonts w:ascii="標楷體" w:eastAsia="標楷體" w:hAnsi="標楷體"/>
                                <w:sz w:val="20"/>
                                <w:szCs w:val="20"/>
                              </w:rPr>
                              <w:t>）</w:t>
                            </w:r>
                            <w:r>
                              <w:rPr>
                                <w:rFonts w:ascii="標楷體" w:eastAsia="標楷體" w:hAnsi="標楷體" w:hint="eastAsia"/>
                                <w:sz w:val="20"/>
                                <w:szCs w:val="20"/>
                              </w:rPr>
                              <w:t>、</w:t>
                            </w:r>
                            <w:r w:rsidRPr="00D37EBA">
                              <w:rPr>
                                <w:rFonts w:ascii="標楷體" w:eastAsia="標楷體" w:hAnsi="標楷體" w:hint="eastAsia"/>
                                <w:sz w:val="20"/>
                                <w:szCs w:val="20"/>
                              </w:rPr>
                              <w:t>文化部</w:t>
                            </w:r>
                            <w:r>
                              <w:rPr>
                                <w:rFonts w:ascii="標楷體" w:eastAsia="標楷體" w:hAnsi="標楷體" w:hint="eastAsia"/>
                                <w:sz w:val="20"/>
                                <w:szCs w:val="20"/>
                              </w:rPr>
                              <w:t>（</w:t>
                            </w:r>
                            <w:r w:rsidRPr="000D65D1">
                              <w:rPr>
                                <w:rFonts w:ascii="標楷體" w:eastAsia="標楷體" w:hAnsi="標楷體" w:hint="eastAsia"/>
                                <w:sz w:val="20"/>
                                <w:szCs w:val="20"/>
                              </w:rPr>
                              <w:t>公告日期：</w:t>
                            </w:r>
                            <w:r w:rsidRPr="00D37EBA">
                              <w:rPr>
                                <w:rFonts w:ascii="標楷體" w:eastAsia="標楷體" w:hAnsi="標楷體" w:hint="eastAsia"/>
                                <w:sz w:val="20"/>
                                <w:szCs w:val="20"/>
                              </w:rPr>
                              <w:t>1</w:t>
                            </w:r>
                            <w:r w:rsidRPr="00D37EBA">
                              <w:rPr>
                                <w:rFonts w:ascii="標楷體" w:eastAsia="標楷體" w:hAnsi="標楷體"/>
                                <w:sz w:val="20"/>
                                <w:szCs w:val="20"/>
                              </w:rPr>
                              <w:t>11.5.11</w:t>
                            </w:r>
                            <w:r>
                              <w:rPr>
                                <w:rFonts w:ascii="標楷體" w:eastAsia="標楷體" w:hAnsi="標楷體" w:hint="eastAsia"/>
                                <w:sz w:val="20"/>
                                <w:szCs w:val="20"/>
                              </w:rPr>
                              <w:t>）、</w:t>
                            </w:r>
                            <w:r w:rsidRPr="00D37EBA">
                              <w:rPr>
                                <w:rFonts w:ascii="標楷體" w:eastAsia="標楷體" w:hAnsi="標楷體" w:hint="eastAsia"/>
                                <w:sz w:val="20"/>
                                <w:szCs w:val="20"/>
                              </w:rPr>
                              <w:t>教育部</w:t>
                            </w:r>
                            <w:r>
                              <w:rPr>
                                <w:rFonts w:ascii="標楷體" w:eastAsia="標楷體" w:hAnsi="標楷體" w:hint="eastAsia"/>
                                <w:sz w:val="20"/>
                                <w:szCs w:val="20"/>
                              </w:rPr>
                              <w:t>（</w:t>
                            </w:r>
                            <w:r w:rsidRPr="000D65D1">
                              <w:rPr>
                                <w:rFonts w:ascii="標楷體" w:eastAsia="標楷體" w:hAnsi="標楷體" w:hint="eastAsia"/>
                                <w:sz w:val="20"/>
                                <w:szCs w:val="20"/>
                              </w:rPr>
                              <w:t>公告日期：</w:t>
                            </w:r>
                            <w:r w:rsidRPr="00D37EBA">
                              <w:rPr>
                                <w:rFonts w:ascii="標楷體" w:eastAsia="標楷體" w:hAnsi="標楷體" w:hint="eastAsia"/>
                                <w:sz w:val="20"/>
                                <w:szCs w:val="20"/>
                              </w:rPr>
                              <w:t>1</w:t>
                            </w:r>
                            <w:r w:rsidRPr="00D37EBA">
                              <w:rPr>
                                <w:rFonts w:ascii="標楷體" w:eastAsia="標楷體" w:hAnsi="標楷體"/>
                                <w:sz w:val="20"/>
                                <w:szCs w:val="20"/>
                              </w:rPr>
                              <w:t>11.5.20</w:t>
                            </w:r>
                            <w:r>
                              <w:rPr>
                                <w:rFonts w:ascii="標楷體" w:eastAsia="標楷體" w:hAnsi="標楷體" w:hint="eastAsia"/>
                                <w:sz w:val="20"/>
                                <w:szCs w:val="20"/>
                              </w:rPr>
                              <w:t>）、</w:t>
                            </w:r>
                            <w:r w:rsidRPr="000D65D1">
                              <w:rPr>
                                <w:rFonts w:ascii="標楷體" w:eastAsia="標楷體" w:hAnsi="標楷體" w:hint="eastAsia"/>
                                <w:sz w:val="20"/>
                                <w:szCs w:val="20"/>
                              </w:rPr>
                              <w:t>國立故宮博物院</w:t>
                            </w:r>
                            <w:r>
                              <w:rPr>
                                <w:rFonts w:ascii="標楷體" w:eastAsia="標楷體" w:hAnsi="標楷體" w:hint="eastAsia"/>
                                <w:sz w:val="20"/>
                                <w:szCs w:val="20"/>
                              </w:rPr>
                              <w:t>（</w:t>
                            </w:r>
                            <w:r w:rsidRPr="000D65D1">
                              <w:rPr>
                                <w:rFonts w:ascii="標楷體" w:eastAsia="標楷體" w:hAnsi="標楷體" w:hint="eastAsia"/>
                                <w:sz w:val="20"/>
                                <w:szCs w:val="20"/>
                              </w:rPr>
                              <w:t>公告日期：</w:t>
                            </w:r>
                            <w:r w:rsidRPr="000D65D1">
                              <w:rPr>
                                <w:rFonts w:ascii="標楷體" w:eastAsia="標楷體" w:hAnsi="標楷體"/>
                                <w:sz w:val="20"/>
                                <w:szCs w:val="20"/>
                              </w:rPr>
                              <w:t>111.7.8</w:t>
                            </w:r>
                            <w:r>
                              <w:rPr>
                                <w:rFonts w:ascii="標楷體" w:eastAsia="標楷體" w:hAnsi="標楷體" w:hint="eastAsia"/>
                                <w:sz w:val="20"/>
                                <w:szCs w:val="20"/>
                              </w:rPr>
                              <w:t>）、</w:t>
                            </w:r>
                            <w:r w:rsidRPr="000D65D1">
                              <w:rPr>
                                <w:rFonts w:ascii="標楷體" w:eastAsia="標楷體" w:hAnsi="標楷體" w:hint="eastAsia"/>
                                <w:sz w:val="20"/>
                                <w:szCs w:val="20"/>
                              </w:rPr>
                              <w:t>原住民族委員會</w:t>
                            </w:r>
                            <w:r>
                              <w:rPr>
                                <w:rFonts w:ascii="標楷體" w:eastAsia="標楷體" w:hAnsi="標楷體" w:hint="eastAsia"/>
                                <w:sz w:val="20"/>
                                <w:szCs w:val="20"/>
                              </w:rPr>
                              <w:t>（</w:t>
                            </w:r>
                            <w:r w:rsidRPr="000D65D1">
                              <w:rPr>
                                <w:rFonts w:ascii="標楷體" w:eastAsia="標楷體" w:hAnsi="標楷體" w:hint="eastAsia"/>
                                <w:sz w:val="20"/>
                                <w:szCs w:val="20"/>
                              </w:rPr>
                              <w:t>公告日期：</w:t>
                            </w:r>
                            <w:r w:rsidRPr="000D65D1">
                              <w:rPr>
                                <w:rFonts w:ascii="標楷體" w:eastAsia="標楷體" w:hAnsi="標楷體"/>
                                <w:sz w:val="20"/>
                                <w:szCs w:val="20"/>
                              </w:rPr>
                              <w:t>111.5.3</w:t>
                            </w:r>
                            <w:r>
                              <w:rPr>
                                <w:rFonts w:ascii="標楷體" w:eastAsia="標楷體" w:hAnsi="標楷體" w:hint="eastAsia"/>
                                <w:sz w:val="20"/>
                                <w:szCs w:val="20"/>
                              </w:rPr>
                              <w:t>）、</w:t>
                            </w:r>
                            <w:r w:rsidRPr="000D65D1">
                              <w:rPr>
                                <w:rFonts w:ascii="標楷體" w:eastAsia="標楷體" w:hAnsi="標楷體" w:hint="eastAsia"/>
                                <w:sz w:val="20"/>
                                <w:szCs w:val="20"/>
                              </w:rPr>
                              <w:t>原子能委員會</w:t>
                            </w:r>
                            <w:r>
                              <w:rPr>
                                <w:rFonts w:ascii="標楷體" w:eastAsia="標楷體" w:hAnsi="標楷體" w:hint="eastAsia"/>
                                <w:sz w:val="20"/>
                                <w:szCs w:val="20"/>
                              </w:rPr>
                              <w:t>（</w:t>
                            </w:r>
                            <w:r w:rsidRPr="000D65D1">
                              <w:rPr>
                                <w:rFonts w:ascii="標楷體" w:eastAsia="標楷體" w:hAnsi="標楷體" w:hint="eastAsia"/>
                                <w:sz w:val="20"/>
                                <w:szCs w:val="20"/>
                              </w:rPr>
                              <w:t>公告日期：</w:t>
                            </w:r>
                            <w:r w:rsidRPr="000D65D1">
                              <w:rPr>
                                <w:rFonts w:ascii="標楷體" w:eastAsia="標楷體" w:hAnsi="標楷體"/>
                                <w:sz w:val="20"/>
                                <w:szCs w:val="20"/>
                              </w:rPr>
                              <w:t>111.5.3</w:t>
                            </w:r>
                            <w:r>
                              <w:rPr>
                                <w:rFonts w:ascii="標楷體" w:eastAsia="標楷體" w:hAnsi="標楷體" w:hint="eastAsia"/>
                                <w:sz w:val="20"/>
                                <w:szCs w:val="20"/>
                              </w:rPr>
                              <w:t>）、</w:t>
                            </w:r>
                            <w:r w:rsidRPr="000D65D1">
                              <w:rPr>
                                <w:rFonts w:ascii="標楷體" w:eastAsia="標楷體" w:hAnsi="標楷體" w:hint="eastAsia"/>
                                <w:sz w:val="20"/>
                                <w:szCs w:val="20"/>
                              </w:rPr>
                              <w:t>原子能委員會放射性物料管理局</w:t>
                            </w:r>
                            <w:r>
                              <w:rPr>
                                <w:rFonts w:ascii="標楷體" w:eastAsia="標楷體" w:hAnsi="標楷體" w:hint="eastAsia"/>
                                <w:sz w:val="20"/>
                                <w:szCs w:val="20"/>
                              </w:rPr>
                              <w:t>（</w:t>
                            </w:r>
                            <w:r w:rsidRPr="000D65D1">
                              <w:rPr>
                                <w:rFonts w:ascii="標楷體" w:eastAsia="標楷體" w:hAnsi="標楷體" w:hint="eastAsia"/>
                                <w:sz w:val="20"/>
                                <w:szCs w:val="20"/>
                              </w:rPr>
                              <w:t>公告日期：111.5.3</w:t>
                            </w:r>
                            <w:r>
                              <w:rPr>
                                <w:rFonts w:ascii="標楷體" w:eastAsia="標楷體" w:hAnsi="標楷體" w:hint="eastAsia"/>
                                <w:sz w:val="20"/>
                                <w:szCs w:val="20"/>
                              </w:rPr>
                              <w:t>）、</w:t>
                            </w:r>
                            <w:r w:rsidRPr="000D65D1">
                              <w:rPr>
                                <w:rFonts w:ascii="標楷體" w:eastAsia="標楷體" w:hAnsi="標楷體" w:hint="eastAsia"/>
                                <w:sz w:val="20"/>
                                <w:szCs w:val="20"/>
                              </w:rPr>
                              <w:t>內政部警政署</w:t>
                            </w:r>
                            <w:r>
                              <w:rPr>
                                <w:rFonts w:ascii="標楷體" w:eastAsia="標楷體" w:hAnsi="標楷體" w:hint="eastAsia"/>
                                <w:sz w:val="20"/>
                                <w:szCs w:val="20"/>
                              </w:rPr>
                              <w:t>（</w:t>
                            </w:r>
                            <w:r w:rsidRPr="000D65D1">
                              <w:rPr>
                                <w:rFonts w:ascii="標楷體" w:eastAsia="標楷體" w:hAnsi="標楷體" w:hint="eastAsia"/>
                                <w:sz w:val="20"/>
                                <w:szCs w:val="20"/>
                              </w:rPr>
                              <w:t>公告日期：</w:t>
                            </w:r>
                            <w:r w:rsidRPr="000D65D1">
                              <w:rPr>
                                <w:rFonts w:ascii="標楷體" w:eastAsia="標楷體" w:hAnsi="標楷體"/>
                                <w:sz w:val="20"/>
                                <w:szCs w:val="20"/>
                              </w:rPr>
                              <w:t>111.7.5</w:t>
                            </w:r>
                            <w:r>
                              <w:rPr>
                                <w:rFonts w:ascii="標楷體" w:eastAsia="標楷體" w:hAnsi="標楷體" w:hint="eastAsia"/>
                                <w:sz w:val="20"/>
                                <w:szCs w:val="20"/>
                              </w:rPr>
                              <w:t>）、</w:t>
                            </w:r>
                            <w:r w:rsidRPr="00D37EBA">
                              <w:rPr>
                                <w:rFonts w:ascii="標楷體" w:eastAsia="標楷體" w:hAnsi="標楷體" w:hint="eastAsia"/>
                                <w:sz w:val="20"/>
                                <w:szCs w:val="20"/>
                              </w:rPr>
                              <w:t>內政部</w:t>
                            </w:r>
                            <w:r w:rsidRPr="00D37EBA">
                              <w:rPr>
                                <w:rFonts w:ascii="標楷體" w:eastAsia="標楷體" w:hAnsi="標楷體"/>
                                <w:sz w:val="20"/>
                                <w:szCs w:val="20"/>
                              </w:rPr>
                              <w:t>營建署</w:t>
                            </w:r>
                            <w:r>
                              <w:rPr>
                                <w:rFonts w:ascii="標楷體" w:eastAsia="標楷體" w:hAnsi="標楷體" w:hint="eastAsia"/>
                                <w:sz w:val="20"/>
                                <w:szCs w:val="20"/>
                              </w:rPr>
                              <w:t>（</w:t>
                            </w:r>
                            <w:r w:rsidRPr="000D65D1">
                              <w:rPr>
                                <w:rFonts w:ascii="標楷體" w:eastAsia="標楷體" w:hAnsi="標楷體" w:hint="eastAsia"/>
                                <w:sz w:val="20"/>
                                <w:szCs w:val="20"/>
                              </w:rPr>
                              <w:t>公告日期：</w:t>
                            </w:r>
                            <w:r w:rsidRPr="000D65D1">
                              <w:rPr>
                                <w:rFonts w:ascii="標楷體" w:eastAsia="標楷體" w:hAnsi="標楷體"/>
                                <w:sz w:val="20"/>
                                <w:szCs w:val="20"/>
                              </w:rPr>
                              <w:t>111.8.3</w:t>
                            </w:r>
                            <w:r>
                              <w:rPr>
                                <w:rFonts w:ascii="標楷體" w:eastAsia="標楷體" w:hAnsi="標楷體" w:hint="eastAsia"/>
                                <w:sz w:val="20"/>
                                <w:szCs w:val="20"/>
                              </w:rPr>
                              <w:t>）、</w:t>
                            </w:r>
                            <w:r w:rsidRPr="00D37EBA">
                              <w:rPr>
                                <w:rFonts w:ascii="標楷體" w:eastAsia="標楷體" w:hAnsi="標楷體" w:hint="eastAsia"/>
                                <w:sz w:val="20"/>
                                <w:szCs w:val="20"/>
                              </w:rPr>
                              <w:t>內政部</w:t>
                            </w:r>
                            <w:r w:rsidRPr="00D37EBA">
                              <w:rPr>
                                <w:rFonts w:ascii="標楷體" w:eastAsia="標楷體" w:hAnsi="標楷體"/>
                                <w:sz w:val="20"/>
                                <w:szCs w:val="20"/>
                              </w:rPr>
                              <w:t>建</w:t>
                            </w:r>
                            <w:r w:rsidRPr="00D37EBA">
                              <w:rPr>
                                <w:rFonts w:ascii="標楷體" w:eastAsia="標楷體" w:hAnsi="標楷體" w:hint="eastAsia"/>
                                <w:sz w:val="20"/>
                                <w:szCs w:val="20"/>
                              </w:rPr>
                              <w:t>築</w:t>
                            </w:r>
                            <w:r w:rsidRPr="00D37EBA">
                              <w:rPr>
                                <w:rFonts w:ascii="標楷體" w:eastAsia="標楷體" w:hAnsi="標楷體"/>
                                <w:sz w:val="20"/>
                                <w:szCs w:val="20"/>
                              </w:rPr>
                              <w:t>研</w:t>
                            </w:r>
                            <w:r w:rsidRPr="00D37EBA">
                              <w:rPr>
                                <w:rFonts w:ascii="標楷體" w:eastAsia="標楷體" w:hAnsi="標楷體" w:hint="eastAsia"/>
                                <w:sz w:val="20"/>
                                <w:szCs w:val="20"/>
                              </w:rPr>
                              <w:t>究</w:t>
                            </w:r>
                            <w:r w:rsidRPr="00D37EBA">
                              <w:rPr>
                                <w:rFonts w:ascii="標楷體" w:eastAsia="標楷體" w:hAnsi="標楷體"/>
                                <w:sz w:val="20"/>
                                <w:szCs w:val="20"/>
                              </w:rPr>
                              <w:t>所</w:t>
                            </w:r>
                            <w:r>
                              <w:rPr>
                                <w:rFonts w:ascii="標楷體" w:eastAsia="標楷體" w:hAnsi="標楷體" w:hint="eastAsia"/>
                                <w:sz w:val="20"/>
                                <w:szCs w:val="20"/>
                              </w:rPr>
                              <w:t>（</w:t>
                            </w:r>
                            <w:r w:rsidRPr="000D65D1">
                              <w:rPr>
                                <w:rFonts w:ascii="標楷體" w:eastAsia="標楷體" w:hAnsi="標楷體" w:hint="eastAsia"/>
                                <w:sz w:val="20"/>
                                <w:szCs w:val="20"/>
                              </w:rPr>
                              <w:t>公告日期：</w:t>
                            </w:r>
                            <w:r w:rsidRPr="000D65D1">
                              <w:rPr>
                                <w:rFonts w:ascii="標楷體" w:eastAsia="標楷體" w:hAnsi="標楷體"/>
                                <w:sz w:val="20"/>
                                <w:szCs w:val="20"/>
                              </w:rPr>
                              <w:t>111.7.8</w:t>
                            </w:r>
                            <w:r>
                              <w:rPr>
                                <w:rFonts w:ascii="標楷體" w:eastAsia="標楷體" w:hAnsi="標楷體" w:hint="eastAsia"/>
                                <w:sz w:val="20"/>
                                <w:szCs w:val="20"/>
                              </w:rPr>
                              <w:t>）、</w:t>
                            </w:r>
                            <w:r w:rsidRPr="000D65D1">
                              <w:rPr>
                                <w:rFonts w:ascii="標楷體" w:eastAsia="標楷體" w:hAnsi="標楷體" w:hint="eastAsia"/>
                                <w:sz w:val="20"/>
                                <w:szCs w:val="20"/>
                              </w:rPr>
                              <w:t>內政部國土測繪中心</w:t>
                            </w:r>
                            <w:r>
                              <w:rPr>
                                <w:rFonts w:ascii="標楷體" w:eastAsia="標楷體" w:hAnsi="標楷體" w:hint="eastAsia"/>
                                <w:sz w:val="20"/>
                                <w:szCs w:val="20"/>
                              </w:rPr>
                              <w:t>（</w:t>
                            </w:r>
                            <w:r w:rsidRPr="000D65D1">
                              <w:rPr>
                                <w:rFonts w:ascii="標楷體" w:eastAsia="標楷體" w:hAnsi="標楷體" w:hint="eastAsia"/>
                                <w:sz w:val="20"/>
                                <w:szCs w:val="20"/>
                              </w:rPr>
                              <w:t>公告日期：</w:t>
                            </w:r>
                            <w:r w:rsidRPr="000D65D1">
                              <w:rPr>
                                <w:rFonts w:ascii="標楷體" w:eastAsia="標楷體" w:hAnsi="標楷體"/>
                                <w:sz w:val="20"/>
                                <w:szCs w:val="20"/>
                              </w:rPr>
                              <w:t>111.7.7</w:t>
                            </w:r>
                            <w:r>
                              <w:rPr>
                                <w:rFonts w:ascii="標楷體" w:eastAsia="標楷體" w:hAnsi="標楷體" w:hint="eastAsia"/>
                                <w:sz w:val="20"/>
                                <w:szCs w:val="20"/>
                              </w:rPr>
                              <w:t>）</w:t>
                            </w:r>
                          </w:p>
                        </w:tc>
                      </w:tr>
                      <w:tr w:rsidR="00CE57F9" w:rsidRPr="000D65D1" w14:paraId="13C7BF9C" w14:textId="77777777" w:rsidTr="00DA2751">
                        <w:trPr>
                          <w:jc w:val="center"/>
                        </w:trPr>
                        <w:tc>
                          <w:tcPr>
                            <w:tcW w:w="916" w:type="pct"/>
                            <w:vAlign w:val="center"/>
                          </w:tcPr>
                          <w:p w14:paraId="1ECD4B5B" w14:textId="77777777" w:rsidR="00CE57F9" w:rsidRDefault="00CE57F9" w:rsidP="00F72E6D">
                            <w:pPr>
                              <w:adjustRightInd w:val="0"/>
                              <w:snapToGrid w:val="0"/>
                              <w:suppressOverlap/>
                              <w:jc w:val="center"/>
                              <w:rPr>
                                <w:rFonts w:ascii="標楷體" w:eastAsia="標楷體" w:hAnsi="標楷體"/>
                                <w:sz w:val="20"/>
                                <w:szCs w:val="20"/>
                              </w:rPr>
                            </w:pPr>
                            <w:r>
                              <w:rPr>
                                <w:rFonts w:ascii="標楷體" w:eastAsia="標楷體" w:hAnsi="標楷體" w:hint="eastAsia"/>
                                <w:sz w:val="20"/>
                                <w:szCs w:val="20"/>
                              </w:rPr>
                              <w:t>評核結果</w:t>
                            </w:r>
                          </w:p>
                          <w:p w14:paraId="44D0AAAA" w14:textId="77777777" w:rsidR="00CE57F9" w:rsidRDefault="00CE57F9" w:rsidP="00F72E6D">
                            <w:pPr>
                              <w:adjustRightInd w:val="0"/>
                              <w:snapToGrid w:val="0"/>
                              <w:suppressOverlap/>
                              <w:jc w:val="center"/>
                              <w:rPr>
                                <w:rFonts w:ascii="標楷體" w:eastAsia="標楷體" w:hAnsi="標楷體"/>
                                <w:sz w:val="20"/>
                                <w:szCs w:val="20"/>
                              </w:rPr>
                            </w:pPr>
                            <w:r>
                              <w:rPr>
                                <w:rFonts w:ascii="標楷體" w:eastAsia="標楷體" w:hAnsi="標楷體" w:hint="eastAsia"/>
                                <w:sz w:val="20"/>
                                <w:szCs w:val="20"/>
                              </w:rPr>
                              <w:t>未公告</w:t>
                            </w:r>
                          </w:p>
                        </w:tc>
                        <w:tc>
                          <w:tcPr>
                            <w:tcW w:w="4084" w:type="pct"/>
                            <w:vAlign w:val="center"/>
                          </w:tcPr>
                          <w:p w14:paraId="143015F9" w14:textId="5275BB0E" w:rsidR="00CE57F9" w:rsidRPr="00D37EBA" w:rsidRDefault="00CE57F9" w:rsidP="002C56EB">
                            <w:pPr>
                              <w:adjustRightInd w:val="0"/>
                              <w:snapToGrid w:val="0"/>
                              <w:suppressOverlap/>
                              <w:jc w:val="both"/>
                              <w:rPr>
                                <w:rFonts w:ascii="標楷體" w:eastAsia="標楷體" w:hAnsi="標楷體"/>
                                <w:sz w:val="20"/>
                                <w:szCs w:val="20"/>
                              </w:rPr>
                            </w:pPr>
                            <w:r w:rsidRPr="004D1C4E">
                              <w:rPr>
                                <w:rFonts w:ascii="標楷體" w:eastAsia="標楷體" w:hAnsi="標楷體" w:hint="eastAsia"/>
                                <w:sz w:val="20"/>
                                <w:szCs w:val="20"/>
                              </w:rPr>
                              <w:t>行政院科技會報辦公室</w:t>
                            </w:r>
                            <w:r w:rsidR="002C56EB">
                              <w:rPr>
                                <w:rFonts w:ascii="標楷體" w:eastAsia="標楷體" w:hAnsi="標楷體" w:hint="eastAsia"/>
                                <w:sz w:val="20"/>
                                <w:szCs w:val="20"/>
                              </w:rPr>
                              <w:t>（</w:t>
                            </w:r>
                            <w:r w:rsidR="002C56EB">
                              <w:rPr>
                                <w:rFonts w:ascii="標楷體" w:eastAsia="標楷體" w:hAnsi="標楷體"/>
                                <w:sz w:val="20"/>
                                <w:szCs w:val="20"/>
                              </w:rPr>
                              <w:t>1</w:t>
                            </w:r>
                            <w:r w:rsidR="002C56EB">
                              <w:rPr>
                                <w:rFonts w:ascii="標楷體" w:eastAsia="標楷體" w:hAnsi="標楷體" w:hint="eastAsia"/>
                                <w:sz w:val="20"/>
                                <w:szCs w:val="20"/>
                              </w:rPr>
                              <w:t>項）</w:t>
                            </w:r>
                            <w:r>
                              <w:rPr>
                                <w:rFonts w:ascii="標楷體" w:eastAsia="標楷體" w:hAnsi="標楷體" w:hint="eastAsia"/>
                                <w:sz w:val="20"/>
                                <w:szCs w:val="20"/>
                              </w:rPr>
                              <w:t>（註</w:t>
                            </w:r>
                            <w:r w:rsidRPr="00391E4A">
                              <w:rPr>
                                <w:rFonts w:ascii="標楷體" w:eastAsia="標楷體" w:hAnsi="標楷體" w:hint="eastAsia"/>
                                <w:sz w:val="20"/>
                                <w:szCs w:val="20"/>
                              </w:rPr>
                              <w:t>1</w:t>
                            </w:r>
                            <w:r>
                              <w:rPr>
                                <w:rFonts w:ascii="標楷體" w:eastAsia="標楷體" w:hAnsi="標楷體" w:hint="eastAsia"/>
                                <w:sz w:val="20"/>
                                <w:szCs w:val="20"/>
                              </w:rPr>
                              <w:t>）、</w:t>
                            </w:r>
                            <w:r w:rsidRPr="004D1C4E">
                              <w:rPr>
                                <w:rFonts w:ascii="標楷體" w:eastAsia="標楷體" w:hAnsi="標楷體" w:hint="eastAsia"/>
                                <w:sz w:val="20"/>
                                <w:szCs w:val="20"/>
                              </w:rPr>
                              <w:t>中央研究院</w:t>
                            </w:r>
                            <w:r>
                              <w:rPr>
                                <w:rFonts w:ascii="標楷體" w:eastAsia="標楷體" w:hAnsi="標楷體" w:hint="eastAsia"/>
                                <w:sz w:val="20"/>
                                <w:szCs w:val="20"/>
                              </w:rPr>
                              <w:t>（1項）（</w:t>
                            </w:r>
                            <w:r w:rsidRPr="00391E4A">
                              <w:rPr>
                                <w:rFonts w:ascii="標楷體" w:eastAsia="標楷體" w:hAnsi="標楷體" w:hint="eastAsia"/>
                                <w:sz w:val="20"/>
                                <w:szCs w:val="20"/>
                              </w:rPr>
                              <w:t>註</w:t>
                            </w:r>
                            <w:r>
                              <w:rPr>
                                <w:rFonts w:ascii="標楷體" w:eastAsia="標楷體" w:hAnsi="標楷體" w:hint="eastAsia"/>
                                <w:sz w:val="20"/>
                                <w:szCs w:val="20"/>
                              </w:rPr>
                              <w:t>2）、</w:t>
                            </w:r>
                            <w:r w:rsidRPr="004D1C4E">
                              <w:rPr>
                                <w:rFonts w:ascii="標楷體" w:eastAsia="標楷體" w:hAnsi="標楷體" w:hint="eastAsia"/>
                                <w:sz w:val="20"/>
                                <w:szCs w:val="20"/>
                              </w:rPr>
                              <w:t>行政院國家科學技術發展基金</w:t>
                            </w:r>
                            <w:r>
                              <w:rPr>
                                <w:rFonts w:ascii="標楷體" w:eastAsia="標楷體" w:hAnsi="標楷體" w:hint="eastAsia"/>
                                <w:sz w:val="20"/>
                                <w:szCs w:val="20"/>
                              </w:rPr>
                              <w:t>（</w:t>
                            </w:r>
                            <w:r>
                              <w:rPr>
                                <w:rFonts w:ascii="標楷體" w:eastAsia="標楷體" w:hAnsi="標楷體"/>
                                <w:sz w:val="20"/>
                                <w:szCs w:val="20"/>
                              </w:rPr>
                              <w:t>1</w:t>
                            </w:r>
                            <w:r w:rsidRPr="004D1C4E">
                              <w:rPr>
                                <w:rFonts w:ascii="標楷體" w:eastAsia="標楷體" w:hAnsi="標楷體" w:hint="eastAsia"/>
                                <w:sz w:val="20"/>
                                <w:szCs w:val="20"/>
                              </w:rPr>
                              <w:t>項</w:t>
                            </w:r>
                            <w:r>
                              <w:rPr>
                                <w:rFonts w:ascii="標楷體" w:eastAsia="標楷體" w:hAnsi="標楷體" w:hint="eastAsia"/>
                                <w:sz w:val="20"/>
                                <w:szCs w:val="20"/>
                              </w:rPr>
                              <w:t>）、</w:t>
                            </w:r>
                            <w:r w:rsidRPr="004D1C4E">
                              <w:rPr>
                                <w:rFonts w:ascii="標楷體" w:eastAsia="標楷體" w:hAnsi="標楷體" w:hint="eastAsia"/>
                                <w:sz w:val="20"/>
                                <w:szCs w:val="20"/>
                              </w:rPr>
                              <w:t>交通部</w:t>
                            </w:r>
                            <w:r>
                              <w:rPr>
                                <w:rFonts w:ascii="標楷體" w:eastAsia="標楷體" w:hAnsi="標楷體" w:hint="eastAsia"/>
                                <w:sz w:val="20"/>
                                <w:szCs w:val="20"/>
                              </w:rPr>
                              <w:t>（</w:t>
                            </w:r>
                            <w:r>
                              <w:rPr>
                                <w:rFonts w:ascii="標楷體" w:eastAsia="標楷體" w:hAnsi="標楷體"/>
                                <w:sz w:val="20"/>
                                <w:szCs w:val="20"/>
                              </w:rPr>
                              <w:t>2</w:t>
                            </w:r>
                            <w:r w:rsidRPr="004D1C4E">
                              <w:rPr>
                                <w:rFonts w:ascii="標楷體" w:eastAsia="標楷體" w:hAnsi="標楷體" w:hint="eastAsia"/>
                                <w:sz w:val="20"/>
                                <w:szCs w:val="20"/>
                              </w:rPr>
                              <w:t>項</w:t>
                            </w:r>
                            <w:r>
                              <w:rPr>
                                <w:rFonts w:ascii="標楷體" w:eastAsia="標楷體" w:hAnsi="標楷體" w:hint="eastAsia"/>
                                <w:sz w:val="20"/>
                                <w:szCs w:val="20"/>
                              </w:rPr>
                              <w:t>）、</w:t>
                            </w:r>
                            <w:r w:rsidRPr="004D1C4E">
                              <w:rPr>
                                <w:rFonts w:ascii="標楷體" w:eastAsia="標楷體" w:hAnsi="標楷體" w:hint="eastAsia"/>
                                <w:sz w:val="20"/>
                                <w:szCs w:val="20"/>
                              </w:rPr>
                              <w:t>交通部中央氣象局</w:t>
                            </w:r>
                            <w:r>
                              <w:rPr>
                                <w:rFonts w:ascii="標楷體" w:eastAsia="標楷體" w:hAnsi="標楷體" w:hint="eastAsia"/>
                                <w:sz w:val="20"/>
                                <w:szCs w:val="20"/>
                              </w:rPr>
                              <w:t>（</w:t>
                            </w:r>
                            <w:r>
                              <w:rPr>
                                <w:rFonts w:ascii="標楷體" w:eastAsia="標楷體" w:hAnsi="標楷體"/>
                                <w:sz w:val="20"/>
                                <w:szCs w:val="20"/>
                              </w:rPr>
                              <w:t>7</w:t>
                            </w:r>
                            <w:r w:rsidRPr="004D1C4E">
                              <w:rPr>
                                <w:rFonts w:ascii="標楷體" w:eastAsia="標楷體" w:hAnsi="標楷體" w:hint="eastAsia"/>
                                <w:sz w:val="20"/>
                                <w:szCs w:val="20"/>
                              </w:rPr>
                              <w:t>項</w:t>
                            </w:r>
                            <w:r>
                              <w:rPr>
                                <w:rFonts w:ascii="標楷體" w:eastAsia="標楷體" w:hAnsi="標楷體" w:hint="eastAsia"/>
                                <w:sz w:val="20"/>
                                <w:szCs w:val="20"/>
                              </w:rPr>
                              <w:t>）、</w:t>
                            </w:r>
                            <w:r w:rsidRPr="00346BDD">
                              <w:rPr>
                                <w:rFonts w:ascii="標楷體" w:eastAsia="標楷體" w:hAnsi="標楷體" w:hint="eastAsia"/>
                                <w:sz w:val="20"/>
                                <w:szCs w:val="20"/>
                              </w:rPr>
                              <w:t>行政院（2項）、法務部（</w:t>
                            </w:r>
                            <w:r w:rsidRPr="00346BDD">
                              <w:rPr>
                                <w:rFonts w:ascii="標楷體" w:eastAsia="標楷體" w:hAnsi="標楷體"/>
                                <w:sz w:val="20"/>
                                <w:szCs w:val="20"/>
                              </w:rPr>
                              <w:t>7</w:t>
                            </w:r>
                            <w:r w:rsidRPr="00346BDD">
                              <w:rPr>
                                <w:rFonts w:ascii="標楷體" w:eastAsia="標楷體" w:hAnsi="標楷體" w:hint="eastAsia"/>
                                <w:sz w:val="20"/>
                                <w:szCs w:val="20"/>
                              </w:rPr>
                              <w:t>項）</w:t>
                            </w:r>
                            <w:r>
                              <w:rPr>
                                <w:rFonts w:ascii="標楷體" w:eastAsia="標楷體" w:hAnsi="標楷體" w:hint="eastAsia"/>
                                <w:sz w:val="20"/>
                                <w:szCs w:val="20"/>
                              </w:rPr>
                              <w:t>、</w:t>
                            </w:r>
                            <w:r w:rsidRPr="004D1C4E">
                              <w:rPr>
                                <w:rFonts w:ascii="標楷體" w:eastAsia="標楷體" w:hAnsi="標楷體" w:hint="eastAsia"/>
                                <w:sz w:val="20"/>
                                <w:szCs w:val="20"/>
                              </w:rPr>
                              <w:t>海洋委員會海巡署</w:t>
                            </w:r>
                            <w:r>
                              <w:rPr>
                                <w:rFonts w:ascii="標楷體" w:eastAsia="標楷體" w:hAnsi="標楷體" w:hint="eastAsia"/>
                                <w:sz w:val="20"/>
                                <w:szCs w:val="20"/>
                              </w:rPr>
                              <w:t>（</w:t>
                            </w:r>
                            <w:r w:rsidRPr="004D1C4E">
                              <w:rPr>
                                <w:rFonts w:ascii="標楷體" w:eastAsia="標楷體" w:hAnsi="標楷體" w:hint="eastAsia"/>
                                <w:sz w:val="20"/>
                                <w:szCs w:val="20"/>
                              </w:rPr>
                              <w:t>1項</w:t>
                            </w:r>
                            <w:r>
                              <w:rPr>
                                <w:rFonts w:ascii="標楷體" w:eastAsia="標楷體" w:hAnsi="標楷體" w:hint="eastAsia"/>
                                <w:sz w:val="20"/>
                                <w:szCs w:val="20"/>
                              </w:rPr>
                              <w:t>）、</w:t>
                            </w:r>
                            <w:r w:rsidRPr="004D1C4E">
                              <w:rPr>
                                <w:rFonts w:ascii="標楷體" w:eastAsia="標楷體" w:hAnsi="標楷體" w:hint="eastAsia"/>
                                <w:sz w:val="20"/>
                                <w:szCs w:val="20"/>
                              </w:rPr>
                              <w:t>海洋委員會國家海洋研究院</w:t>
                            </w:r>
                            <w:r>
                              <w:rPr>
                                <w:rFonts w:ascii="標楷體" w:eastAsia="標楷體" w:hAnsi="標楷體" w:hint="eastAsia"/>
                                <w:sz w:val="20"/>
                                <w:szCs w:val="20"/>
                              </w:rPr>
                              <w:t>（</w:t>
                            </w:r>
                            <w:r w:rsidRPr="004D1C4E">
                              <w:rPr>
                                <w:rFonts w:ascii="標楷體" w:eastAsia="標楷體" w:hAnsi="標楷體" w:hint="eastAsia"/>
                                <w:sz w:val="20"/>
                                <w:szCs w:val="20"/>
                              </w:rPr>
                              <w:t>1項</w:t>
                            </w:r>
                            <w:r>
                              <w:rPr>
                                <w:rFonts w:ascii="標楷體" w:eastAsia="標楷體" w:hAnsi="標楷體" w:hint="eastAsia"/>
                                <w:sz w:val="20"/>
                                <w:szCs w:val="20"/>
                              </w:rPr>
                              <w:t>）、</w:t>
                            </w:r>
                            <w:r w:rsidRPr="004D1C4E">
                              <w:rPr>
                                <w:rFonts w:ascii="標楷體" w:eastAsia="標楷體" w:hAnsi="標楷體" w:hint="eastAsia"/>
                                <w:sz w:val="20"/>
                                <w:szCs w:val="20"/>
                              </w:rPr>
                              <w:t>國防部</w:t>
                            </w:r>
                            <w:r>
                              <w:rPr>
                                <w:rFonts w:ascii="標楷體" w:eastAsia="標楷體" w:hAnsi="標楷體" w:hint="eastAsia"/>
                                <w:sz w:val="20"/>
                                <w:szCs w:val="20"/>
                              </w:rPr>
                              <w:t>（</w:t>
                            </w:r>
                            <w:r>
                              <w:rPr>
                                <w:rFonts w:ascii="標楷體" w:eastAsia="標楷體" w:hAnsi="標楷體"/>
                                <w:sz w:val="20"/>
                                <w:szCs w:val="20"/>
                              </w:rPr>
                              <w:t>3</w:t>
                            </w:r>
                            <w:r w:rsidRPr="004D1C4E">
                              <w:rPr>
                                <w:rFonts w:ascii="標楷體" w:eastAsia="標楷體" w:hAnsi="標楷體" w:hint="eastAsia"/>
                                <w:sz w:val="20"/>
                                <w:szCs w:val="20"/>
                              </w:rPr>
                              <w:t>項</w:t>
                            </w:r>
                            <w:r>
                              <w:rPr>
                                <w:rFonts w:ascii="標楷體" w:eastAsia="標楷體" w:hAnsi="標楷體" w:hint="eastAsia"/>
                                <w:sz w:val="20"/>
                                <w:szCs w:val="20"/>
                              </w:rPr>
                              <w:t>）、</w:t>
                            </w:r>
                            <w:r w:rsidRPr="004D1C4E">
                              <w:rPr>
                                <w:rFonts w:ascii="標楷體" w:eastAsia="標楷體" w:hAnsi="標楷體" w:hint="eastAsia"/>
                                <w:sz w:val="20"/>
                                <w:szCs w:val="20"/>
                              </w:rPr>
                              <w:t>國史館</w:t>
                            </w:r>
                            <w:r>
                              <w:rPr>
                                <w:rFonts w:ascii="標楷體" w:eastAsia="標楷體" w:hAnsi="標楷體" w:hint="eastAsia"/>
                                <w:sz w:val="20"/>
                                <w:szCs w:val="20"/>
                              </w:rPr>
                              <w:t>（</w:t>
                            </w:r>
                            <w:r w:rsidRPr="00391E4A">
                              <w:rPr>
                                <w:rFonts w:ascii="標楷體" w:eastAsia="標楷體" w:hAnsi="標楷體" w:hint="eastAsia"/>
                                <w:sz w:val="20"/>
                                <w:szCs w:val="20"/>
                              </w:rPr>
                              <w:t>1項</w:t>
                            </w:r>
                            <w:r>
                              <w:rPr>
                                <w:rFonts w:ascii="標楷體" w:eastAsia="標楷體" w:hAnsi="標楷體" w:hint="eastAsia"/>
                                <w:sz w:val="20"/>
                                <w:szCs w:val="20"/>
                              </w:rPr>
                              <w:t>）</w:t>
                            </w:r>
                          </w:p>
                        </w:tc>
                      </w:tr>
                      <w:tr w:rsidR="00CE57F9" w:rsidRPr="00DA3FAA" w14:paraId="4EBC7E0D" w14:textId="77777777" w:rsidTr="00DA2751">
                        <w:trPr>
                          <w:trHeight w:val="368"/>
                          <w:jc w:val="center"/>
                        </w:trPr>
                        <w:tc>
                          <w:tcPr>
                            <w:tcW w:w="5000" w:type="pct"/>
                            <w:gridSpan w:val="2"/>
                            <w:tcBorders>
                              <w:left w:val="nil"/>
                              <w:bottom w:val="nil"/>
                              <w:right w:val="nil"/>
                            </w:tcBorders>
                            <w:shd w:val="clear" w:color="auto" w:fill="auto"/>
                            <w:vAlign w:val="center"/>
                          </w:tcPr>
                          <w:p w14:paraId="710E8874" w14:textId="77777777" w:rsidR="00CE57F9" w:rsidRPr="00391E4A" w:rsidRDefault="00CE57F9" w:rsidP="00F72E6D">
                            <w:pPr>
                              <w:widowControl/>
                              <w:overflowPunct w:val="0"/>
                              <w:adjustRightInd w:val="0"/>
                              <w:snapToGrid w:val="0"/>
                              <w:ind w:leftChars="-50" w:left="1" w:hangingChars="67" w:hanging="121"/>
                              <w:suppressOverlap/>
                              <w:jc w:val="both"/>
                              <w:rPr>
                                <w:rFonts w:ascii="標楷體" w:eastAsia="標楷體" w:hAnsi="標楷體"/>
                                <w:sz w:val="18"/>
                                <w:szCs w:val="18"/>
                              </w:rPr>
                            </w:pPr>
                            <w:r w:rsidRPr="00391E4A">
                              <w:rPr>
                                <w:rFonts w:ascii="標楷體" w:eastAsia="標楷體" w:hAnsi="標楷體" w:hint="eastAsia"/>
                                <w:sz w:val="18"/>
                                <w:szCs w:val="18"/>
                              </w:rPr>
                              <w:t>註：1.已於111年7月27日改制為國家科學及技術委員會科技辦公室</w:t>
                            </w:r>
                            <w:r>
                              <w:rPr>
                                <w:rFonts w:ascii="標楷體" w:eastAsia="標楷體" w:hAnsi="標楷體" w:hint="eastAsia"/>
                                <w:sz w:val="18"/>
                                <w:szCs w:val="18"/>
                              </w:rPr>
                              <w:t>。</w:t>
                            </w:r>
                          </w:p>
                          <w:p w14:paraId="5595C09A" w14:textId="77777777" w:rsidR="00CE57F9" w:rsidRPr="00391E4A" w:rsidRDefault="00CE57F9" w:rsidP="00F72E6D">
                            <w:pPr>
                              <w:widowControl/>
                              <w:overflowPunct w:val="0"/>
                              <w:adjustRightInd w:val="0"/>
                              <w:snapToGrid w:val="0"/>
                              <w:ind w:leftChars="107" w:left="547" w:rightChars="-52" w:right="-125" w:hangingChars="161" w:hanging="290"/>
                              <w:suppressOverlap/>
                              <w:jc w:val="both"/>
                              <w:rPr>
                                <w:rFonts w:ascii="標楷體" w:eastAsia="標楷體" w:hAnsi="標楷體"/>
                                <w:sz w:val="18"/>
                                <w:szCs w:val="18"/>
                              </w:rPr>
                            </w:pPr>
                            <w:r w:rsidRPr="00391E4A">
                              <w:rPr>
                                <w:rFonts w:ascii="標楷體" w:eastAsia="標楷體" w:hAnsi="標楷體" w:hint="eastAsia"/>
                                <w:sz w:val="18"/>
                                <w:szCs w:val="18"/>
                              </w:rPr>
                              <w:t>2.中央研究院計有9項部會管制計畫，其餘8項已公告評核結果，1項未公告。</w:t>
                            </w:r>
                          </w:p>
                          <w:p w14:paraId="6D0AB487" w14:textId="529C2BBD" w:rsidR="00CE57F9" w:rsidRPr="00D37EBA" w:rsidRDefault="00CE57F9" w:rsidP="00F72E6D">
                            <w:pPr>
                              <w:widowControl/>
                              <w:overflowPunct w:val="0"/>
                              <w:adjustRightInd w:val="0"/>
                              <w:snapToGrid w:val="0"/>
                              <w:ind w:firstLineChars="142" w:firstLine="256"/>
                              <w:suppressOverlap/>
                              <w:jc w:val="both"/>
                              <w:rPr>
                                <w:rFonts w:ascii="標楷體" w:eastAsia="標楷體" w:hAnsi="標楷體"/>
                                <w:sz w:val="18"/>
                                <w:szCs w:val="18"/>
                              </w:rPr>
                            </w:pPr>
                            <w:r w:rsidRPr="00391E4A">
                              <w:rPr>
                                <w:rFonts w:ascii="標楷體" w:eastAsia="標楷體" w:hAnsi="標楷體" w:hint="eastAsia"/>
                                <w:sz w:val="18"/>
                                <w:szCs w:val="18"/>
                              </w:rPr>
                              <w:t>3.資料來源：整理自</w:t>
                            </w:r>
                            <w:r w:rsidRPr="00346BDD">
                              <w:rPr>
                                <w:rFonts w:ascii="標楷體" w:eastAsia="標楷體" w:hAnsi="標楷體" w:hint="eastAsia"/>
                                <w:sz w:val="18"/>
                                <w:szCs w:val="18"/>
                              </w:rPr>
                              <w:t>各機關網站（查詢日期</w:t>
                            </w:r>
                            <w:r w:rsidRPr="00346BDD">
                              <w:rPr>
                                <w:rFonts w:ascii="標楷體" w:eastAsia="標楷體" w:hAnsi="標楷體"/>
                                <w:sz w:val="18"/>
                                <w:szCs w:val="18"/>
                              </w:rPr>
                              <w:t>112年4月30日）</w:t>
                            </w:r>
                            <w:r w:rsidRPr="00391E4A">
                              <w:rPr>
                                <w:rFonts w:ascii="標楷體" w:eastAsia="標楷體" w:hAnsi="標楷體" w:hint="eastAsia"/>
                                <w:sz w:val="18"/>
                                <w:szCs w:val="18"/>
                              </w:rPr>
                              <w:t>及查填資料。</w:t>
                            </w:r>
                          </w:p>
                        </w:tc>
                      </w:tr>
                    </w:tbl>
                    <w:p w14:paraId="303C9EDA" w14:textId="77777777" w:rsidR="00CE57F9" w:rsidRPr="004170B2" w:rsidRDefault="00CE57F9" w:rsidP="00B85264"/>
                  </w:txbxContent>
                </v:textbox>
                <w10:wrap type="square" anchorx="margin"/>
              </v:shape>
            </w:pict>
          </mc:Fallback>
        </mc:AlternateContent>
      </w:r>
      <w:r w:rsidRPr="009D11AD">
        <w:rPr>
          <w:rFonts w:ascii="標楷體" w:eastAsia="標楷體" w:hAnsi="標楷體" w:hint="eastAsia"/>
          <w:kern w:val="0"/>
          <w:szCs w:val="32"/>
        </w:rPr>
        <w:t>交通部運輸研究所、經濟部（商業司、投資</w:t>
      </w:r>
      <w:r w:rsidR="00C67AE8" w:rsidRPr="009D11AD">
        <w:rPr>
          <w:rFonts w:ascii="標楷體" w:eastAsia="標楷體" w:hAnsi="標楷體" w:hint="eastAsia"/>
          <w:kern w:val="0"/>
          <w:szCs w:val="32"/>
        </w:rPr>
        <w:t>業務處）、經濟部中小企業處等，評核意見簡要，且不同計畫間評核意見大致相同；</w:t>
      </w:r>
      <w:r w:rsidR="00B729E6" w:rsidRPr="00346BDD">
        <w:rPr>
          <w:rFonts w:ascii="標楷體" w:eastAsia="標楷體" w:hAnsi="標楷體" w:hint="eastAsia"/>
          <w:kern w:val="0"/>
          <w:szCs w:val="32"/>
        </w:rPr>
        <w:t>（</w:t>
      </w:r>
      <w:r w:rsidR="00B729E6" w:rsidRPr="00346BDD">
        <w:rPr>
          <w:rFonts w:ascii="標楷體" w:eastAsia="標楷體" w:hAnsi="標楷體"/>
          <w:kern w:val="0"/>
          <w:szCs w:val="32"/>
        </w:rPr>
        <w:t>3）衛生福利部辦理之「原住民族、離島及偏鄉地區遠距醫療專科門診暨強化衛生所醫療影像設備計畫」、「全人健康促進與成癮防治研究」，及原子能委員會辦理之「原子能科技學術合作研究計畫」等計畫，預算已實現比率低，惟於部會評核時核列優等等情</w:t>
      </w:r>
      <w:r w:rsidR="00BA685E" w:rsidRPr="00346BDD">
        <w:rPr>
          <w:rFonts w:ascii="標楷體" w:eastAsia="標楷體" w:hAnsi="標楷體" w:hint="eastAsia"/>
          <w:kern w:val="0"/>
          <w:szCs w:val="32"/>
        </w:rPr>
        <w:t>事</w:t>
      </w:r>
      <w:r w:rsidR="00C67AE8" w:rsidRPr="00346BDD">
        <w:rPr>
          <w:rFonts w:ascii="標楷體" w:eastAsia="標楷體" w:hAnsi="標楷體" w:hint="eastAsia"/>
          <w:kern w:val="0"/>
          <w:szCs w:val="32"/>
        </w:rPr>
        <w:t>。</w:t>
      </w:r>
      <w:r w:rsidR="00C67AE8" w:rsidRPr="00E8164A">
        <w:rPr>
          <w:rFonts w:ascii="標楷體" w:eastAsia="標楷體" w:hAnsi="標楷體" w:hint="eastAsia"/>
          <w:kern w:val="0"/>
          <w:szCs w:val="32"/>
        </w:rPr>
        <w:t>又</w:t>
      </w:r>
      <w:r w:rsidR="00C67AE8" w:rsidRPr="005B4394">
        <w:rPr>
          <w:rFonts w:ascii="標楷體" w:eastAsia="標楷體" w:hAnsi="標楷體"/>
          <w:kern w:val="0"/>
          <w:szCs w:val="32"/>
        </w:rPr>
        <w:t>110</w:t>
      </w:r>
      <w:r w:rsidR="00C67AE8" w:rsidRPr="009D11AD">
        <w:rPr>
          <w:rFonts w:ascii="標楷體" w:eastAsia="標楷體" w:hAnsi="標楷體" w:hint="eastAsia"/>
          <w:kern w:val="0"/>
          <w:szCs w:val="32"/>
        </w:rPr>
        <w:t>年度跨機關共同辦理之科技發展計畫共42項</w:t>
      </w:r>
      <w:r w:rsidR="00C67AE8" w:rsidRPr="009D11AD">
        <w:rPr>
          <w:rFonts w:ascii="標楷體" w:eastAsia="標楷體" w:hAnsi="標楷體" w:hint="eastAsia"/>
          <w:kern w:val="0"/>
          <w:szCs w:val="24"/>
        </w:rPr>
        <w:t>，因部分主辦機關公告評核意見存有僅公告評核級別等情形，加以共同辦理機關亦未揭露相關辦理成果，致外界難以瞭解計畫整體執行情形。</w:t>
      </w:r>
      <w:r w:rsidR="00C67AE8" w:rsidRPr="009D11AD">
        <w:rPr>
          <w:rFonts w:ascii="標楷體" w:eastAsia="標楷體" w:hAnsi="標楷體" w:hint="eastAsia"/>
          <w:kern w:val="0"/>
          <w:szCs w:val="32"/>
        </w:rPr>
        <w:t>經函請行政院督促檢討落實科技發展計畫之管制評核作業，有效提升施政績效。</w:t>
      </w:r>
      <w:r w:rsidR="00C67AE8" w:rsidRPr="00DA2751">
        <w:rPr>
          <w:rFonts w:ascii="標楷體" w:eastAsia="標楷體" w:hAnsi="標楷體" w:hint="eastAsia"/>
          <w:bCs/>
          <w:kern w:val="0"/>
          <w:szCs w:val="32"/>
        </w:rPr>
        <w:t>據復</w:t>
      </w:r>
      <w:r w:rsidR="00C67AE8" w:rsidRPr="00E8164A">
        <w:rPr>
          <w:rFonts w:ascii="標楷體" w:eastAsia="標楷體" w:hAnsi="標楷體" w:hint="eastAsia"/>
          <w:bCs/>
          <w:kern w:val="0"/>
          <w:szCs w:val="32"/>
        </w:rPr>
        <w:t>：</w:t>
      </w:r>
      <w:r w:rsidR="00B729E6" w:rsidRPr="00346BDD">
        <w:rPr>
          <w:rFonts w:ascii="標楷體" w:eastAsia="標楷體" w:hAnsi="標楷體" w:hint="eastAsia"/>
          <w:bCs/>
          <w:kern w:val="0"/>
          <w:szCs w:val="32"/>
        </w:rPr>
        <w:t>國科會將要求各主管機關確依規定落實辦理管制評核作業；國家發展委員會於辦理教育訓練時，亦將提醒各主管機關</w:t>
      </w:r>
      <w:r w:rsidR="00E37E59" w:rsidRPr="00346BDD">
        <w:rPr>
          <w:rFonts w:ascii="標楷體" w:eastAsia="標楷體" w:hAnsi="標楷體" w:hint="eastAsia"/>
          <w:bCs/>
          <w:kern w:val="0"/>
          <w:szCs w:val="32"/>
        </w:rPr>
        <w:t>揭露</w:t>
      </w:r>
      <w:r w:rsidR="00B729E6" w:rsidRPr="00346BDD">
        <w:rPr>
          <w:rFonts w:ascii="標楷體" w:eastAsia="標楷體" w:hAnsi="標楷體" w:hint="eastAsia"/>
          <w:bCs/>
          <w:kern w:val="0"/>
          <w:szCs w:val="32"/>
        </w:rPr>
        <w:t>評核結果之重要性，並提供範例供參考，</w:t>
      </w:r>
      <w:r w:rsidR="00B729E6" w:rsidRPr="00AF6195">
        <w:rPr>
          <w:rFonts w:ascii="標楷體" w:eastAsia="標楷體" w:hAnsi="標楷體" w:hint="eastAsia"/>
          <w:bCs/>
          <w:kern w:val="0"/>
          <w:szCs w:val="32"/>
        </w:rPr>
        <w:t>以提升各機關作業知能</w:t>
      </w:r>
      <w:r w:rsidR="00C67AE8" w:rsidRPr="00AF6195">
        <w:rPr>
          <w:rFonts w:ascii="標楷體" w:eastAsia="標楷體" w:hAnsi="標楷體" w:hint="eastAsia"/>
          <w:bCs/>
          <w:kern w:val="0"/>
          <w:szCs w:val="32"/>
        </w:rPr>
        <w:t>。</w:t>
      </w:r>
    </w:p>
    <w:p w14:paraId="4E8B9092" w14:textId="6312AFC3" w:rsidR="002918AF" w:rsidRPr="009D11AD" w:rsidRDefault="00D17E69" w:rsidP="00DA2751">
      <w:pPr>
        <w:pStyle w:val="2"/>
        <w:spacing w:beforeLines="20" w:before="72" w:afterLines="20" w:after="72" w:line="460" w:lineRule="exact"/>
        <w:ind w:left="0" w:firstLineChars="200" w:firstLine="561"/>
        <w:rPr>
          <w:b/>
          <w:color w:val="FF0000"/>
          <w:sz w:val="20"/>
          <w:szCs w:val="24"/>
        </w:rPr>
      </w:pPr>
      <w:r w:rsidRPr="00E8164A">
        <w:rPr>
          <w:rFonts w:hint="eastAsia"/>
          <w:b/>
          <w:color w:val="000000" w:themeColor="text1"/>
          <w:sz w:val="28"/>
        </w:rPr>
        <w:lastRenderedPageBreak/>
        <w:t xml:space="preserve">（二十一）　</w:t>
      </w:r>
      <w:r w:rsidRPr="00B85264">
        <w:rPr>
          <w:rFonts w:hint="eastAsia"/>
          <w:b/>
          <w:color w:val="000000" w:themeColor="text1"/>
          <w:sz w:val="28"/>
        </w:rPr>
        <w:t>行政院及所屬各機關風險管理整合新制已正式施行3個年度，仍有部分機關未辦理風險管理作業並於年度施政績效報告揭露整體風險管理（含內部控制）推動情形，或未提出年度績效報</w:t>
      </w:r>
      <w:r w:rsidRPr="00E8164A">
        <w:rPr>
          <w:rFonts w:hint="eastAsia"/>
          <w:b/>
          <w:color w:val="000000" w:themeColor="text1"/>
          <w:sz w:val="28"/>
        </w:rPr>
        <w:t>告，允宜持續加強管理與輔導各機關推動風險管理及年度施政績效評核作業。</w:t>
      </w:r>
    </w:p>
    <w:p w14:paraId="4EAD13D0" w14:textId="6E95DD38" w:rsidR="00D17E69" w:rsidRPr="009D11AD" w:rsidRDefault="00D17E69" w:rsidP="00C928BB">
      <w:pPr>
        <w:pStyle w:val="affb"/>
        <w:kinsoku/>
        <w:overflowPunct w:val="0"/>
        <w:adjustRightInd/>
        <w:spacing w:line="440" w:lineRule="exact"/>
        <w:ind w:left="0" w:firstLineChars="200" w:firstLine="480"/>
        <w:jc w:val="both"/>
        <w:rPr>
          <w:rFonts w:hAnsi="標楷體"/>
          <w:sz w:val="24"/>
          <w:szCs w:val="24"/>
        </w:rPr>
      </w:pPr>
      <w:r w:rsidRPr="009D11AD">
        <w:rPr>
          <w:rFonts w:hAnsi="標楷體" w:hint="eastAsia"/>
          <w:sz w:val="24"/>
          <w:szCs w:val="24"/>
        </w:rPr>
        <w:t>行政院為推動行政院及所屬各機關（構）、公立學校（以下各機關）將風險管理融入日常作業及決策運作，自</w:t>
      </w:r>
      <w:r w:rsidRPr="009D11AD">
        <w:rPr>
          <w:rFonts w:hAnsi="標楷體"/>
          <w:sz w:val="24"/>
          <w:szCs w:val="24"/>
        </w:rPr>
        <w:t>94</w:t>
      </w:r>
      <w:r w:rsidRPr="009D11AD">
        <w:rPr>
          <w:rFonts w:hAnsi="標楷體" w:hint="eastAsia"/>
          <w:sz w:val="24"/>
          <w:szCs w:val="24"/>
        </w:rPr>
        <w:t>年起陸續推動行政機關風險管理、內部控制作業</w:t>
      </w:r>
      <w:r w:rsidR="00FF6330" w:rsidRPr="009D11AD">
        <w:rPr>
          <w:rFonts w:hAnsi="標楷體" w:hint="eastAsia"/>
          <w:sz w:val="24"/>
          <w:szCs w:val="24"/>
        </w:rPr>
        <w:t>，嗣</w:t>
      </w:r>
      <w:r w:rsidRPr="009D11AD">
        <w:rPr>
          <w:rFonts w:hAnsi="標楷體" w:hint="eastAsia"/>
          <w:sz w:val="24"/>
          <w:szCs w:val="24"/>
        </w:rPr>
        <w:t>經國家發展委員會與行政院主計總處整合風險管理、內部控制及績效管理三大機制，於</w:t>
      </w:r>
      <w:r w:rsidRPr="009D11AD">
        <w:rPr>
          <w:rFonts w:hAnsi="標楷體"/>
          <w:sz w:val="24"/>
          <w:szCs w:val="24"/>
        </w:rPr>
        <w:t>106年9月</w:t>
      </w:r>
      <w:r w:rsidRPr="009D11AD">
        <w:rPr>
          <w:rFonts w:hAnsi="標楷體" w:hint="eastAsia"/>
          <w:sz w:val="24"/>
          <w:szCs w:val="24"/>
        </w:rPr>
        <w:t>研訂行政院及所屬各機關風險管理及危機處理作業原則</w:t>
      </w:r>
      <w:r w:rsidRPr="009D11AD">
        <w:rPr>
          <w:rFonts w:hAnsi="標楷體"/>
          <w:sz w:val="24"/>
          <w:szCs w:val="24"/>
        </w:rPr>
        <w:t>（下稱風險管理作業原則）（</w:t>
      </w:r>
      <w:r w:rsidRPr="009D11AD">
        <w:rPr>
          <w:rFonts w:hAnsi="標楷體" w:hint="eastAsia"/>
          <w:sz w:val="24"/>
          <w:szCs w:val="24"/>
        </w:rPr>
        <w:t>草案</w:t>
      </w:r>
      <w:r w:rsidRPr="009D11AD">
        <w:rPr>
          <w:rFonts w:hAnsi="標楷體"/>
          <w:sz w:val="24"/>
          <w:szCs w:val="24"/>
        </w:rPr>
        <w:t>）</w:t>
      </w:r>
      <w:r w:rsidRPr="009D11AD">
        <w:rPr>
          <w:rFonts w:hAnsi="標楷體" w:hint="eastAsia"/>
          <w:sz w:val="24"/>
          <w:szCs w:val="24"/>
        </w:rPr>
        <w:t>，</w:t>
      </w:r>
      <w:r w:rsidRPr="009D11AD">
        <w:rPr>
          <w:rFonts w:hAnsi="標楷體"/>
          <w:sz w:val="24"/>
          <w:szCs w:val="24"/>
        </w:rPr>
        <w:t>108</w:t>
      </w:r>
      <w:r w:rsidRPr="009D11AD">
        <w:rPr>
          <w:rFonts w:hAnsi="標楷體" w:hint="eastAsia"/>
          <w:sz w:val="24"/>
          <w:szCs w:val="24"/>
        </w:rPr>
        <w:t>至</w:t>
      </w:r>
      <w:r w:rsidRPr="009D11AD">
        <w:rPr>
          <w:rFonts w:hAnsi="標楷體"/>
          <w:sz w:val="24"/>
          <w:szCs w:val="24"/>
        </w:rPr>
        <w:t>109</w:t>
      </w:r>
      <w:r w:rsidRPr="009D11AD">
        <w:rPr>
          <w:rFonts w:hAnsi="標楷體" w:hint="eastAsia"/>
          <w:sz w:val="24"/>
          <w:szCs w:val="24"/>
        </w:rPr>
        <w:t>年試辦整合新制</w:t>
      </w:r>
      <w:r w:rsidRPr="009D11AD">
        <w:rPr>
          <w:rFonts w:hAnsi="標楷體"/>
          <w:sz w:val="24"/>
          <w:szCs w:val="24"/>
        </w:rPr>
        <w:t>（下稱</w:t>
      </w:r>
      <w:r w:rsidRPr="009D11AD">
        <w:rPr>
          <w:rFonts w:hAnsi="標楷體" w:hint="eastAsia"/>
          <w:sz w:val="24"/>
          <w:szCs w:val="24"/>
        </w:rPr>
        <w:t>行政院及所屬各機關風險管理整合新制</w:t>
      </w:r>
      <w:r w:rsidRPr="009D11AD">
        <w:rPr>
          <w:rFonts w:hAnsi="標楷體"/>
          <w:sz w:val="24"/>
          <w:szCs w:val="24"/>
        </w:rPr>
        <w:t>）</w:t>
      </w:r>
      <w:r w:rsidR="00FF6330" w:rsidRPr="009D11AD">
        <w:rPr>
          <w:rFonts w:hAnsi="標楷體" w:hint="eastAsia"/>
          <w:sz w:val="24"/>
          <w:szCs w:val="24"/>
        </w:rPr>
        <w:t>，</w:t>
      </w:r>
      <w:r w:rsidRPr="009D11AD">
        <w:rPr>
          <w:rFonts w:hAnsi="標楷體" w:hint="eastAsia"/>
          <w:sz w:val="24"/>
          <w:szCs w:val="24"/>
        </w:rPr>
        <w:t>經行政院核定自</w:t>
      </w:r>
      <w:r w:rsidRPr="009D11AD">
        <w:rPr>
          <w:rFonts w:hAnsi="標楷體"/>
          <w:sz w:val="24"/>
          <w:szCs w:val="24"/>
        </w:rPr>
        <w:t>110年1月起施行。依據風險管理作業原則第14點第1項規定：「各機關應於每年2月28日前，檢討前一年度風險管理執行情形；其中涉及年度施政目標之重要風險處理結果，應納入前一年度施政績效報告，……</w:t>
      </w:r>
      <w:r w:rsidRPr="009D11AD">
        <w:rPr>
          <w:rFonts w:hAnsi="標楷體" w:hint="eastAsia"/>
          <w:sz w:val="24"/>
          <w:szCs w:val="24"/>
        </w:rPr>
        <w:t>。」行政院所屬機關研考業務聯繫辦法第</w:t>
      </w:r>
      <w:r w:rsidRPr="009D11AD">
        <w:rPr>
          <w:rFonts w:hAnsi="標楷體"/>
          <w:sz w:val="24"/>
          <w:szCs w:val="24"/>
        </w:rPr>
        <w:t>2條第1項</w:t>
      </w:r>
      <w:r w:rsidRPr="009D11AD">
        <w:rPr>
          <w:rFonts w:hAnsi="標楷體" w:hint="eastAsia"/>
          <w:sz w:val="24"/>
          <w:szCs w:val="24"/>
        </w:rPr>
        <w:t>第</w:t>
      </w:r>
      <w:r w:rsidRPr="009D11AD">
        <w:rPr>
          <w:rFonts w:hAnsi="標楷體"/>
          <w:sz w:val="24"/>
          <w:szCs w:val="24"/>
        </w:rPr>
        <w:t>2款</w:t>
      </w:r>
      <w:r w:rsidRPr="009D11AD">
        <w:rPr>
          <w:rFonts w:hAnsi="標楷體" w:hint="eastAsia"/>
          <w:sz w:val="24"/>
          <w:szCs w:val="24"/>
        </w:rPr>
        <w:t>規定：「關於行政院所屬機關施政績效之管理，由國家發展委員會綜合辦理。」按行政院及所屬各機關風險管理整合新制自</w:t>
      </w:r>
      <w:r w:rsidRPr="009D11AD">
        <w:rPr>
          <w:rFonts w:hAnsi="標楷體"/>
          <w:sz w:val="24"/>
          <w:szCs w:val="24"/>
        </w:rPr>
        <w:t>108年起試辦、110年正式施行，至112</w:t>
      </w:r>
      <w:r w:rsidRPr="009D11AD">
        <w:rPr>
          <w:rFonts w:hAnsi="標楷體" w:hint="eastAsia"/>
          <w:sz w:val="24"/>
          <w:szCs w:val="24"/>
        </w:rPr>
        <w:t>年度各主管機關辦理</w:t>
      </w:r>
      <w:r w:rsidRPr="009D11AD">
        <w:rPr>
          <w:rFonts w:hAnsi="標楷體"/>
          <w:sz w:val="24"/>
          <w:szCs w:val="24"/>
        </w:rPr>
        <w:t>111</w:t>
      </w:r>
      <w:r w:rsidRPr="009D11AD">
        <w:rPr>
          <w:rFonts w:hAnsi="標楷體" w:hint="eastAsia"/>
          <w:sz w:val="24"/>
          <w:szCs w:val="24"/>
        </w:rPr>
        <w:t>年度施政績效報告，已正式施行</w:t>
      </w:r>
      <w:r w:rsidRPr="009D11AD">
        <w:rPr>
          <w:rFonts w:hAnsi="標楷體"/>
          <w:sz w:val="24"/>
          <w:szCs w:val="24"/>
        </w:rPr>
        <w:t>3個年度，</w:t>
      </w:r>
      <w:r w:rsidRPr="009D11AD">
        <w:rPr>
          <w:rFonts w:hAnsi="標楷體" w:hint="eastAsia"/>
          <w:sz w:val="24"/>
          <w:szCs w:val="24"/>
        </w:rPr>
        <w:t>經查仍有國家運輸安全調查委員會、中央選舉委員會、原子能委員會、客家委員會等</w:t>
      </w:r>
      <w:r w:rsidRPr="009D11AD">
        <w:rPr>
          <w:rFonts w:hAnsi="標楷體"/>
          <w:sz w:val="24"/>
          <w:szCs w:val="24"/>
        </w:rPr>
        <w:t>4個</w:t>
      </w:r>
      <w:r w:rsidRPr="009D11AD">
        <w:rPr>
          <w:rFonts w:hAnsi="標楷體" w:hint="eastAsia"/>
          <w:sz w:val="24"/>
          <w:szCs w:val="24"/>
        </w:rPr>
        <w:t>主管機關未依規定於</w:t>
      </w:r>
      <w:r w:rsidRPr="009D11AD">
        <w:rPr>
          <w:rFonts w:hAnsi="標楷體"/>
          <w:sz w:val="24"/>
          <w:szCs w:val="24"/>
        </w:rPr>
        <w:t>111</w:t>
      </w:r>
      <w:r w:rsidRPr="009D11AD">
        <w:rPr>
          <w:rFonts w:hAnsi="標楷體" w:hint="eastAsia"/>
          <w:sz w:val="24"/>
          <w:szCs w:val="24"/>
        </w:rPr>
        <w:t>年度施政績效</w:t>
      </w:r>
      <w:r w:rsidRPr="009D11AD">
        <w:rPr>
          <w:rFonts w:hAnsi="標楷體"/>
          <w:sz w:val="24"/>
          <w:szCs w:val="24"/>
        </w:rPr>
        <w:t>報告</w:t>
      </w:r>
      <w:r w:rsidRPr="009D11AD">
        <w:rPr>
          <w:rFonts w:hAnsi="標楷體" w:hint="eastAsia"/>
          <w:sz w:val="24"/>
          <w:szCs w:val="24"/>
        </w:rPr>
        <w:t>呈現「整體風險管理</w:t>
      </w:r>
      <w:r w:rsidRPr="009D11AD">
        <w:rPr>
          <w:rFonts w:hAnsi="標楷體"/>
          <w:sz w:val="24"/>
          <w:szCs w:val="24"/>
        </w:rPr>
        <w:t>（含內部控制）推動情形」，</w:t>
      </w:r>
      <w:r w:rsidRPr="009D11AD">
        <w:rPr>
          <w:rFonts w:hAnsi="標楷體" w:hint="eastAsia"/>
          <w:sz w:val="24"/>
          <w:szCs w:val="24"/>
        </w:rPr>
        <w:t>顯示機關推動整合性風險管理之執行情形仍待落實。另自行政院所屬各機關施政績效管理要點於</w:t>
      </w:r>
      <w:r w:rsidRPr="009D11AD">
        <w:rPr>
          <w:rFonts w:hAnsi="標楷體"/>
          <w:sz w:val="24"/>
          <w:szCs w:val="24"/>
        </w:rPr>
        <w:t>104年5月22日起停止適用後，</w:t>
      </w:r>
      <w:r w:rsidRPr="009D11AD">
        <w:rPr>
          <w:rFonts w:hAnsi="標楷體" w:hint="eastAsia"/>
          <w:sz w:val="24"/>
          <w:szCs w:val="24"/>
        </w:rPr>
        <w:t>國家發展委員會於</w:t>
      </w:r>
      <w:r w:rsidRPr="009D11AD">
        <w:rPr>
          <w:rFonts w:hAnsi="標楷體"/>
          <w:sz w:val="24"/>
          <w:szCs w:val="24"/>
        </w:rPr>
        <w:t>107年10月19日函</w:t>
      </w:r>
      <w:r w:rsidRPr="009D11AD">
        <w:rPr>
          <w:rFonts w:hAnsi="標楷體" w:hint="eastAsia"/>
          <w:sz w:val="24"/>
          <w:szCs w:val="24"/>
        </w:rPr>
        <w:t>示「自</w:t>
      </w:r>
      <w:r w:rsidRPr="009D11AD">
        <w:rPr>
          <w:rFonts w:hAnsi="標楷體"/>
          <w:sz w:val="24"/>
          <w:szCs w:val="24"/>
        </w:rPr>
        <w:t>108</w:t>
      </w:r>
      <w:r w:rsidRPr="009D11AD">
        <w:rPr>
          <w:rFonts w:hAnsi="標楷體" w:hint="eastAsia"/>
          <w:sz w:val="24"/>
          <w:szCs w:val="24"/>
        </w:rPr>
        <w:t>年度起年度施政績效評估將由各部會自行辦理</w:t>
      </w:r>
      <w:r w:rsidRPr="009D11AD">
        <w:rPr>
          <w:rFonts w:hAnsi="標楷體"/>
          <w:sz w:val="24"/>
          <w:szCs w:val="24"/>
        </w:rPr>
        <w:t>。」</w:t>
      </w:r>
      <w:r w:rsidRPr="009D11AD">
        <w:rPr>
          <w:rFonts w:hAnsi="標楷體" w:hint="eastAsia"/>
          <w:sz w:val="24"/>
          <w:szCs w:val="24"/>
        </w:rPr>
        <w:t>經查不當黨產處理委員會</w:t>
      </w:r>
      <w:r w:rsidR="00FF6330" w:rsidRPr="009D11AD">
        <w:rPr>
          <w:rFonts w:hAnsi="標楷體" w:hint="eastAsia"/>
          <w:sz w:val="24"/>
          <w:szCs w:val="24"/>
        </w:rPr>
        <w:t>自始未辦理施政績效評估而未出具年度施政績效報告，</w:t>
      </w:r>
      <w:r w:rsidRPr="009D11AD">
        <w:rPr>
          <w:rFonts w:hAnsi="標楷體" w:hint="eastAsia"/>
          <w:sz w:val="24"/>
          <w:szCs w:val="24"/>
        </w:rPr>
        <w:t>國家運輸安全調查委員會、中央選舉委員會、客家委員會及原子能委員會等之年度施政績效報告內容實為工作報告或非屬主管機關之年度績效報告，國家發展委員會綜合管理行政院所屬機關施政績效及各機關推動風險管理之</w:t>
      </w:r>
      <w:r w:rsidRPr="009D11AD">
        <w:rPr>
          <w:rFonts w:hAnsi="標楷體" w:hint="eastAsia"/>
          <w:spacing w:val="-4"/>
          <w:sz w:val="24"/>
          <w:szCs w:val="24"/>
        </w:rPr>
        <w:t>執行情形，</w:t>
      </w:r>
      <w:r w:rsidRPr="009D11AD">
        <w:rPr>
          <w:rFonts w:hAnsi="標楷體" w:hint="eastAsia"/>
          <w:sz w:val="24"/>
          <w:szCs w:val="24"/>
        </w:rPr>
        <w:t>仍待加</w:t>
      </w:r>
      <w:r w:rsidRPr="009D11AD">
        <w:rPr>
          <w:rFonts w:hAnsi="標楷體" w:hint="eastAsia"/>
          <w:spacing w:val="-4"/>
          <w:sz w:val="24"/>
          <w:szCs w:val="24"/>
        </w:rPr>
        <w:t>強管理與輔導。</w:t>
      </w:r>
      <w:r w:rsidRPr="009D11AD">
        <w:rPr>
          <w:rFonts w:hAnsi="標楷體" w:hint="eastAsia"/>
          <w:sz w:val="24"/>
          <w:szCs w:val="24"/>
        </w:rPr>
        <w:t>經函請行政院督促相關機關落實辦理機關整體性風險管理及年度施政績效評估，並促請國家發展委員會持續加強管理與輔導，促使機關辨識可能影響施政目標達成之風險，據以採取內部控制或其他處理機制，以合理確保達成施政目標，覈實呈現政府施政績效。</w:t>
      </w:r>
      <w:r w:rsidRPr="00DA2751">
        <w:rPr>
          <w:rFonts w:hAnsi="標楷體" w:hint="eastAsia"/>
          <w:sz w:val="24"/>
          <w:szCs w:val="24"/>
        </w:rPr>
        <w:t>據復</w:t>
      </w:r>
      <w:r w:rsidRPr="00A75869">
        <w:rPr>
          <w:rFonts w:hAnsi="標楷體" w:hint="eastAsia"/>
          <w:sz w:val="24"/>
          <w:szCs w:val="24"/>
        </w:rPr>
        <w:t>：</w:t>
      </w:r>
      <w:r w:rsidR="00A75869" w:rsidRPr="00346BDD">
        <w:rPr>
          <w:rFonts w:hAnsi="標楷體" w:hint="eastAsia"/>
          <w:sz w:val="24"/>
          <w:szCs w:val="24"/>
        </w:rPr>
        <w:t>國家發展委員會已製作數位課程於</w:t>
      </w:r>
      <w:r w:rsidR="00A75869" w:rsidRPr="00346BDD">
        <w:rPr>
          <w:rFonts w:hAnsi="標楷體"/>
          <w:sz w:val="24"/>
          <w:szCs w:val="24"/>
        </w:rPr>
        <w:t>e等公務園上線，並每年持續開辦行政機關風險管理研習班及因應各機關之需求派員協助辦理風險管理整合新制教育訓練，以促進各機關善用風險管理工具，強化自主風險管理，確保如期如質如度達成年度施政目標；部分尚未依規定辦理風險管理並於年度績效報告揭露之機關，嗣後將依規定持續檢討風險管理執行情形及辦理年度施政績效評估，國家發展委員會未來仍將請各部會加強管理與輔導所屬機關辦理風險管理及年度施政績效評核作業，以持續落實機關自主管理。</w:t>
      </w:r>
    </w:p>
    <w:p w14:paraId="2CF9C8AB" w14:textId="06549EB7" w:rsidR="00247330" w:rsidRPr="00DA2751" w:rsidRDefault="00247330" w:rsidP="00002FE8">
      <w:pPr>
        <w:pStyle w:val="2"/>
        <w:kinsoku/>
        <w:overflowPunct w:val="0"/>
        <w:spacing w:beforeLines="20" w:before="72" w:afterLines="20" w:after="72" w:line="460" w:lineRule="exact"/>
        <w:ind w:left="0" w:firstLineChars="200" w:firstLine="561"/>
        <w:rPr>
          <w:rFonts w:hAnsi="標楷體"/>
          <w:b/>
          <w:sz w:val="28"/>
          <w:szCs w:val="28"/>
        </w:rPr>
      </w:pPr>
      <w:r w:rsidRPr="00DA2751">
        <w:rPr>
          <w:rFonts w:hAnsi="標楷體" w:hint="eastAsia"/>
          <w:b/>
          <w:sz w:val="28"/>
          <w:szCs w:val="28"/>
        </w:rPr>
        <w:lastRenderedPageBreak/>
        <w:t>（二十</w:t>
      </w:r>
      <w:r w:rsidR="003573DB" w:rsidRPr="00DA2751">
        <w:rPr>
          <w:rFonts w:hAnsi="標楷體" w:hint="eastAsia"/>
          <w:b/>
          <w:sz w:val="28"/>
          <w:szCs w:val="28"/>
        </w:rPr>
        <w:t>二</w:t>
      </w:r>
      <w:r w:rsidRPr="00DA2751">
        <w:rPr>
          <w:rFonts w:hAnsi="標楷體" w:hint="eastAsia"/>
          <w:b/>
          <w:sz w:val="28"/>
          <w:szCs w:val="28"/>
        </w:rPr>
        <w:t xml:space="preserve">）　</w:t>
      </w:r>
      <w:r w:rsidRPr="00002FE8">
        <w:rPr>
          <w:rFonts w:hAnsi="標楷體" w:hint="eastAsia"/>
          <w:b/>
          <w:sz w:val="28"/>
          <w:szCs w:val="28"/>
        </w:rPr>
        <w:t>國家發展委員會辦理重要社會發展計畫之中長程個案計畫審議作業、預算先期作業審議、個案計畫管考作業、總結評估報告審查作業，部分屆期（前期）計畫總結評估報告審查建議意見未獲參採或改善，相關執行缺失仍持續於延續性計畫發生；部分計畫訂定年度績效指標仍乏產出型或成果效益型指標，不易呈現計畫推動獲致之產出及對於整體社會、經濟之實質效益；重要社會發展計畫短編預算情形嚴重，且有計畫已暫緩執行仍未辦理計畫修正或終止之報核，又中長程個案計畫編審要點尚乏得免依規定程序辦理修正計畫之具體判斷標準等，允宜檢討改善。</w:t>
      </w:r>
    </w:p>
    <w:p w14:paraId="67423B66" w14:textId="77777777" w:rsidR="00247330" w:rsidRPr="009D11AD" w:rsidRDefault="00247330" w:rsidP="00DA2751">
      <w:pPr>
        <w:pStyle w:val="affb"/>
        <w:kinsoku/>
        <w:overflowPunct w:val="0"/>
        <w:adjustRightInd/>
        <w:spacing w:line="420" w:lineRule="exact"/>
        <w:ind w:left="0" w:firstLineChars="200" w:firstLine="480"/>
        <w:jc w:val="both"/>
        <w:rPr>
          <w:rFonts w:hAnsi="標楷體"/>
          <w:sz w:val="24"/>
          <w:szCs w:val="24"/>
        </w:rPr>
      </w:pPr>
      <w:r w:rsidRPr="009D11AD">
        <w:rPr>
          <w:rFonts w:hAnsi="標楷體" w:hint="eastAsia"/>
          <w:sz w:val="24"/>
          <w:szCs w:val="24"/>
        </w:rPr>
        <w:t>行政院為提升所屬機關個案計畫管理及評核作業制度效能，並結合中長程個案計畫全生命週期績效管理制度，就計畫擬定、預算資源分配、管制考核等面向，訂定行政院所屬各機關中長程個案計畫編審要點（下稱中長程個案計畫編審要點</w:t>
      </w:r>
      <w:r w:rsidRPr="009D11AD">
        <w:rPr>
          <w:rFonts w:hAnsi="標楷體"/>
          <w:sz w:val="24"/>
          <w:szCs w:val="24"/>
        </w:rPr>
        <w:t>）</w:t>
      </w:r>
      <w:r w:rsidRPr="009D11AD">
        <w:rPr>
          <w:rFonts w:hAnsi="標楷體" w:hint="eastAsia"/>
          <w:sz w:val="24"/>
          <w:szCs w:val="24"/>
        </w:rPr>
        <w:t>、行政院重要社會發展計畫先期作業實施要點、行政院所屬機關111年度重要社會發展計畫先期作業編審原則、行政院及所屬各機關中長程個案計畫總結評估報告備查作業流程－公共建設計畫暨社會發展計畫（下稱總結評估報告備查作業流程）。又為提升所屬機關個案計畫管理及評核作業制度效能，訂定行政院所屬各機關個案計畫管制評核作業要點，並建置行政院政府計畫管理資訊網（GPMnet），供各機關登錄個案計畫資料及辦理各項管制管考作業。中央政府各機關依行政院主計總處111年度總決算編製作業手冊－各機關編製單位決算之書表、格式26「重大社會發展、科技發展計畫執行情形及目標達成情形表」，揭露重要社會發展計畫辦理情形。經統計，111年度中央政府各機關揭露之重要社會發展計畫計</w:t>
      </w:r>
      <w:r w:rsidRPr="009D11AD">
        <w:rPr>
          <w:rFonts w:hAnsi="標楷體"/>
          <w:sz w:val="24"/>
          <w:szCs w:val="24"/>
        </w:rPr>
        <w:t>98</w:t>
      </w:r>
      <w:r w:rsidRPr="009D11AD">
        <w:rPr>
          <w:rFonts w:hAnsi="標楷體" w:hint="eastAsia"/>
          <w:sz w:val="24"/>
          <w:szCs w:val="24"/>
        </w:rPr>
        <w:t>項，核定總經費</w:t>
      </w:r>
      <w:r w:rsidRPr="009D11AD">
        <w:rPr>
          <w:rFonts w:hAnsi="標楷體"/>
          <w:sz w:val="24"/>
          <w:szCs w:val="24"/>
        </w:rPr>
        <w:t>3,147</w:t>
      </w:r>
      <w:r w:rsidRPr="009D11AD">
        <w:rPr>
          <w:rFonts w:hAnsi="標楷體" w:hint="eastAsia"/>
          <w:sz w:val="24"/>
          <w:szCs w:val="24"/>
        </w:rPr>
        <w:t>億</w:t>
      </w:r>
      <w:r w:rsidRPr="009D11AD">
        <w:rPr>
          <w:rFonts w:hAnsi="標楷體"/>
          <w:sz w:val="24"/>
          <w:szCs w:val="24"/>
        </w:rPr>
        <w:t>7,254</w:t>
      </w:r>
      <w:r w:rsidRPr="009D11AD">
        <w:rPr>
          <w:rFonts w:hAnsi="標楷體" w:hint="eastAsia"/>
          <w:sz w:val="24"/>
          <w:szCs w:val="24"/>
        </w:rPr>
        <w:t>萬餘元，截至111年底止，已編列預算</w:t>
      </w:r>
      <w:r w:rsidRPr="009D11AD">
        <w:rPr>
          <w:rFonts w:hAnsi="標楷體"/>
          <w:sz w:val="24"/>
          <w:szCs w:val="24"/>
        </w:rPr>
        <w:t>1,502</w:t>
      </w:r>
      <w:r w:rsidRPr="009D11AD">
        <w:rPr>
          <w:rFonts w:hAnsi="標楷體" w:hint="eastAsia"/>
          <w:sz w:val="24"/>
          <w:szCs w:val="24"/>
        </w:rPr>
        <w:t>億</w:t>
      </w:r>
      <w:r w:rsidRPr="009D11AD">
        <w:rPr>
          <w:rFonts w:hAnsi="標楷體"/>
          <w:sz w:val="24"/>
          <w:szCs w:val="24"/>
        </w:rPr>
        <w:t>4,603</w:t>
      </w:r>
      <w:r w:rsidRPr="009D11AD">
        <w:rPr>
          <w:rFonts w:hAnsi="標楷體" w:hint="eastAsia"/>
          <w:sz w:val="24"/>
          <w:szCs w:val="24"/>
        </w:rPr>
        <w:t>萬餘元，累計實現數</w:t>
      </w:r>
      <w:r w:rsidRPr="009D11AD">
        <w:rPr>
          <w:rFonts w:hAnsi="標楷體"/>
          <w:sz w:val="24"/>
          <w:szCs w:val="24"/>
        </w:rPr>
        <w:t>1,401</w:t>
      </w:r>
      <w:r w:rsidRPr="009D11AD">
        <w:rPr>
          <w:rFonts w:hAnsi="標楷體" w:hint="eastAsia"/>
          <w:sz w:val="24"/>
          <w:szCs w:val="24"/>
        </w:rPr>
        <w:t>億</w:t>
      </w:r>
      <w:r w:rsidRPr="009D11AD">
        <w:rPr>
          <w:rFonts w:hAnsi="標楷體"/>
          <w:sz w:val="24"/>
          <w:szCs w:val="24"/>
        </w:rPr>
        <w:t>6,405</w:t>
      </w:r>
      <w:r w:rsidRPr="009D11AD">
        <w:rPr>
          <w:rFonts w:hAnsi="標楷體" w:hint="eastAsia"/>
          <w:sz w:val="24"/>
          <w:szCs w:val="24"/>
        </w:rPr>
        <w:t>萬餘元，已實現比率93.29％。經查國家發展委員會辦理重要社會發展計畫有關中長程個案計畫審議作業、預算先期作業審議、個案計畫管考作業、總結評估報告審查作業等情形，核有下列事項：</w:t>
      </w:r>
    </w:p>
    <w:p w14:paraId="72EDACDD" w14:textId="7B3AAC0D" w:rsidR="00247330" w:rsidRPr="009D11AD" w:rsidRDefault="00247330" w:rsidP="00C928BB">
      <w:pPr>
        <w:overflowPunct w:val="0"/>
        <w:snapToGrid w:val="0"/>
        <w:spacing w:line="440" w:lineRule="exact"/>
        <w:ind w:firstLineChars="450" w:firstLine="1081"/>
        <w:jc w:val="both"/>
        <w:outlineLvl w:val="2"/>
        <w:rPr>
          <w:rFonts w:ascii="標楷體" w:eastAsia="標楷體" w:hAnsi="標楷體"/>
          <w:szCs w:val="24"/>
        </w:rPr>
      </w:pPr>
      <w:r w:rsidRPr="009D11AD">
        <w:rPr>
          <w:rFonts w:ascii="標楷體" w:eastAsia="標楷體" w:hAnsi="標楷體" w:hint="eastAsia"/>
          <w:b/>
          <w:szCs w:val="24"/>
        </w:rPr>
        <w:t>1.　各機關提報延續性中長程個案計畫之審議、核定以及其先期作業審議之規定時程，早於屆期（前期）計畫執行完竣期程，致部分屆期（前期）計畫總結評估報告審查建議意見未獲參採或改善，相關執行缺失仍持續於延續性計畫發生，允宜研議改善措施，以發揮屆期（前期）計畫總結評估之審查效益：</w:t>
      </w:r>
      <w:r w:rsidRPr="009D11AD">
        <w:rPr>
          <w:rFonts w:ascii="標楷體" w:eastAsia="標楷體" w:hAnsi="標楷體" w:hint="eastAsia"/>
          <w:szCs w:val="24"/>
        </w:rPr>
        <w:t>國家發展委員會自109年度起分年辦理108至110年度各年度屆期公共建設計畫及社會發展計畫之總結評估報告審查作業，審查結果分別於110年3月17日、111年4月21日、112年1月30日以行政院函復各主管機關同意備查。按國家發展委員會對於各年度屆期計畫除提出整體性建議外，另亦提出個案之建議意見，其中包含建議延續性計畫改善績效指標設定（舉如：原住民族委員會辦理之原住民族住宅四年計畫：「本案各項績效指標之年度目標值均以百分比衡量，</w:t>
      </w:r>
      <w:r w:rsidRPr="009D11AD">
        <w:rPr>
          <w:rFonts w:ascii="標楷體" w:eastAsia="標楷體" w:hAnsi="標楷體"/>
          <w:szCs w:val="24"/>
        </w:rPr>
        <w:t>……</w:t>
      </w:r>
      <w:r w:rsidRPr="009D11AD">
        <w:rPr>
          <w:rFonts w:ascii="標楷體" w:eastAsia="標楷體" w:hAnsi="標楷體" w:hint="eastAsia"/>
          <w:szCs w:val="24"/>
        </w:rPr>
        <w:t>；建請適時修正第二期計畫之KPI衡量方式及目標值，</w:t>
      </w:r>
      <w:r w:rsidRPr="009D11AD">
        <w:rPr>
          <w:rFonts w:ascii="標楷體" w:eastAsia="標楷體" w:hAnsi="標楷體" w:hint="eastAsia"/>
          <w:szCs w:val="24"/>
        </w:rPr>
        <w:lastRenderedPageBreak/>
        <w:t>年度目標值應設定預計完成之『工作量』或是可具體衡量之成果型指標，以資明確」；文化部辦理之影視音產業發展中程計畫：「本案後續計畫</w:t>
      </w:r>
      <w:r w:rsidRPr="009D11AD">
        <w:rPr>
          <w:rFonts w:ascii="標楷體" w:eastAsia="標楷體" w:hAnsi="標楷體"/>
          <w:szCs w:val="24"/>
        </w:rPr>
        <w:t>……</w:t>
      </w:r>
      <w:r w:rsidRPr="009D11AD">
        <w:rPr>
          <w:rFonts w:ascii="標楷體" w:eastAsia="標楷體" w:hAnsi="標楷體" w:hint="eastAsia"/>
          <w:szCs w:val="24"/>
        </w:rPr>
        <w:t>，更應強化各影視音產業與網路新媒體之結合，據以訂定績效指標，逐年檢視成果，並作為次年度先期作業核列預算之衡量標準」）；或計畫核定經費與法定預算數差距甚大，中長程個案計畫規劃作業及預算編列配置上尚有檢討空間（舉如：衛生福利部辦理之食安新秩序－食安網絡計畫及新興傳染病風險監測與應變整備計畫）等審查建議意見。經查部分屆期（前期）計畫之延續性計畫依總結評估報告審查結果所列建議意見改善情形，仍有績效目標值未以工作量或成果型指標衡量</w:t>
      </w:r>
      <w:r w:rsidR="007A1528">
        <w:rPr>
          <w:rFonts w:ascii="標楷體" w:eastAsia="標楷體" w:hAnsi="標楷體" w:hint="eastAsia"/>
          <w:szCs w:val="24"/>
        </w:rPr>
        <w:t>，</w:t>
      </w:r>
      <w:r w:rsidRPr="009D11AD">
        <w:rPr>
          <w:rFonts w:ascii="標楷體" w:eastAsia="標楷體" w:hAnsi="標楷體" w:hint="eastAsia"/>
          <w:szCs w:val="24"/>
        </w:rPr>
        <w:t>或未設定各影視音產業與網路新媒體結合之相關指標；截至111年底止計畫核定經費與法定預算數仍存在鉅額差異等情，總結評估報告之審查建議意見顯未獲主辦（管）機關參採或改善。又依中長程個案計畫編審要點及總結評估報告備查作業流程之辦理期程，屆期（前期）計畫如有延續性計畫，各機關提報延續性中長程個案計畫審議、核定以及其先期作業審議時［以110年度屆期（前期）計畫為例，其111年度起延續性計畫依中長程個案計畫編審要點第6點規定應於110年4月底前提報中長程個案計畫經行政院或機關首長核定，併同提報國家發展委員會辦理先期作業審議，始得編列111年度預算］，屆期（前期）計畫尚未執行完竣，自無總結評估報告及相關審查建議意見可供參考，實務運作時程與中長程個案計畫編審要點第13點：「</w:t>
      </w:r>
      <w:r w:rsidRPr="009D11AD">
        <w:rPr>
          <w:rFonts w:ascii="標楷體" w:eastAsia="標楷體" w:hAnsi="標楷體"/>
          <w:szCs w:val="24"/>
        </w:rPr>
        <w:t>……</w:t>
      </w:r>
      <w:r w:rsidRPr="009D11AD">
        <w:rPr>
          <w:rFonts w:ascii="標楷體" w:eastAsia="標楷體" w:hAnsi="標楷體" w:hint="eastAsia"/>
          <w:szCs w:val="24"/>
        </w:rPr>
        <w:t>中長程個案計畫執行完成後，各機關應就其實施成效作成總結評估報告，送核定機關備查，</w:t>
      </w:r>
      <w:r w:rsidRPr="009D11AD">
        <w:rPr>
          <w:rFonts w:ascii="標楷體" w:eastAsia="標楷體" w:hAnsi="標楷體"/>
          <w:szCs w:val="24"/>
        </w:rPr>
        <w:t>……</w:t>
      </w:r>
      <w:r w:rsidRPr="009D11AD">
        <w:rPr>
          <w:rFonts w:ascii="標楷體" w:eastAsia="標楷體" w:hAnsi="標楷體" w:hint="eastAsia"/>
          <w:szCs w:val="24"/>
        </w:rPr>
        <w:t>。前二項之評估結果，應作為中長程個案計畫審議、預算先期作業及重排序等資源配置之參考。」之規定未合，衍生審查屆期（前期）計畫之建議改善項目未獲參採，相關執行缺失仍於延續性計畫持續發生，未能有效彰顯總結評估報告審查效</w:t>
      </w:r>
      <w:r w:rsidRPr="009D11AD">
        <w:rPr>
          <w:rFonts w:ascii="標楷體" w:eastAsia="標楷體" w:hAnsi="標楷體" w:hint="eastAsia"/>
          <w:color w:val="000000" w:themeColor="text1"/>
          <w:szCs w:val="24"/>
        </w:rPr>
        <w:t>益。經函請國家發展委員會研議改善措施，落實將總結評估報告作為延續性中長程個案計畫審議、及起始年預算先期作業審</w:t>
      </w:r>
      <w:r w:rsidRPr="009D11AD">
        <w:rPr>
          <w:rFonts w:ascii="標楷體" w:eastAsia="標楷體" w:hAnsi="標楷體" w:hint="eastAsia"/>
          <w:szCs w:val="24"/>
        </w:rPr>
        <w:t>議之參考，發揮計畫總結評估之審查效益。</w:t>
      </w:r>
      <w:r w:rsidRPr="00DA2751">
        <w:rPr>
          <w:rFonts w:ascii="標楷體" w:eastAsia="標楷體" w:hAnsi="標楷體" w:hint="eastAsia"/>
          <w:szCs w:val="24"/>
        </w:rPr>
        <w:t>據復：</w:t>
      </w:r>
      <w:r w:rsidR="00EA6C1F" w:rsidRPr="00346BDD">
        <w:rPr>
          <w:rFonts w:ascii="標楷體" w:eastAsia="標楷體" w:hAnsi="標楷體" w:hint="eastAsia"/>
          <w:szCs w:val="24"/>
        </w:rPr>
        <w:t>各機關為銜接前期計畫執行效益，於前期計畫未屆期前即提報之延續性中長程個案計畫，其審議及先期作業時程雖與總結評估報告審查作業時程存在一段時間之落差，惟仍應依中長程個案計畫編審要點第</w:t>
      </w:r>
      <w:r w:rsidR="00EA6C1F" w:rsidRPr="00346BDD">
        <w:rPr>
          <w:rFonts w:ascii="標楷體" w:eastAsia="標楷體" w:hAnsi="標楷體"/>
          <w:szCs w:val="24"/>
        </w:rPr>
        <w:t>5點第3項第7款之規定，詳細評估前期計畫績效，並列於該點第1項第3款所定「現行相關政策及方案之檢討」中；</w:t>
      </w:r>
      <w:r w:rsidR="00852168" w:rsidRPr="00346BDD">
        <w:rPr>
          <w:rFonts w:ascii="標楷體" w:eastAsia="標楷體" w:hAnsi="標楷體" w:hint="eastAsia"/>
          <w:szCs w:val="24"/>
        </w:rPr>
        <w:t>該</w:t>
      </w:r>
      <w:r w:rsidR="00EA6C1F" w:rsidRPr="00346BDD">
        <w:rPr>
          <w:rFonts w:ascii="標楷體" w:eastAsia="標楷體" w:hAnsi="標楷體"/>
          <w:szCs w:val="24"/>
        </w:rPr>
        <w:t>會亦持續透過教育訓練，對各機關加強宣導，依計畫三級管制作業原則，由各權責機關督導所屬加強管控執行及落實屆期計畫總結評估報告審查建議。</w:t>
      </w:r>
    </w:p>
    <w:p w14:paraId="230DA14F" w14:textId="3CE9FF31" w:rsidR="00247330" w:rsidRPr="009D11AD" w:rsidRDefault="00247330" w:rsidP="00E37E59">
      <w:pPr>
        <w:overflowPunct w:val="0"/>
        <w:snapToGrid w:val="0"/>
        <w:spacing w:line="460" w:lineRule="exact"/>
        <w:ind w:firstLineChars="450" w:firstLine="1081"/>
        <w:jc w:val="both"/>
        <w:outlineLvl w:val="2"/>
        <w:rPr>
          <w:rFonts w:ascii="標楷體" w:eastAsia="標楷體" w:hAnsi="標楷體"/>
          <w:szCs w:val="24"/>
        </w:rPr>
      </w:pPr>
      <w:r w:rsidRPr="009D11AD">
        <w:rPr>
          <w:rFonts w:ascii="標楷體" w:eastAsia="標楷體" w:hAnsi="標楷體" w:hint="eastAsia"/>
          <w:b/>
          <w:szCs w:val="24"/>
        </w:rPr>
        <w:t>2.　部分重要社會發展計畫訂定年度績效指標仍乏產出型或成果效益型指標，不易呈現計畫推動獲致之產出，亦無法衡量計畫資源投入後對於整體社會及經濟之實質效益，允宜督促各機關確依規定妥為訂定績效指標；又部分計畫須推動一定期間後方可評估計畫執行效果，允宜研議建立追蹤機制，以衡量重要社會發展計畫推動成效</w:t>
      </w:r>
      <w:r w:rsidR="00CE3FB9" w:rsidRPr="009D11AD">
        <w:rPr>
          <w:rFonts w:ascii="標楷體" w:eastAsia="標楷體" w:hAnsi="標楷體" w:hint="eastAsia"/>
          <w:b/>
          <w:szCs w:val="24"/>
        </w:rPr>
        <w:t>：</w:t>
      </w:r>
      <w:r w:rsidRPr="009D11AD">
        <w:rPr>
          <w:rFonts w:ascii="標楷體" w:eastAsia="標楷體" w:hAnsi="標楷體" w:hint="eastAsia"/>
          <w:szCs w:val="24"/>
        </w:rPr>
        <w:t>依據中長程個案計畫編審要點第5點規定：「中長程個案計畫內容，除法令另有規定外，應包括下列事項：</w:t>
      </w:r>
      <w:r w:rsidRPr="009D11AD">
        <w:rPr>
          <w:rFonts w:ascii="標楷體" w:eastAsia="標楷體" w:hAnsi="標楷體"/>
          <w:szCs w:val="24"/>
        </w:rPr>
        <w:t>……</w:t>
      </w:r>
      <w:r w:rsidRPr="009D11AD">
        <w:rPr>
          <w:rFonts w:ascii="標楷體" w:eastAsia="標楷體" w:hAnsi="標楷體" w:hint="eastAsia"/>
          <w:szCs w:val="24"/>
        </w:rPr>
        <w:t>（二）計畫目標：</w:t>
      </w:r>
      <w:r w:rsidRPr="00E37E59">
        <w:rPr>
          <w:rFonts w:ascii="標楷體" w:eastAsia="標楷體" w:hAnsi="標楷體" w:hint="eastAsia"/>
          <w:szCs w:val="24"/>
        </w:rPr>
        <w:lastRenderedPageBreak/>
        <w:t>應具體說明，並盡量以產出型或成果效益型指標為原則。</w:t>
      </w:r>
      <w:r w:rsidRPr="00E37E59">
        <w:rPr>
          <w:rFonts w:ascii="標楷體" w:eastAsia="標楷體" w:hAnsi="標楷體"/>
          <w:szCs w:val="24"/>
        </w:rPr>
        <w:t>……</w:t>
      </w:r>
      <w:r w:rsidRPr="00E37E59">
        <w:rPr>
          <w:rFonts w:ascii="標楷體" w:eastAsia="標楷體" w:hAnsi="標楷體" w:hint="eastAsia"/>
          <w:szCs w:val="24"/>
        </w:rPr>
        <w:t>。」中央政府各機關1</w:t>
      </w:r>
      <w:r w:rsidRPr="00E37E59">
        <w:rPr>
          <w:rFonts w:ascii="標楷體" w:eastAsia="標楷體" w:hAnsi="標楷體"/>
          <w:szCs w:val="24"/>
        </w:rPr>
        <w:t>11</w:t>
      </w:r>
      <w:r w:rsidRPr="00E37E59">
        <w:rPr>
          <w:rFonts w:ascii="標楷體" w:eastAsia="標楷體" w:hAnsi="標楷體" w:hint="eastAsia"/>
          <w:szCs w:val="24"/>
        </w:rPr>
        <w:t>年度辦</w:t>
      </w:r>
      <w:r w:rsidRPr="009D11AD">
        <w:rPr>
          <w:rFonts w:ascii="標楷體" w:eastAsia="標楷體" w:hAnsi="標楷體" w:hint="eastAsia"/>
          <w:szCs w:val="24"/>
        </w:rPr>
        <w:t>理76項重要社會發展計畫（不含22項辦公廳舍相關興</w:t>
      </w:r>
      <w:r w:rsidR="007A1528">
        <w:rPr>
          <w:rFonts w:ascii="標楷體" w:eastAsia="標楷體" w:hAnsi="標楷體" w:hint="eastAsia"/>
          <w:szCs w:val="24"/>
        </w:rPr>
        <w:t>建</w:t>
      </w:r>
      <w:r w:rsidRPr="009D11AD">
        <w:rPr>
          <w:rFonts w:ascii="標楷體" w:eastAsia="標楷體" w:hAnsi="標楷體" w:hint="eastAsia"/>
          <w:szCs w:val="24"/>
        </w:rPr>
        <w:t>、整</w:t>
      </w:r>
      <w:r w:rsidR="007A1528">
        <w:rPr>
          <w:rFonts w:ascii="標楷體" w:eastAsia="標楷體" w:hAnsi="標楷體" w:hint="eastAsia"/>
          <w:szCs w:val="24"/>
        </w:rPr>
        <w:t>建</w:t>
      </w:r>
      <w:r w:rsidRPr="009D11AD">
        <w:rPr>
          <w:rFonts w:ascii="標楷體" w:eastAsia="標楷體" w:hAnsi="標楷體" w:hint="eastAsia"/>
          <w:szCs w:val="24"/>
        </w:rPr>
        <w:t>、改建計畫）</w:t>
      </w:r>
      <w:r w:rsidRPr="009D11AD">
        <w:rPr>
          <w:rFonts w:ascii="標楷體" w:eastAsia="標楷體" w:hAnsi="標楷體"/>
          <w:szCs w:val="24"/>
        </w:rPr>
        <w:t>，</w:t>
      </w:r>
      <w:r w:rsidRPr="009D11AD">
        <w:rPr>
          <w:rFonts w:ascii="標楷體" w:eastAsia="標楷體" w:hAnsi="標楷體" w:hint="eastAsia"/>
          <w:szCs w:val="24"/>
        </w:rPr>
        <w:t>計訂定618</w:t>
      </w:r>
      <w:r w:rsidRPr="009D11AD">
        <w:rPr>
          <w:rFonts w:ascii="標楷體" w:eastAsia="標楷體" w:hAnsi="標楷體"/>
          <w:szCs w:val="24"/>
        </w:rPr>
        <w:t>項</w:t>
      </w:r>
      <w:r w:rsidRPr="009D11AD">
        <w:rPr>
          <w:rFonts w:ascii="標楷體" w:eastAsia="標楷體" w:hAnsi="標楷體" w:hint="eastAsia"/>
          <w:szCs w:val="24"/>
        </w:rPr>
        <w:t>年度績效</w:t>
      </w:r>
      <w:r w:rsidRPr="009D11AD">
        <w:rPr>
          <w:rFonts w:ascii="標楷體" w:eastAsia="標楷體" w:hAnsi="標楷體"/>
          <w:szCs w:val="24"/>
        </w:rPr>
        <w:t>指標，達成</w:t>
      </w:r>
      <w:r w:rsidRPr="009D11AD">
        <w:rPr>
          <w:rFonts w:ascii="標楷體" w:eastAsia="標楷體" w:hAnsi="標楷體" w:hint="eastAsia"/>
          <w:szCs w:val="24"/>
        </w:rPr>
        <w:t>532</w:t>
      </w:r>
      <w:r w:rsidRPr="009D11AD">
        <w:rPr>
          <w:rFonts w:ascii="標楷體" w:eastAsia="標楷體" w:hAnsi="標楷體"/>
          <w:szCs w:val="24"/>
        </w:rPr>
        <w:t>項</w:t>
      </w:r>
      <w:r w:rsidRPr="009D11AD">
        <w:rPr>
          <w:rFonts w:ascii="標楷體" w:eastAsia="標楷體" w:hAnsi="標楷體" w:hint="eastAsia"/>
          <w:szCs w:val="24"/>
        </w:rPr>
        <w:t>、未達成86項</w:t>
      </w:r>
      <w:r w:rsidRPr="009D11AD">
        <w:rPr>
          <w:rFonts w:ascii="標楷體" w:eastAsia="標楷體" w:hAnsi="標楷體"/>
          <w:szCs w:val="24"/>
        </w:rPr>
        <w:t>，計畫指標達成率為</w:t>
      </w:r>
      <w:r w:rsidRPr="009D11AD">
        <w:rPr>
          <w:rFonts w:ascii="標楷體" w:eastAsia="標楷體" w:hAnsi="標楷體" w:hint="eastAsia"/>
          <w:szCs w:val="24"/>
        </w:rPr>
        <w:t>86.08％。其中投入型、過程型等績效指標計356項（57.61％），產出型指標計</w:t>
      </w:r>
      <w:r w:rsidRPr="009D11AD">
        <w:rPr>
          <w:rFonts w:ascii="標楷體" w:eastAsia="標楷體" w:hAnsi="標楷體"/>
          <w:szCs w:val="24"/>
        </w:rPr>
        <w:t>128</w:t>
      </w:r>
      <w:r w:rsidRPr="009D11AD">
        <w:rPr>
          <w:rFonts w:ascii="標楷體" w:eastAsia="標楷體" w:hAnsi="標楷體" w:hint="eastAsia"/>
          <w:szCs w:val="24"/>
        </w:rPr>
        <w:t>項（</w:t>
      </w:r>
      <w:r w:rsidRPr="009D11AD">
        <w:rPr>
          <w:rFonts w:ascii="標楷體" w:eastAsia="標楷體" w:hAnsi="標楷體"/>
          <w:szCs w:val="24"/>
        </w:rPr>
        <w:t>20.71</w:t>
      </w:r>
      <w:r w:rsidRPr="009D11AD">
        <w:rPr>
          <w:rFonts w:ascii="標楷體" w:eastAsia="標楷體" w:hAnsi="標楷體" w:hint="eastAsia"/>
          <w:szCs w:val="24"/>
        </w:rPr>
        <w:t>％），成果效益型指標計</w:t>
      </w:r>
      <w:r w:rsidRPr="009D11AD">
        <w:rPr>
          <w:rFonts w:ascii="標楷體" w:eastAsia="標楷體" w:hAnsi="標楷體"/>
          <w:szCs w:val="24"/>
        </w:rPr>
        <w:t>134</w:t>
      </w:r>
      <w:r w:rsidRPr="009D11AD">
        <w:rPr>
          <w:rFonts w:ascii="標楷體" w:eastAsia="標楷體" w:hAnsi="標楷體" w:hint="eastAsia"/>
          <w:szCs w:val="24"/>
        </w:rPr>
        <w:t>項（</w:t>
      </w:r>
      <w:r w:rsidRPr="009D11AD">
        <w:rPr>
          <w:rFonts w:ascii="標楷體" w:eastAsia="標楷體" w:hAnsi="標楷體"/>
          <w:szCs w:val="24"/>
        </w:rPr>
        <w:t>21.68</w:t>
      </w:r>
      <w:r w:rsidRPr="009D11AD">
        <w:rPr>
          <w:rFonts w:ascii="標楷體" w:eastAsia="標楷體" w:hAnsi="標楷體" w:hint="eastAsia"/>
          <w:szCs w:val="24"/>
        </w:rPr>
        <w:t>％），產出型及成果效益型指標占比達42.39％，惟仍有部分計畫訂定之年度績效指標尚乏產出型或成果效益型指標，舉如：內政部辦理之維安特勤隊武器裝備精進改善中程計畫第二期、衛生福利部辦理之建構新世代國家傳染病檢驗網絡強化防疫檢驗量能計畫、文化部辦理之社區營造及村落文化發展計畫（111－116</w:t>
      </w:r>
      <w:r w:rsidRPr="009D11AD">
        <w:rPr>
          <w:rFonts w:ascii="標楷體" w:eastAsia="標楷體" w:hAnsi="標楷體" w:hint="eastAsia"/>
          <w:color w:val="000000" w:themeColor="text1"/>
          <w:szCs w:val="24"/>
        </w:rPr>
        <w:t>年）、農業委員會辦理之國有林出租造林地補償收回計畫等。另據客家委員會說明，該會辦理之客家語言深植計畫，因客語推廣之內化成果需一段期間推動後，才能分析評估其執行效益及影響，將以每5年辦理之全國客家人口暨語言基礎資料調查研究，掌握客語推廣成效等，顯示部分重要社會發展計畫須長期持續蒐集資源投入產生計畫效果之相關資料，始能分析、評估計畫執行效益與影響。鑑於產出型指標可檢視計畫推動可獲致之產出，成果效益型指標可瞭解計畫資源投入後對於整體社會及經濟之實質效益，且部分重要社會計畫須推動一定期間後方可評估其執行成效，計畫屆期後有長期持續蒐集、分析評估執行效益與影響之必要。經函請國家發展委員會督促各機關確依規</w:t>
      </w:r>
      <w:r w:rsidRPr="009D11AD">
        <w:rPr>
          <w:rFonts w:ascii="標楷體" w:eastAsia="標楷體" w:hAnsi="標楷體" w:hint="eastAsia"/>
          <w:szCs w:val="24"/>
        </w:rPr>
        <w:t>定擬訂計畫目標盡量以產出型或成果效益型指標為原則，妥為訂定績效指標、衡量標準及目標值，且對於須長期推動始能產生計畫效益者，參考公共建設計畫之營運評估作業，研議建立追蹤機制，據以衡量重要社會發展計畫推動成效。</w:t>
      </w:r>
      <w:r w:rsidRPr="00DA2751">
        <w:rPr>
          <w:rFonts w:ascii="標楷體" w:eastAsia="標楷體" w:hAnsi="標楷體" w:hint="eastAsia"/>
          <w:szCs w:val="24"/>
        </w:rPr>
        <w:t>據復</w:t>
      </w:r>
      <w:r w:rsidRPr="00EA6C1F">
        <w:rPr>
          <w:rFonts w:ascii="標楷體" w:eastAsia="標楷體" w:hAnsi="標楷體" w:hint="eastAsia"/>
          <w:szCs w:val="24"/>
        </w:rPr>
        <w:t>：</w:t>
      </w:r>
      <w:r w:rsidR="00EA6C1F" w:rsidRPr="00346BDD">
        <w:rPr>
          <w:rFonts w:ascii="標楷體" w:eastAsia="標楷體" w:hAnsi="標楷體" w:hint="eastAsia"/>
          <w:szCs w:val="24"/>
        </w:rPr>
        <w:t>將持續促請各部會落實改善績效指標之訂定應採用產出型或成果效益型指標，並例舉說明相關指標之態樣，供各部會參考依循，後續將運用相關教育訓練資源，加強宣導請部會於年度作業計畫審核階段採用，並應核實審查計畫績效指標之代表性與挑戰性，以確實檢視計畫執行成效。</w:t>
      </w:r>
      <w:r w:rsidR="00FF40F5">
        <w:rPr>
          <w:rFonts w:ascii="標楷體" w:eastAsia="標楷體" w:hAnsi="標楷體" w:hint="eastAsia"/>
          <w:szCs w:val="24"/>
        </w:rPr>
        <w:t>又</w:t>
      </w:r>
      <w:r w:rsidR="00EA6C1F" w:rsidRPr="00346BDD">
        <w:rPr>
          <w:rFonts w:ascii="標楷體" w:eastAsia="標楷體" w:hAnsi="標楷體" w:hint="eastAsia"/>
          <w:szCs w:val="24"/>
        </w:rPr>
        <w:t>因公共建設計畫營運評估作業尚處試辦階段，</w:t>
      </w:r>
      <w:r w:rsidR="00EA6C1F" w:rsidRPr="00346BDD">
        <w:rPr>
          <w:rFonts w:ascii="標楷體" w:eastAsia="標楷體" w:hAnsi="標楷體"/>
          <w:szCs w:val="24"/>
        </w:rPr>
        <w:t>112年度將首次辦理公共建設計畫之營運評估，</w:t>
      </w:r>
      <w:r w:rsidR="00552CBE" w:rsidRPr="00346BDD">
        <w:rPr>
          <w:rFonts w:ascii="標楷體" w:eastAsia="標楷體" w:hAnsi="標楷體" w:hint="eastAsia"/>
          <w:szCs w:val="24"/>
        </w:rPr>
        <w:t>該</w:t>
      </w:r>
      <w:r w:rsidR="00EA6C1F" w:rsidRPr="00346BDD">
        <w:rPr>
          <w:rFonts w:ascii="標楷體" w:eastAsia="標楷體" w:hAnsi="標楷體"/>
          <w:szCs w:val="24"/>
        </w:rPr>
        <w:t>會將視後續辦理成效，考量是否推展實施</w:t>
      </w:r>
      <w:r w:rsidR="00E37E59" w:rsidRPr="00346BDD">
        <w:rPr>
          <w:rFonts w:ascii="標楷體" w:eastAsia="標楷體" w:hAnsi="標楷體" w:hint="eastAsia"/>
          <w:szCs w:val="24"/>
        </w:rPr>
        <w:t>至</w:t>
      </w:r>
      <w:r w:rsidR="00E37E59" w:rsidRPr="00346BDD">
        <w:rPr>
          <w:rFonts w:ascii="標楷體" w:eastAsia="標楷體" w:hAnsi="標楷體"/>
          <w:szCs w:val="24"/>
        </w:rPr>
        <w:t>社會發展計畫，</w:t>
      </w:r>
      <w:r w:rsidR="00EA6C1F" w:rsidRPr="00346BDD">
        <w:rPr>
          <w:rFonts w:ascii="標楷體" w:eastAsia="標楷體" w:hAnsi="標楷體"/>
          <w:szCs w:val="24"/>
        </w:rPr>
        <w:t>尚未推展實施</w:t>
      </w:r>
      <w:r w:rsidR="00E37E59" w:rsidRPr="00346BDD">
        <w:rPr>
          <w:rFonts w:ascii="標楷體" w:eastAsia="標楷體" w:hAnsi="標楷體"/>
          <w:szCs w:val="24"/>
        </w:rPr>
        <w:t>前</w:t>
      </w:r>
      <w:r w:rsidR="00EA6C1F" w:rsidRPr="00346BDD">
        <w:rPr>
          <w:rFonts w:ascii="標楷體" w:eastAsia="標楷體" w:hAnsi="標楷體"/>
          <w:szCs w:val="24"/>
        </w:rPr>
        <w:t>，將請計畫主管機關訂定部分產出型指標，以</w:t>
      </w:r>
      <w:r w:rsidR="00E37E59" w:rsidRPr="00346BDD">
        <w:rPr>
          <w:rFonts w:ascii="標楷體" w:eastAsia="標楷體" w:hAnsi="標楷體" w:hint="eastAsia"/>
          <w:szCs w:val="24"/>
        </w:rPr>
        <w:t>利</w:t>
      </w:r>
      <w:r w:rsidR="00EA6C1F" w:rsidRPr="00346BDD">
        <w:rPr>
          <w:rFonts w:ascii="標楷體" w:eastAsia="標楷體" w:hAnsi="標楷體"/>
          <w:szCs w:val="24"/>
        </w:rPr>
        <w:t>計畫屆期時檢視是否達成相關計畫效益，另請執行機關自行追蹤相關指標之執行成果，並鼓勵部會可透過自行公開相關計畫指標之成長情形，積極展現政府機關施政成果。</w:t>
      </w:r>
    </w:p>
    <w:p w14:paraId="5CF21376" w14:textId="063E4E69" w:rsidR="00247330" w:rsidRPr="009D11AD" w:rsidRDefault="00247330" w:rsidP="00DA2751">
      <w:pPr>
        <w:overflowPunct w:val="0"/>
        <w:snapToGrid w:val="0"/>
        <w:spacing w:line="440" w:lineRule="exact"/>
        <w:ind w:firstLineChars="450" w:firstLine="1081"/>
        <w:jc w:val="both"/>
        <w:outlineLvl w:val="2"/>
        <w:rPr>
          <w:rFonts w:ascii="標楷體" w:eastAsia="標楷體" w:hAnsi="標楷體"/>
          <w:szCs w:val="24"/>
        </w:rPr>
      </w:pPr>
      <w:r w:rsidRPr="009D11AD">
        <w:rPr>
          <w:rFonts w:ascii="標楷體" w:eastAsia="標楷體" w:hAnsi="標楷體" w:hint="eastAsia"/>
          <w:b/>
          <w:szCs w:val="24"/>
        </w:rPr>
        <w:t>3.　重要社會發展計畫短編預算情形嚴重，且有計畫已暫緩執行仍未辦理計畫修正或終止之報核，又中長程個案計畫編審要點尚乏得免依規定程序辦理修正計畫之具體判斷標準，允宜敦促各機關落實檢視計畫執行內容，確依規定程序報經核定，並檢討研議授權核定修正計畫之標準：</w:t>
      </w:r>
      <w:r w:rsidRPr="009D11AD">
        <w:rPr>
          <w:rFonts w:ascii="標楷體" w:eastAsia="標楷體" w:hAnsi="標楷體" w:hint="eastAsia"/>
          <w:szCs w:val="24"/>
        </w:rPr>
        <w:t>經查GPMnet內111年度管制考核之個案計畫，核定經費逾3億元之重要社會發展計</w:t>
      </w:r>
      <w:r w:rsidRPr="009E471B">
        <w:rPr>
          <w:rFonts w:ascii="標楷體" w:eastAsia="標楷體" w:hAnsi="標楷體" w:hint="eastAsia"/>
          <w:szCs w:val="24"/>
        </w:rPr>
        <w:t>畫中，計有42項計畫之「總計畫經費」（法定預算金額+以後年度分年需求經費合計）較「計畫</w:t>
      </w:r>
      <w:r w:rsidR="00EA6C1F" w:rsidRPr="009D11AD">
        <w:rPr>
          <w:rFonts w:ascii="標楷體" w:eastAsia="標楷體" w:hAnsi="標楷體"/>
          <w:noProof/>
          <w:szCs w:val="24"/>
        </w:rPr>
        <w:lastRenderedPageBreak/>
        <mc:AlternateContent>
          <mc:Choice Requires="wps">
            <w:drawing>
              <wp:anchor distT="0" distB="0" distL="114300" distR="114300" simplePos="0" relativeHeight="251666944" behindDoc="0" locked="0" layoutInCell="1" allowOverlap="1" wp14:anchorId="4918F1B1" wp14:editId="55EE5FF0">
                <wp:simplePos x="0" y="0"/>
                <wp:positionH relativeFrom="margin">
                  <wp:posOffset>1956804</wp:posOffset>
                </wp:positionH>
                <wp:positionV relativeFrom="paragraph">
                  <wp:posOffset>-2628</wp:posOffset>
                </wp:positionV>
                <wp:extent cx="4340225" cy="4371340"/>
                <wp:effectExtent l="0" t="0" r="0" b="0"/>
                <wp:wrapSquare wrapText="bothSides"/>
                <wp:docPr id="52" name="文字方塊 52"/>
                <wp:cNvGraphicFramePr/>
                <a:graphic xmlns:a="http://schemas.openxmlformats.org/drawingml/2006/main">
                  <a:graphicData uri="http://schemas.microsoft.com/office/word/2010/wordprocessingShape">
                    <wps:wsp>
                      <wps:cNvSpPr txBox="1"/>
                      <wps:spPr>
                        <a:xfrm>
                          <a:off x="0" y="0"/>
                          <a:ext cx="4340225" cy="4371340"/>
                        </a:xfrm>
                        <a:prstGeom prst="rect">
                          <a:avLst/>
                        </a:prstGeom>
                        <a:noFill/>
                        <a:ln w="6350">
                          <a:noFill/>
                        </a:ln>
                      </wps:spPr>
                      <wps:txbx>
                        <w:txbxContent>
                          <w:p w14:paraId="65C1CEBB" w14:textId="525026CD" w:rsidR="00CE57F9" w:rsidRDefault="00CE57F9" w:rsidP="00EA6C1F">
                            <w:pPr>
                              <w:overflowPunct w:val="0"/>
                              <w:spacing w:line="320" w:lineRule="exact"/>
                              <w:ind w:left="841" w:hangingChars="350" w:hanging="841"/>
                              <w:jc w:val="both"/>
                              <w:rPr>
                                <w:rFonts w:ascii="標楷體" w:eastAsia="標楷體" w:hAnsi="標楷體"/>
                                <w:b/>
                              </w:rPr>
                            </w:pPr>
                            <w:r w:rsidRPr="007B5A51">
                              <w:rPr>
                                <w:rFonts w:ascii="標楷體" w:eastAsia="標楷體" w:hAnsi="標楷體" w:hint="eastAsia"/>
                                <w:b/>
                              </w:rPr>
                              <w:t>表</w:t>
                            </w:r>
                            <w:r>
                              <w:rPr>
                                <w:rFonts w:ascii="標楷體" w:eastAsia="標楷體" w:hAnsi="標楷體"/>
                                <w:b/>
                              </w:rPr>
                              <w:t>19</w:t>
                            </w:r>
                            <w:r>
                              <w:rPr>
                                <w:rFonts w:ascii="標楷體" w:eastAsia="標楷體" w:hAnsi="標楷體" w:hint="eastAsia"/>
                                <w:b/>
                              </w:rPr>
                              <w:t xml:space="preserve">　</w:t>
                            </w:r>
                            <w:r w:rsidRPr="007B5A51">
                              <w:rPr>
                                <w:rFonts w:ascii="標楷體" w:eastAsia="標楷體" w:hAnsi="標楷體" w:hint="eastAsia"/>
                                <w:b/>
                              </w:rPr>
                              <w:t>111年度重要社會發展計畫總計畫經費較計畫核定經費短少金額10億元以上或比率5成以上之計畫明細</w:t>
                            </w:r>
                          </w:p>
                          <w:p w14:paraId="5724B94B" w14:textId="77777777" w:rsidR="00CE57F9" w:rsidRPr="002B6876" w:rsidRDefault="00CE57F9" w:rsidP="00EA6C1F">
                            <w:pPr>
                              <w:overflowPunct w:val="0"/>
                              <w:spacing w:line="240" w:lineRule="exact"/>
                              <w:ind w:left="600" w:hangingChars="300" w:hanging="600"/>
                              <w:jc w:val="right"/>
                              <w:rPr>
                                <w:rFonts w:ascii="標楷體" w:eastAsia="標楷體" w:hAnsi="標楷體"/>
                                <w:sz w:val="20"/>
                              </w:rPr>
                            </w:pPr>
                            <w:r w:rsidRPr="002B6876">
                              <w:rPr>
                                <w:rFonts w:ascii="標楷體" w:eastAsia="標楷體" w:hAnsi="標楷體" w:hint="eastAsia"/>
                                <w:sz w:val="20"/>
                              </w:rPr>
                              <w:t>單位：新臺幣</w:t>
                            </w:r>
                            <w:r>
                              <w:rPr>
                                <w:rFonts w:ascii="標楷體" w:eastAsia="標楷體" w:hAnsi="標楷體" w:hint="eastAsia"/>
                                <w:sz w:val="20"/>
                              </w:rPr>
                              <w:t>百萬</w:t>
                            </w:r>
                            <w:r w:rsidRPr="002B6876">
                              <w:rPr>
                                <w:rFonts w:ascii="標楷體" w:eastAsia="標楷體" w:hAnsi="標楷體" w:hint="eastAsia"/>
                                <w:sz w:val="20"/>
                              </w:rPr>
                              <w:t>元</w:t>
                            </w:r>
                            <w:r>
                              <w:rPr>
                                <w:rFonts w:ascii="標楷體" w:eastAsia="標楷體" w:hAnsi="標楷體" w:hint="eastAsia"/>
                                <w:sz w:val="20"/>
                              </w:rPr>
                              <w:t>、％</w:t>
                            </w:r>
                          </w:p>
                          <w:tbl>
                            <w:tblPr>
                              <w:tblW w:w="6577" w:type="dxa"/>
                              <w:tblCellMar>
                                <w:left w:w="28" w:type="dxa"/>
                                <w:right w:w="28" w:type="dxa"/>
                              </w:tblCellMar>
                              <w:tblLook w:val="04A0" w:firstRow="1" w:lastRow="0" w:firstColumn="1" w:lastColumn="0" w:noHBand="0" w:noVBand="1"/>
                            </w:tblPr>
                            <w:tblGrid>
                              <w:gridCol w:w="680"/>
                              <w:gridCol w:w="2721"/>
                              <w:gridCol w:w="794"/>
                              <w:gridCol w:w="794"/>
                              <w:gridCol w:w="794"/>
                              <w:gridCol w:w="794"/>
                            </w:tblGrid>
                            <w:tr w:rsidR="00CE57F9" w:rsidRPr="00DA446A" w14:paraId="12AF6933" w14:textId="77777777" w:rsidTr="00493628">
                              <w:trPr>
                                <w:trHeight w:val="51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E55886" w14:textId="77777777" w:rsidR="00CE57F9" w:rsidRDefault="00CE57F9" w:rsidP="00493628">
                                  <w:pPr>
                                    <w:widowControl/>
                                    <w:overflowPunct w:val="0"/>
                                    <w:spacing w:line="240" w:lineRule="exact"/>
                                    <w:jc w:val="center"/>
                                    <w:rPr>
                                      <w:rFonts w:ascii="標楷體" w:eastAsia="標楷體" w:hAnsi="標楷體"/>
                                      <w:kern w:val="0"/>
                                      <w:sz w:val="20"/>
                                    </w:rPr>
                                  </w:pPr>
                                  <w:r w:rsidRPr="00DA446A">
                                    <w:rPr>
                                      <w:rFonts w:ascii="標楷體" w:eastAsia="標楷體" w:hAnsi="標楷體" w:hint="eastAsia"/>
                                      <w:kern w:val="0"/>
                                      <w:sz w:val="20"/>
                                    </w:rPr>
                                    <w:t>主管</w:t>
                                  </w:r>
                                </w:p>
                                <w:p w14:paraId="1781E433" w14:textId="77777777" w:rsidR="00CE57F9" w:rsidRPr="00DA446A" w:rsidRDefault="00CE57F9" w:rsidP="00493628">
                                  <w:pPr>
                                    <w:widowControl/>
                                    <w:overflowPunct w:val="0"/>
                                    <w:spacing w:line="240" w:lineRule="exact"/>
                                    <w:jc w:val="center"/>
                                    <w:rPr>
                                      <w:rFonts w:ascii="標楷體" w:eastAsia="標楷體" w:hAnsi="標楷體"/>
                                      <w:kern w:val="0"/>
                                      <w:sz w:val="20"/>
                                    </w:rPr>
                                  </w:pPr>
                                  <w:r w:rsidRPr="00DA446A">
                                    <w:rPr>
                                      <w:rFonts w:ascii="標楷體" w:eastAsia="標楷體" w:hAnsi="標楷體" w:hint="eastAsia"/>
                                      <w:kern w:val="0"/>
                                      <w:sz w:val="20"/>
                                    </w:rPr>
                                    <w:t>機關</w:t>
                                  </w:r>
                                </w:p>
                              </w:tc>
                              <w:tc>
                                <w:tcPr>
                                  <w:tcW w:w="2721" w:type="dxa"/>
                                  <w:tcBorders>
                                    <w:top w:val="single" w:sz="4" w:space="0" w:color="auto"/>
                                    <w:left w:val="nil"/>
                                    <w:bottom w:val="single" w:sz="4" w:space="0" w:color="auto"/>
                                    <w:right w:val="single" w:sz="4" w:space="0" w:color="auto"/>
                                  </w:tcBorders>
                                  <w:shd w:val="clear" w:color="auto" w:fill="auto"/>
                                  <w:vAlign w:val="center"/>
                                  <w:hideMark/>
                                </w:tcPr>
                                <w:p w14:paraId="6D1C31FF" w14:textId="77777777" w:rsidR="00CE57F9" w:rsidRPr="00DA446A" w:rsidRDefault="00CE57F9" w:rsidP="00493628">
                                  <w:pPr>
                                    <w:widowControl/>
                                    <w:overflowPunct w:val="0"/>
                                    <w:spacing w:line="240" w:lineRule="exact"/>
                                    <w:jc w:val="center"/>
                                    <w:rPr>
                                      <w:rFonts w:ascii="標楷體" w:eastAsia="標楷體" w:hAnsi="標楷體"/>
                                      <w:kern w:val="0"/>
                                      <w:sz w:val="20"/>
                                    </w:rPr>
                                  </w:pPr>
                                  <w:r w:rsidRPr="00DA446A">
                                    <w:rPr>
                                      <w:rFonts w:ascii="標楷體" w:eastAsia="標楷體" w:hAnsi="標楷體" w:hint="eastAsia"/>
                                      <w:kern w:val="0"/>
                                      <w:sz w:val="20"/>
                                    </w:rPr>
                                    <w:t>計畫名稱</w:t>
                                  </w:r>
                                </w:p>
                              </w:tc>
                              <w:tc>
                                <w:tcPr>
                                  <w:tcW w:w="794" w:type="dxa"/>
                                  <w:tcBorders>
                                    <w:top w:val="single" w:sz="4" w:space="0" w:color="auto"/>
                                    <w:left w:val="nil"/>
                                    <w:bottom w:val="single" w:sz="4" w:space="0" w:color="auto"/>
                                    <w:right w:val="single" w:sz="4" w:space="0" w:color="auto"/>
                                  </w:tcBorders>
                                  <w:shd w:val="clear" w:color="auto" w:fill="auto"/>
                                  <w:vAlign w:val="center"/>
                                  <w:hideMark/>
                                </w:tcPr>
                                <w:p w14:paraId="6DB6E9B0" w14:textId="77777777" w:rsidR="00CE57F9" w:rsidRPr="00DA446A" w:rsidRDefault="00CE57F9" w:rsidP="00493628">
                                  <w:pPr>
                                    <w:widowControl/>
                                    <w:overflowPunct w:val="0"/>
                                    <w:spacing w:line="240" w:lineRule="exact"/>
                                    <w:jc w:val="center"/>
                                    <w:rPr>
                                      <w:rFonts w:ascii="標楷體" w:eastAsia="標楷體" w:hAnsi="標楷體"/>
                                      <w:kern w:val="0"/>
                                      <w:sz w:val="20"/>
                                    </w:rPr>
                                  </w:pPr>
                                  <w:r w:rsidRPr="00DA446A">
                                    <w:rPr>
                                      <w:rFonts w:ascii="標楷體" w:eastAsia="標楷體" w:hAnsi="標楷體"/>
                                      <w:kern w:val="0"/>
                                      <w:sz w:val="20"/>
                                    </w:rPr>
                                    <w:t>計畫核定經費</w:t>
                                  </w:r>
                                </w:p>
                                <w:p w14:paraId="1D2FEE10" w14:textId="77777777" w:rsidR="00CE57F9" w:rsidRPr="00DA446A" w:rsidRDefault="00CE57F9" w:rsidP="00493628">
                                  <w:pPr>
                                    <w:widowControl/>
                                    <w:overflowPunct w:val="0"/>
                                    <w:spacing w:line="240" w:lineRule="exact"/>
                                    <w:ind w:leftChars="-50" w:left="-120" w:rightChars="-50" w:right="-120"/>
                                    <w:jc w:val="center"/>
                                    <w:rPr>
                                      <w:rFonts w:ascii="標楷體" w:eastAsia="標楷體" w:hAnsi="標楷體"/>
                                      <w:kern w:val="0"/>
                                      <w:sz w:val="20"/>
                                    </w:rPr>
                                  </w:pPr>
                                  <w:r>
                                    <w:rPr>
                                      <w:rFonts w:ascii="標楷體" w:eastAsia="標楷體" w:hAnsi="標楷體" w:hint="eastAsia"/>
                                      <w:kern w:val="0"/>
                                      <w:sz w:val="20"/>
                                    </w:rPr>
                                    <w:t>（</w:t>
                                  </w:r>
                                  <w:r w:rsidRPr="00DA446A">
                                    <w:rPr>
                                      <w:rFonts w:ascii="標楷體" w:eastAsia="標楷體" w:hAnsi="標楷體" w:hint="eastAsia"/>
                                      <w:kern w:val="0"/>
                                      <w:sz w:val="20"/>
                                    </w:rPr>
                                    <w:t>註1</w:t>
                                  </w:r>
                                  <w:r>
                                    <w:rPr>
                                      <w:rFonts w:ascii="標楷體" w:eastAsia="標楷體" w:hAnsi="標楷體" w:hint="eastAsia"/>
                                      <w:kern w:val="0"/>
                                      <w:sz w:val="20"/>
                                    </w:rPr>
                                    <w:t>）</w:t>
                                  </w:r>
                                </w:p>
                              </w:tc>
                              <w:tc>
                                <w:tcPr>
                                  <w:tcW w:w="794" w:type="dxa"/>
                                  <w:tcBorders>
                                    <w:top w:val="single" w:sz="4" w:space="0" w:color="auto"/>
                                    <w:left w:val="nil"/>
                                    <w:bottom w:val="single" w:sz="4" w:space="0" w:color="auto"/>
                                    <w:right w:val="single" w:sz="4" w:space="0" w:color="auto"/>
                                  </w:tcBorders>
                                  <w:shd w:val="clear" w:color="auto" w:fill="auto"/>
                                  <w:vAlign w:val="center"/>
                                  <w:hideMark/>
                                </w:tcPr>
                                <w:p w14:paraId="52CCAFA8" w14:textId="77777777" w:rsidR="00CE57F9" w:rsidRPr="00DA446A" w:rsidRDefault="00CE57F9" w:rsidP="00493628">
                                  <w:pPr>
                                    <w:widowControl/>
                                    <w:overflowPunct w:val="0"/>
                                    <w:spacing w:line="240" w:lineRule="exact"/>
                                    <w:jc w:val="center"/>
                                    <w:rPr>
                                      <w:rFonts w:ascii="標楷體" w:eastAsia="標楷體" w:hAnsi="標楷體"/>
                                      <w:kern w:val="0"/>
                                      <w:sz w:val="20"/>
                                    </w:rPr>
                                  </w:pPr>
                                  <w:r w:rsidRPr="00DA446A">
                                    <w:rPr>
                                      <w:rFonts w:ascii="標楷體" w:eastAsia="標楷體" w:hAnsi="標楷體"/>
                                      <w:kern w:val="0"/>
                                      <w:sz w:val="20"/>
                                    </w:rPr>
                                    <w:t>總計畫經費</w:t>
                                  </w:r>
                                </w:p>
                                <w:p w14:paraId="117BA3B0" w14:textId="77777777" w:rsidR="00CE57F9" w:rsidRPr="00DA446A" w:rsidRDefault="00CE57F9" w:rsidP="00493628">
                                  <w:pPr>
                                    <w:widowControl/>
                                    <w:overflowPunct w:val="0"/>
                                    <w:spacing w:line="240" w:lineRule="exact"/>
                                    <w:ind w:leftChars="-50" w:left="-120" w:rightChars="-50" w:right="-120"/>
                                    <w:jc w:val="center"/>
                                    <w:rPr>
                                      <w:rFonts w:ascii="標楷體" w:eastAsia="標楷體" w:hAnsi="標楷體"/>
                                      <w:kern w:val="0"/>
                                      <w:sz w:val="20"/>
                                    </w:rPr>
                                  </w:pPr>
                                  <w:r>
                                    <w:rPr>
                                      <w:rFonts w:ascii="標楷體" w:eastAsia="標楷體" w:hAnsi="標楷體" w:hint="eastAsia"/>
                                      <w:kern w:val="0"/>
                                      <w:sz w:val="20"/>
                                    </w:rPr>
                                    <w:t>（</w:t>
                                  </w:r>
                                  <w:r w:rsidRPr="00DA446A">
                                    <w:rPr>
                                      <w:rFonts w:ascii="標楷體" w:eastAsia="標楷體" w:hAnsi="標楷體" w:hint="eastAsia"/>
                                      <w:kern w:val="0"/>
                                      <w:sz w:val="20"/>
                                    </w:rPr>
                                    <w:t>註2</w:t>
                                  </w:r>
                                  <w:r>
                                    <w:rPr>
                                      <w:rFonts w:ascii="標楷體" w:eastAsia="標楷體" w:hAnsi="標楷體" w:hint="eastAsia"/>
                                      <w:kern w:val="0"/>
                                      <w:sz w:val="20"/>
                                    </w:rPr>
                                    <w:t>）</w:t>
                                  </w:r>
                                </w:p>
                              </w:tc>
                              <w:tc>
                                <w:tcPr>
                                  <w:tcW w:w="794" w:type="dxa"/>
                                  <w:tcBorders>
                                    <w:top w:val="single" w:sz="4" w:space="0" w:color="auto"/>
                                    <w:left w:val="nil"/>
                                    <w:bottom w:val="single" w:sz="4" w:space="0" w:color="auto"/>
                                    <w:right w:val="single" w:sz="4" w:space="0" w:color="auto"/>
                                  </w:tcBorders>
                                  <w:shd w:val="clear" w:color="auto" w:fill="auto"/>
                                  <w:vAlign w:val="center"/>
                                  <w:hideMark/>
                                </w:tcPr>
                                <w:p w14:paraId="4F4360BE" w14:textId="77777777" w:rsidR="00CE57F9" w:rsidRDefault="00CE57F9" w:rsidP="00493628">
                                  <w:pPr>
                                    <w:widowControl/>
                                    <w:overflowPunct w:val="0"/>
                                    <w:spacing w:line="240" w:lineRule="exact"/>
                                    <w:jc w:val="center"/>
                                    <w:rPr>
                                      <w:rFonts w:ascii="標楷體" w:eastAsia="標楷體" w:hAnsi="標楷體" w:cs="新細明體"/>
                                      <w:kern w:val="0"/>
                                      <w:sz w:val="20"/>
                                    </w:rPr>
                                  </w:pPr>
                                  <w:r w:rsidRPr="00DA446A">
                                    <w:rPr>
                                      <w:rFonts w:ascii="標楷體" w:eastAsia="標楷體" w:hAnsi="標楷體" w:cs="新細明體" w:hint="eastAsia"/>
                                      <w:kern w:val="0"/>
                                      <w:sz w:val="20"/>
                                    </w:rPr>
                                    <w:t>短少</w:t>
                                  </w:r>
                                </w:p>
                                <w:p w14:paraId="66E32FA3" w14:textId="77777777" w:rsidR="00CE57F9" w:rsidRPr="00DA446A" w:rsidRDefault="00CE57F9" w:rsidP="00493628">
                                  <w:pPr>
                                    <w:widowControl/>
                                    <w:overflowPunct w:val="0"/>
                                    <w:spacing w:line="240" w:lineRule="exact"/>
                                    <w:jc w:val="center"/>
                                    <w:rPr>
                                      <w:rFonts w:ascii="標楷體" w:eastAsia="標楷體" w:hAnsi="標楷體" w:cs="新細明體"/>
                                      <w:kern w:val="0"/>
                                      <w:sz w:val="20"/>
                                    </w:rPr>
                                  </w:pPr>
                                  <w:r w:rsidRPr="00DA446A">
                                    <w:rPr>
                                      <w:rFonts w:ascii="標楷體" w:eastAsia="標楷體" w:hAnsi="標楷體" w:cs="新細明體" w:hint="eastAsia"/>
                                      <w:kern w:val="0"/>
                                      <w:sz w:val="20"/>
                                    </w:rPr>
                                    <w:t>金額</w:t>
                                  </w:r>
                                </w:p>
                              </w:tc>
                              <w:tc>
                                <w:tcPr>
                                  <w:tcW w:w="794" w:type="dxa"/>
                                  <w:tcBorders>
                                    <w:top w:val="single" w:sz="4" w:space="0" w:color="auto"/>
                                    <w:left w:val="nil"/>
                                    <w:bottom w:val="single" w:sz="4" w:space="0" w:color="auto"/>
                                    <w:right w:val="single" w:sz="4" w:space="0" w:color="auto"/>
                                  </w:tcBorders>
                                  <w:shd w:val="clear" w:color="auto" w:fill="auto"/>
                                  <w:vAlign w:val="center"/>
                                  <w:hideMark/>
                                </w:tcPr>
                                <w:p w14:paraId="34A77F85" w14:textId="77777777" w:rsidR="00CE57F9" w:rsidRDefault="00CE57F9" w:rsidP="00493628">
                                  <w:pPr>
                                    <w:widowControl/>
                                    <w:overflowPunct w:val="0"/>
                                    <w:spacing w:line="240" w:lineRule="exact"/>
                                    <w:jc w:val="center"/>
                                    <w:rPr>
                                      <w:rFonts w:ascii="標楷體" w:eastAsia="標楷體" w:hAnsi="標楷體" w:cs="新細明體"/>
                                      <w:kern w:val="0"/>
                                      <w:sz w:val="20"/>
                                    </w:rPr>
                                  </w:pPr>
                                  <w:r w:rsidRPr="00DA446A">
                                    <w:rPr>
                                      <w:rFonts w:ascii="標楷體" w:eastAsia="標楷體" w:hAnsi="標楷體" w:cs="新細明體" w:hint="eastAsia"/>
                                      <w:kern w:val="0"/>
                                      <w:sz w:val="20"/>
                                    </w:rPr>
                                    <w:t>短少</w:t>
                                  </w:r>
                                </w:p>
                                <w:p w14:paraId="18D3DC19" w14:textId="77777777" w:rsidR="00CE57F9" w:rsidRPr="00DA446A" w:rsidRDefault="00CE57F9" w:rsidP="00493628">
                                  <w:pPr>
                                    <w:widowControl/>
                                    <w:overflowPunct w:val="0"/>
                                    <w:spacing w:line="240" w:lineRule="exact"/>
                                    <w:jc w:val="center"/>
                                    <w:rPr>
                                      <w:rFonts w:ascii="標楷體" w:eastAsia="標楷體" w:hAnsi="標楷體" w:cs="新細明體"/>
                                      <w:kern w:val="0"/>
                                      <w:sz w:val="20"/>
                                    </w:rPr>
                                  </w:pPr>
                                  <w:r w:rsidRPr="00DA446A">
                                    <w:rPr>
                                      <w:rFonts w:ascii="標楷體" w:eastAsia="標楷體" w:hAnsi="標楷體" w:cs="新細明體" w:hint="eastAsia"/>
                                      <w:kern w:val="0"/>
                                      <w:sz w:val="20"/>
                                    </w:rPr>
                                    <w:t>比率</w:t>
                                  </w:r>
                                </w:p>
                              </w:tc>
                            </w:tr>
                            <w:tr w:rsidR="00CE57F9" w:rsidRPr="00DA446A" w14:paraId="5BA022CA" w14:textId="77777777" w:rsidTr="00493628">
                              <w:trPr>
                                <w:trHeight w:val="55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14:paraId="6E639341" w14:textId="77777777" w:rsidR="00CE57F9" w:rsidRPr="00DA446A" w:rsidRDefault="00CE57F9" w:rsidP="00493628">
                                  <w:pPr>
                                    <w:widowControl/>
                                    <w:overflowPunct w:val="0"/>
                                    <w:spacing w:line="240" w:lineRule="exact"/>
                                    <w:jc w:val="both"/>
                                    <w:rPr>
                                      <w:rFonts w:ascii="標楷體" w:eastAsia="標楷體" w:hAnsi="標楷體"/>
                                      <w:kern w:val="0"/>
                                      <w:sz w:val="20"/>
                                    </w:rPr>
                                  </w:pPr>
                                  <w:r w:rsidRPr="00DA446A">
                                    <w:rPr>
                                      <w:rFonts w:ascii="標楷體" w:eastAsia="標楷體" w:hAnsi="標楷體" w:cs="新細明體" w:hint="eastAsia"/>
                                      <w:kern w:val="0"/>
                                      <w:sz w:val="20"/>
                                    </w:rPr>
                                    <w:t>內政部</w:t>
                                  </w:r>
                                </w:p>
                              </w:tc>
                              <w:tc>
                                <w:tcPr>
                                  <w:tcW w:w="2721" w:type="dxa"/>
                                  <w:tcBorders>
                                    <w:top w:val="single" w:sz="4" w:space="0" w:color="auto"/>
                                    <w:left w:val="nil"/>
                                    <w:bottom w:val="single" w:sz="4" w:space="0" w:color="auto"/>
                                    <w:right w:val="single" w:sz="4" w:space="0" w:color="auto"/>
                                  </w:tcBorders>
                                  <w:shd w:val="clear" w:color="auto" w:fill="auto"/>
                                  <w:vAlign w:val="center"/>
                                </w:tcPr>
                                <w:p w14:paraId="7D151A9F" w14:textId="77777777" w:rsidR="00CE57F9" w:rsidRPr="00DA446A" w:rsidRDefault="00CE57F9" w:rsidP="00493628">
                                  <w:pPr>
                                    <w:widowControl/>
                                    <w:overflowPunct w:val="0"/>
                                    <w:spacing w:line="240" w:lineRule="exact"/>
                                    <w:jc w:val="both"/>
                                    <w:rPr>
                                      <w:rFonts w:ascii="標楷體" w:eastAsia="標楷體" w:hAnsi="標楷體"/>
                                      <w:kern w:val="0"/>
                                      <w:sz w:val="20"/>
                                    </w:rPr>
                                  </w:pPr>
                                  <w:r w:rsidRPr="00DA446A">
                                    <w:rPr>
                                      <w:rFonts w:ascii="標楷體" w:eastAsia="標楷體" w:hAnsi="標楷體" w:cs="新細明體" w:hint="eastAsia"/>
                                      <w:kern w:val="0"/>
                                      <w:sz w:val="20"/>
                                    </w:rPr>
                                    <w:t>數位身分識別證</w:t>
                                  </w:r>
                                  <w:r>
                                    <w:rPr>
                                      <w:rFonts w:ascii="標楷體" w:eastAsia="標楷體" w:hAnsi="標楷體" w:cs="新細明體" w:hint="eastAsia"/>
                                      <w:kern w:val="0"/>
                                      <w:sz w:val="20"/>
                                    </w:rPr>
                                    <w:t>（</w:t>
                                  </w:r>
                                  <w:r w:rsidRPr="00DA446A">
                                    <w:rPr>
                                      <w:rFonts w:ascii="標楷體" w:eastAsia="標楷體" w:hAnsi="標楷體" w:cs="新細明體" w:hint="eastAsia"/>
                                      <w:kern w:val="0"/>
                                      <w:sz w:val="20"/>
                                    </w:rPr>
                                    <w:t>New</w:t>
                                  </w:r>
                                  <w:r>
                                    <w:rPr>
                                      <w:rFonts w:ascii="標楷體" w:eastAsia="標楷體" w:hAnsi="標楷體" w:cs="新細明體"/>
                                      <w:kern w:val="0"/>
                                      <w:sz w:val="20"/>
                                    </w:rPr>
                                    <w:t xml:space="preserve"> </w:t>
                                  </w:r>
                                  <w:r w:rsidRPr="00DA446A">
                                    <w:rPr>
                                      <w:rFonts w:ascii="標楷體" w:eastAsia="標楷體" w:hAnsi="標楷體" w:cs="新細明體" w:hint="eastAsia"/>
                                      <w:kern w:val="0"/>
                                      <w:sz w:val="20"/>
                                    </w:rPr>
                                    <w:t>eID</w:t>
                                  </w:r>
                                  <w:r>
                                    <w:rPr>
                                      <w:rFonts w:ascii="標楷體" w:eastAsia="標楷體" w:hAnsi="標楷體" w:cs="新細明體" w:hint="eastAsia"/>
                                      <w:kern w:val="0"/>
                                      <w:sz w:val="20"/>
                                    </w:rPr>
                                    <w:t>）－</w:t>
                                  </w:r>
                                  <w:r w:rsidRPr="00DA446A">
                                    <w:rPr>
                                      <w:rFonts w:ascii="標楷體" w:eastAsia="標楷體" w:hAnsi="標楷體" w:cs="新細明體" w:hint="eastAsia"/>
                                      <w:kern w:val="0"/>
                                      <w:sz w:val="20"/>
                                    </w:rPr>
                                    <w:t>新一代國民身分證換發計畫</w:t>
                                  </w:r>
                                </w:p>
                              </w:tc>
                              <w:tc>
                                <w:tcPr>
                                  <w:tcW w:w="794" w:type="dxa"/>
                                  <w:tcBorders>
                                    <w:top w:val="single" w:sz="4" w:space="0" w:color="auto"/>
                                    <w:left w:val="nil"/>
                                    <w:bottom w:val="single" w:sz="4" w:space="0" w:color="auto"/>
                                    <w:right w:val="single" w:sz="4" w:space="0" w:color="auto"/>
                                  </w:tcBorders>
                                  <w:shd w:val="clear" w:color="auto" w:fill="auto"/>
                                  <w:vAlign w:val="center"/>
                                </w:tcPr>
                                <w:p w14:paraId="2DAB4943" w14:textId="77777777" w:rsidR="00CE57F9" w:rsidRPr="00DA446A" w:rsidRDefault="00CE57F9" w:rsidP="00493628">
                                  <w:pPr>
                                    <w:widowControl/>
                                    <w:overflowPunct w:val="0"/>
                                    <w:spacing w:line="240" w:lineRule="exact"/>
                                    <w:jc w:val="right"/>
                                    <w:rPr>
                                      <w:rFonts w:ascii="標楷體" w:eastAsia="標楷體" w:hAnsi="標楷體"/>
                                      <w:kern w:val="0"/>
                                      <w:sz w:val="20"/>
                                    </w:rPr>
                                  </w:pPr>
                                  <w:r w:rsidRPr="00DA446A">
                                    <w:rPr>
                                      <w:rFonts w:ascii="標楷體" w:eastAsia="標楷體" w:hAnsi="標楷體" w:cs="新細明體" w:hint="eastAsia"/>
                                      <w:kern w:val="0"/>
                                      <w:sz w:val="20"/>
                                    </w:rPr>
                                    <w:t>4,892</w:t>
                                  </w:r>
                                </w:p>
                              </w:tc>
                              <w:tc>
                                <w:tcPr>
                                  <w:tcW w:w="794" w:type="dxa"/>
                                  <w:tcBorders>
                                    <w:top w:val="single" w:sz="4" w:space="0" w:color="auto"/>
                                    <w:left w:val="nil"/>
                                    <w:bottom w:val="single" w:sz="4" w:space="0" w:color="auto"/>
                                    <w:right w:val="single" w:sz="4" w:space="0" w:color="auto"/>
                                  </w:tcBorders>
                                  <w:shd w:val="clear" w:color="auto" w:fill="auto"/>
                                  <w:vAlign w:val="center"/>
                                </w:tcPr>
                                <w:p w14:paraId="1F2660CA" w14:textId="77777777" w:rsidR="00CE57F9" w:rsidRPr="00DA446A" w:rsidRDefault="00CE57F9" w:rsidP="00493628">
                                  <w:pPr>
                                    <w:widowControl/>
                                    <w:overflowPunct w:val="0"/>
                                    <w:spacing w:line="240" w:lineRule="exact"/>
                                    <w:jc w:val="right"/>
                                    <w:rPr>
                                      <w:rFonts w:ascii="標楷體" w:eastAsia="標楷體" w:hAnsi="標楷體"/>
                                      <w:kern w:val="0"/>
                                      <w:sz w:val="20"/>
                                    </w:rPr>
                                  </w:pPr>
                                  <w:r w:rsidRPr="00DA446A">
                                    <w:rPr>
                                      <w:rFonts w:ascii="標楷體" w:eastAsia="標楷體" w:hAnsi="標楷體" w:cs="新細明體" w:hint="eastAsia"/>
                                      <w:kern w:val="0"/>
                                      <w:sz w:val="20"/>
                                    </w:rPr>
                                    <w:t>2,187</w:t>
                                  </w:r>
                                </w:p>
                              </w:tc>
                              <w:tc>
                                <w:tcPr>
                                  <w:tcW w:w="794" w:type="dxa"/>
                                  <w:tcBorders>
                                    <w:top w:val="single" w:sz="4" w:space="0" w:color="auto"/>
                                    <w:left w:val="nil"/>
                                    <w:bottom w:val="single" w:sz="4" w:space="0" w:color="auto"/>
                                    <w:right w:val="single" w:sz="4" w:space="0" w:color="auto"/>
                                  </w:tcBorders>
                                  <w:shd w:val="clear" w:color="auto" w:fill="auto"/>
                                  <w:vAlign w:val="center"/>
                                </w:tcPr>
                                <w:p w14:paraId="1E5BE9DF"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2,705</w:t>
                                  </w:r>
                                </w:p>
                              </w:tc>
                              <w:tc>
                                <w:tcPr>
                                  <w:tcW w:w="794" w:type="dxa"/>
                                  <w:tcBorders>
                                    <w:top w:val="single" w:sz="4" w:space="0" w:color="auto"/>
                                    <w:left w:val="nil"/>
                                    <w:bottom w:val="single" w:sz="4" w:space="0" w:color="auto"/>
                                    <w:right w:val="single" w:sz="4" w:space="0" w:color="auto"/>
                                  </w:tcBorders>
                                  <w:shd w:val="clear" w:color="auto" w:fill="auto"/>
                                  <w:vAlign w:val="center"/>
                                </w:tcPr>
                                <w:p w14:paraId="4727C43D"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55.30</w:t>
                                  </w:r>
                                </w:p>
                              </w:tc>
                            </w:tr>
                            <w:tr w:rsidR="00CE57F9" w:rsidRPr="00DA446A" w14:paraId="48142804" w14:textId="77777777" w:rsidTr="00493628">
                              <w:trPr>
                                <w:trHeight w:val="55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14:paraId="296375ED"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文化部</w:t>
                                  </w:r>
                                </w:p>
                              </w:tc>
                              <w:tc>
                                <w:tcPr>
                                  <w:tcW w:w="2721" w:type="dxa"/>
                                  <w:tcBorders>
                                    <w:top w:val="single" w:sz="4" w:space="0" w:color="auto"/>
                                    <w:left w:val="nil"/>
                                    <w:bottom w:val="single" w:sz="4" w:space="0" w:color="auto"/>
                                    <w:right w:val="single" w:sz="4" w:space="0" w:color="auto"/>
                                  </w:tcBorders>
                                  <w:shd w:val="clear" w:color="auto" w:fill="auto"/>
                                  <w:vAlign w:val="center"/>
                                </w:tcPr>
                                <w:p w14:paraId="67AFD711"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影視音產業發展中程計畫（109</w:t>
                                  </w:r>
                                  <w:r>
                                    <w:rPr>
                                      <w:rFonts w:ascii="標楷體" w:eastAsia="標楷體" w:hAnsi="標楷體" w:cs="新細明體" w:hint="eastAsia"/>
                                      <w:kern w:val="0"/>
                                      <w:sz w:val="20"/>
                                    </w:rPr>
                                    <w:t>－</w:t>
                                  </w:r>
                                  <w:r w:rsidRPr="00DA446A">
                                    <w:rPr>
                                      <w:rFonts w:ascii="標楷體" w:eastAsia="標楷體" w:hAnsi="標楷體" w:cs="新細明體" w:hint="eastAsia"/>
                                      <w:kern w:val="0"/>
                                      <w:sz w:val="20"/>
                                    </w:rPr>
                                    <w:t>113年）</w:t>
                                  </w:r>
                                </w:p>
                              </w:tc>
                              <w:tc>
                                <w:tcPr>
                                  <w:tcW w:w="794" w:type="dxa"/>
                                  <w:tcBorders>
                                    <w:top w:val="single" w:sz="4" w:space="0" w:color="auto"/>
                                    <w:left w:val="nil"/>
                                    <w:bottom w:val="single" w:sz="4" w:space="0" w:color="auto"/>
                                    <w:right w:val="single" w:sz="4" w:space="0" w:color="auto"/>
                                  </w:tcBorders>
                                  <w:shd w:val="clear" w:color="auto" w:fill="auto"/>
                                  <w:vAlign w:val="center"/>
                                </w:tcPr>
                                <w:p w14:paraId="5FDA9C70"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10,093</w:t>
                                  </w:r>
                                </w:p>
                              </w:tc>
                              <w:tc>
                                <w:tcPr>
                                  <w:tcW w:w="794" w:type="dxa"/>
                                  <w:tcBorders>
                                    <w:top w:val="single" w:sz="4" w:space="0" w:color="auto"/>
                                    <w:left w:val="nil"/>
                                    <w:bottom w:val="single" w:sz="4" w:space="0" w:color="auto"/>
                                    <w:right w:val="single" w:sz="4" w:space="0" w:color="auto"/>
                                  </w:tcBorders>
                                  <w:shd w:val="clear" w:color="auto" w:fill="auto"/>
                                  <w:vAlign w:val="center"/>
                                </w:tcPr>
                                <w:p w14:paraId="60B058CA"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8,165</w:t>
                                  </w:r>
                                </w:p>
                              </w:tc>
                              <w:tc>
                                <w:tcPr>
                                  <w:tcW w:w="794" w:type="dxa"/>
                                  <w:tcBorders>
                                    <w:top w:val="single" w:sz="4" w:space="0" w:color="auto"/>
                                    <w:left w:val="nil"/>
                                    <w:bottom w:val="single" w:sz="4" w:space="0" w:color="auto"/>
                                    <w:right w:val="single" w:sz="4" w:space="0" w:color="auto"/>
                                  </w:tcBorders>
                                  <w:shd w:val="clear" w:color="auto" w:fill="auto"/>
                                  <w:vAlign w:val="center"/>
                                </w:tcPr>
                                <w:p w14:paraId="684B30FF"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1,927</w:t>
                                  </w:r>
                                </w:p>
                              </w:tc>
                              <w:tc>
                                <w:tcPr>
                                  <w:tcW w:w="794" w:type="dxa"/>
                                  <w:tcBorders>
                                    <w:top w:val="single" w:sz="4" w:space="0" w:color="auto"/>
                                    <w:left w:val="nil"/>
                                    <w:bottom w:val="single" w:sz="4" w:space="0" w:color="auto"/>
                                    <w:right w:val="single" w:sz="4" w:space="0" w:color="auto"/>
                                  </w:tcBorders>
                                  <w:shd w:val="clear" w:color="auto" w:fill="auto"/>
                                  <w:vAlign w:val="center"/>
                                </w:tcPr>
                                <w:p w14:paraId="27A38AE5"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19.10</w:t>
                                  </w:r>
                                </w:p>
                              </w:tc>
                            </w:tr>
                            <w:tr w:rsidR="00CE57F9" w:rsidRPr="00DA446A" w14:paraId="7B20470C" w14:textId="77777777" w:rsidTr="00493628">
                              <w:trPr>
                                <w:trHeight w:val="55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14:paraId="484FFD77"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衛生福利部</w:t>
                                  </w:r>
                                </w:p>
                              </w:tc>
                              <w:tc>
                                <w:tcPr>
                                  <w:tcW w:w="2721" w:type="dxa"/>
                                  <w:tcBorders>
                                    <w:top w:val="single" w:sz="4" w:space="0" w:color="auto"/>
                                    <w:left w:val="nil"/>
                                    <w:bottom w:val="single" w:sz="4" w:space="0" w:color="auto"/>
                                    <w:right w:val="single" w:sz="4" w:space="0" w:color="auto"/>
                                  </w:tcBorders>
                                  <w:shd w:val="clear" w:color="auto" w:fill="auto"/>
                                  <w:vAlign w:val="center"/>
                                </w:tcPr>
                                <w:p w14:paraId="3FBB9A2B"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強化社會安全網第二期計畫（110</w:t>
                                  </w:r>
                                  <w:r>
                                    <w:rPr>
                                      <w:rFonts w:ascii="標楷體" w:eastAsia="標楷體" w:hAnsi="標楷體" w:cs="新細明體" w:hint="eastAsia"/>
                                      <w:kern w:val="0"/>
                                      <w:sz w:val="20"/>
                                    </w:rPr>
                                    <w:t>－</w:t>
                                  </w:r>
                                  <w:r w:rsidRPr="00DA446A">
                                    <w:rPr>
                                      <w:rFonts w:ascii="標楷體" w:eastAsia="標楷體" w:hAnsi="標楷體" w:cs="新細明體" w:hint="eastAsia"/>
                                      <w:kern w:val="0"/>
                                      <w:sz w:val="20"/>
                                    </w:rPr>
                                    <w:t>114年）</w:t>
                                  </w:r>
                                </w:p>
                              </w:tc>
                              <w:tc>
                                <w:tcPr>
                                  <w:tcW w:w="794" w:type="dxa"/>
                                  <w:tcBorders>
                                    <w:top w:val="single" w:sz="4" w:space="0" w:color="auto"/>
                                    <w:left w:val="nil"/>
                                    <w:bottom w:val="single" w:sz="4" w:space="0" w:color="auto"/>
                                    <w:right w:val="single" w:sz="4" w:space="0" w:color="auto"/>
                                  </w:tcBorders>
                                  <w:shd w:val="clear" w:color="auto" w:fill="auto"/>
                                  <w:vAlign w:val="center"/>
                                </w:tcPr>
                                <w:p w14:paraId="1B163898"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31,112</w:t>
                                  </w:r>
                                </w:p>
                              </w:tc>
                              <w:tc>
                                <w:tcPr>
                                  <w:tcW w:w="794" w:type="dxa"/>
                                  <w:tcBorders>
                                    <w:top w:val="single" w:sz="4" w:space="0" w:color="auto"/>
                                    <w:left w:val="nil"/>
                                    <w:bottom w:val="single" w:sz="4" w:space="0" w:color="auto"/>
                                    <w:right w:val="single" w:sz="4" w:space="0" w:color="auto"/>
                                  </w:tcBorders>
                                  <w:shd w:val="clear" w:color="auto" w:fill="auto"/>
                                  <w:vAlign w:val="center"/>
                                </w:tcPr>
                                <w:p w14:paraId="3E85D1F2"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29,205</w:t>
                                  </w:r>
                                </w:p>
                              </w:tc>
                              <w:tc>
                                <w:tcPr>
                                  <w:tcW w:w="794" w:type="dxa"/>
                                  <w:tcBorders>
                                    <w:top w:val="single" w:sz="4" w:space="0" w:color="auto"/>
                                    <w:left w:val="nil"/>
                                    <w:bottom w:val="single" w:sz="4" w:space="0" w:color="auto"/>
                                    <w:right w:val="single" w:sz="4" w:space="0" w:color="auto"/>
                                  </w:tcBorders>
                                  <w:shd w:val="clear" w:color="auto" w:fill="auto"/>
                                  <w:vAlign w:val="center"/>
                                </w:tcPr>
                                <w:p w14:paraId="2ED409A1"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1,907</w:t>
                                  </w:r>
                                </w:p>
                              </w:tc>
                              <w:tc>
                                <w:tcPr>
                                  <w:tcW w:w="794" w:type="dxa"/>
                                  <w:tcBorders>
                                    <w:top w:val="single" w:sz="4" w:space="0" w:color="auto"/>
                                    <w:left w:val="nil"/>
                                    <w:bottom w:val="single" w:sz="4" w:space="0" w:color="auto"/>
                                    <w:right w:val="single" w:sz="4" w:space="0" w:color="auto"/>
                                  </w:tcBorders>
                                  <w:shd w:val="clear" w:color="auto" w:fill="auto"/>
                                  <w:vAlign w:val="center"/>
                                </w:tcPr>
                                <w:p w14:paraId="178241BA"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6.13</w:t>
                                  </w:r>
                                </w:p>
                              </w:tc>
                            </w:tr>
                            <w:tr w:rsidR="00CE57F9" w:rsidRPr="00DA446A" w14:paraId="240CECFD" w14:textId="77777777" w:rsidTr="00493628">
                              <w:trPr>
                                <w:trHeight w:val="55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14:paraId="20528655"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衛生福利部</w:t>
                                  </w:r>
                                </w:p>
                              </w:tc>
                              <w:tc>
                                <w:tcPr>
                                  <w:tcW w:w="2721" w:type="dxa"/>
                                  <w:tcBorders>
                                    <w:top w:val="single" w:sz="4" w:space="0" w:color="auto"/>
                                    <w:left w:val="nil"/>
                                    <w:bottom w:val="single" w:sz="4" w:space="0" w:color="auto"/>
                                    <w:right w:val="single" w:sz="4" w:space="0" w:color="auto"/>
                                  </w:tcBorders>
                                  <w:shd w:val="clear" w:color="auto" w:fill="auto"/>
                                  <w:vAlign w:val="center"/>
                                </w:tcPr>
                                <w:p w14:paraId="18F81ECF"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充實國家疫苗基金及促進國民免疫力第三期計畫</w:t>
                                  </w:r>
                                </w:p>
                              </w:tc>
                              <w:tc>
                                <w:tcPr>
                                  <w:tcW w:w="794" w:type="dxa"/>
                                  <w:tcBorders>
                                    <w:top w:val="single" w:sz="4" w:space="0" w:color="auto"/>
                                    <w:left w:val="nil"/>
                                    <w:bottom w:val="single" w:sz="4" w:space="0" w:color="auto"/>
                                    <w:right w:val="single" w:sz="4" w:space="0" w:color="auto"/>
                                  </w:tcBorders>
                                  <w:shd w:val="clear" w:color="auto" w:fill="auto"/>
                                  <w:vAlign w:val="center"/>
                                </w:tcPr>
                                <w:p w14:paraId="01C299F5"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19,568</w:t>
                                  </w:r>
                                </w:p>
                              </w:tc>
                              <w:tc>
                                <w:tcPr>
                                  <w:tcW w:w="794" w:type="dxa"/>
                                  <w:tcBorders>
                                    <w:top w:val="single" w:sz="4" w:space="0" w:color="auto"/>
                                    <w:left w:val="nil"/>
                                    <w:bottom w:val="single" w:sz="4" w:space="0" w:color="auto"/>
                                    <w:right w:val="single" w:sz="4" w:space="0" w:color="auto"/>
                                  </w:tcBorders>
                                  <w:shd w:val="clear" w:color="auto" w:fill="auto"/>
                                  <w:vAlign w:val="center"/>
                                </w:tcPr>
                                <w:p w14:paraId="21990CAB"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17,924</w:t>
                                  </w:r>
                                </w:p>
                              </w:tc>
                              <w:tc>
                                <w:tcPr>
                                  <w:tcW w:w="794" w:type="dxa"/>
                                  <w:tcBorders>
                                    <w:top w:val="single" w:sz="4" w:space="0" w:color="auto"/>
                                    <w:left w:val="nil"/>
                                    <w:bottom w:val="single" w:sz="4" w:space="0" w:color="auto"/>
                                    <w:right w:val="single" w:sz="4" w:space="0" w:color="auto"/>
                                  </w:tcBorders>
                                  <w:shd w:val="clear" w:color="auto" w:fill="auto"/>
                                  <w:vAlign w:val="center"/>
                                </w:tcPr>
                                <w:p w14:paraId="0787CC9A"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1,644</w:t>
                                  </w:r>
                                </w:p>
                              </w:tc>
                              <w:tc>
                                <w:tcPr>
                                  <w:tcW w:w="794" w:type="dxa"/>
                                  <w:tcBorders>
                                    <w:top w:val="single" w:sz="4" w:space="0" w:color="auto"/>
                                    <w:left w:val="nil"/>
                                    <w:bottom w:val="single" w:sz="4" w:space="0" w:color="auto"/>
                                    <w:right w:val="single" w:sz="4" w:space="0" w:color="auto"/>
                                  </w:tcBorders>
                                  <w:shd w:val="clear" w:color="auto" w:fill="auto"/>
                                  <w:vAlign w:val="center"/>
                                </w:tcPr>
                                <w:p w14:paraId="7FC0D734"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8.40</w:t>
                                  </w:r>
                                </w:p>
                              </w:tc>
                            </w:tr>
                            <w:tr w:rsidR="00CE57F9" w:rsidRPr="00DA446A" w14:paraId="297622F5" w14:textId="77777777" w:rsidTr="00493628">
                              <w:trPr>
                                <w:trHeight w:val="55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14:paraId="1EEC6C92"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法務部</w:t>
                                  </w:r>
                                </w:p>
                              </w:tc>
                              <w:tc>
                                <w:tcPr>
                                  <w:tcW w:w="2721" w:type="dxa"/>
                                  <w:tcBorders>
                                    <w:top w:val="single" w:sz="4" w:space="0" w:color="auto"/>
                                    <w:left w:val="nil"/>
                                    <w:bottom w:val="single" w:sz="4" w:space="0" w:color="auto"/>
                                    <w:right w:val="single" w:sz="4" w:space="0" w:color="auto"/>
                                  </w:tcBorders>
                                  <w:shd w:val="clear" w:color="auto" w:fill="auto"/>
                                  <w:vAlign w:val="center"/>
                                </w:tcPr>
                                <w:p w14:paraId="6F0DDB87"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法務部矯正署彰化看守所遷建中長程個案計畫</w:t>
                                  </w:r>
                                </w:p>
                              </w:tc>
                              <w:tc>
                                <w:tcPr>
                                  <w:tcW w:w="794" w:type="dxa"/>
                                  <w:tcBorders>
                                    <w:top w:val="single" w:sz="4" w:space="0" w:color="auto"/>
                                    <w:left w:val="nil"/>
                                    <w:bottom w:val="single" w:sz="4" w:space="0" w:color="auto"/>
                                    <w:right w:val="single" w:sz="4" w:space="0" w:color="auto"/>
                                  </w:tcBorders>
                                  <w:shd w:val="clear" w:color="auto" w:fill="auto"/>
                                  <w:vAlign w:val="center"/>
                                </w:tcPr>
                                <w:p w14:paraId="01ABB69E"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3,094</w:t>
                                  </w:r>
                                </w:p>
                              </w:tc>
                              <w:tc>
                                <w:tcPr>
                                  <w:tcW w:w="794" w:type="dxa"/>
                                  <w:tcBorders>
                                    <w:top w:val="single" w:sz="4" w:space="0" w:color="auto"/>
                                    <w:left w:val="nil"/>
                                    <w:bottom w:val="single" w:sz="4" w:space="0" w:color="auto"/>
                                    <w:right w:val="single" w:sz="4" w:space="0" w:color="auto"/>
                                  </w:tcBorders>
                                  <w:shd w:val="clear" w:color="auto" w:fill="auto"/>
                                  <w:vAlign w:val="center"/>
                                </w:tcPr>
                                <w:p w14:paraId="33898685"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1,571</w:t>
                                  </w:r>
                                </w:p>
                              </w:tc>
                              <w:tc>
                                <w:tcPr>
                                  <w:tcW w:w="794" w:type="dxa"/>
                                  <w:tcBorders>
                                    <w:top w:val="single" w:sz="4" w:space="0" w:color="auto"/>
                                    <w:left w:val="nil"/>
                                    <w:bottom w:val="single" w:sz="4" w:space="0" w:color="auto"/>
                                    <w:right w:val="single" w:sz="4" w:space="0" w:color="auto"/>
                                  </w:tcBorders>
                                  <w:shd w:val="clear" w:color="auto" w:fill="auto"/>
                                  <w:vAlign w:val="center"/>
                                </w:tcPr>
                                <w:p w14:paraId="3DFA5BDC"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1,523</w:t>
                                  </w:r>
                                </w:p>
                              </w:tc>
                              <w:tc>
                                <w:tcPr>
                                  <w:tcW w:w="794" w:type="dxa"/>
                                  <w:tcBorders>
                                    <w:top w:val="single" w:sz="4" w:space="0" w:color="auto"/>
                                    <w:left w:val="nil"/>
                                    <w:bottom w:val="single" w:sz="4" w:space="0" w:color="auto"/>
                                    <w:right w:val="single" w:sz="4" w:space="0" w:color="auto"/>
                                  </w:tcBorders>
                                  <w:shd w:val="clear" w:color="auto" w:fill="auto"/>
                                  <w:vAlign w:val="center"/>
                                </w:tcPr>
                                <w:p w14:paraId="48A2D299"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49.22</w:t>
                                  </w:r>
                                </w:p>
                              </w:tc>
                            </w:tr>
                            <w:tr w:rsidR="00CE57F9" w:rsidRPr="00DA446A" w14:paraId="54EC9FAD" w14:textId="77777777" w:rsidTr="00493628">
                              <w:trPr>
                                <w:trHeight w:val="55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14:paraId="3427CFA5"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文化部</w:t>
                                  </w:r>
                                </w:p>
                              </w:tc>
                              <w:tc>
                                <w:tcPr>
                                  <w:tcW w:w="2721" w:type="dxa"/>
                                  <w:tcBorders>
                                    <w:top w:val="single" w:sz="4" w:space="0" w:color="auto"/>
                                    <w:left w:val="nil"/>
                                    <w:bottom w:val="single" w:sz="4" w:space="0" w:color="auto"/>
                                    <w:right w:val="single" w:sz="4" w:space="0" w:color="auto"/>
                                  </w:tcBorders>
                                  <w:shd w:val="clear" w:color="auto" w:fill="auto"/>
                                  <w:vAlign w:val="center"/>
                                </w:tcPr>
                                <w:p w14:paraId="7655C115"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水下文化資產保存維護管理（第一期）計畫（109</w:t>
                                  </w:r>
                                  <w:r>
                                    <w:rPr>
                                      <w:rFonts w:ascii="標楷體" w:eastAsia="標楷體" w:hAnsi="標楷體" w:cs="新細明體" w:hint="eastAsia"/>
                                      <w:kern w:val="0"/>
                                      <w:sz w:val="20"/>
                                    </w:rPr>
                                    <w:t>－</w:t>
                                  </w:r>
                                  <w:r w:rsidRPr="00DA446A">
                                    <w:rPr>
                                      <w:rFonts w:ascii="標楷體" w:eastAsia="標楷體" w:hAnsi="標楷體" w:cs="新細明體" w:hint="eastAsia"/>
                                      <w:kern w:val="0"/>
                                      <w:sz w:val="20"/>
                                    </w:rPr>
                                    <w:t>112年）</w:t>
                                  </w:r>
                                </w:p>
                              </w:tc>
                              <w:tc>
                                <w:tcPr>
                                  <w:tcW w:w="794" w:type="dxa"/>
                                  <w:tcBorders>
                                    <w:top w:val="single" w:sz="4" w:space="0" w:color="auto"/>
                                    <w:left w:val="nil"/>
                                    <w:bottom w:val="single" w:sz="4" w:space="0" w:color="auto"/>
                                    <w:right w:val="single" w:sz="4" w:space="0" w:color="auto"/>
                                  </w:tcBorders>
                                  <w:shd w:val="clear" w:color="auto" w:fill="auto"/>
                                  <w:vAlign w:val="center"/>
                                </w:tcPr>
                                <w:p w14:paraId="52DD4228"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1,000</w:t>
                                  </w:r>
                                </w:p>
                              </w:tc>
                              <w:tc>
                                <w:tcPr>
                                  <w:tcW w:w="794" w:type="dxa"/>
                                  <w:tcBorders>
                                    <w:top w:val="single" w:sz="4" w:space="0" w:color="auto"/>
                                    <w:left w:val="nil"/>
                                    <w:bottom w:val="single" w:sz="4" w:space="0" w:color="auto"/>
                                    <w:right w:val="single" w:sz="4" w:space="0" w:color="auto"/>
                                  </w:tcBorders>
                                  <w:shd w:val="clear" w:color="auto" w:fill="auto"/>
                                  <w:vAlign w:val="center"/>
                                </w:tcPr>
                                <w:p w14:paraId="0D3FD85E"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442</w:t>
                                  </w:r>
                                </w:p>
                              </w:tc>
                              <w:tc>
                                <w:tcPr>
                                  <w:tcW w:w="794" w:type="dxa"/>
                                  <w:tcBorders>
                                    <w:top w:val="single" w:sz="4" w:space="0" w:color="auto"/>
                                    <w:left w:val="nil"/>
                                    <w:bottom w:val="single" w:sz="4" w:space="0" w:color="auto"/>
                                    <w:right w:val="single" w:sz="4" w:space="0" w:color="auto"/>
                                  </w:tcBorders>
                                  <w:shd w:val="clear" w:color="auto" w:fill="auto"/>
                                  <w:vAlign w:val="center"/>
                                </w:tcPr>
                                <w:p w14:paraId="655C4DD6"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557</w:t>
                                  </w:r>
                                </w:p>
                              </w:tc>
                              <w:tc>
                                <w:tcPr>
                                  <w:tcW w:w="794" w:type="dxa"/>
                                  <w:tcBorders>
                                    <w:top w:val="single" w:sz="4" w:space="0" w:color="auto"/>
                                    <w:left w:val="nil"/>
                                    <w:bottom w:val="single" w:sz="4" w:space="0" w:color="auto"/>
                                    <w:right w:val="single" w:sz="4" w:space="0" w:color="auto"/>
                                  </w:tcBorders>
                                  <w:shd w:val="clear" w:color="auto" w:fill="auto"/>
                                  <w:vAlign w:val="center"/>
                                </w:tcPr>
                                <w:p w14:paraId="2122F3B8"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55.73</w:t>
                                  </w:r>
                                </w:p>
                              </w:tc>
                            </w:tr>
                            <w:tr w:rsidR="00CE57F9" w:rsidRPr="00DA446A" w14:paraId="71F77129" w14:textId="77777777" w:rsidTr="00493628">
                              <w:trPr>
                                <w:trHeight w:val="556"/>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14B694C7"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僑務委員會</w:t>
                                  </w:r>
                                </w:p>
                              </w:tc>
                              <w:tc>
                                <w:tcPr>
                                  <w:tcW w:w="2721" w:type="dxa"/>
                                  <w:tcBorders>
                                    <w:top w:val="nil"/>
                                    <w:left w:val="nil"/>
                                    <w:bottom w:val="single" w:sz="4" w:space="0" w:color="auto"/>
                                    <w:right w:val="single" w:sz="4" w:space="0" w:color="auto"/>
                                  </w:tcBorders>
                                  <w:shd w:val="clear" w:color="auto" w:fill="auto"/>
                                  <w:vAlign w:val="center"/>
                                  <w:hideMark/>
                                </w:tcPr>
                                <w:p w14:paraId="3B766378"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國家發展新局下僑務鞏固與革新計畫（108年至111年）</w:t>
                                  </w:r>
                                </w:p>
                              </w:tc>
                              <w:tc>
                                <w:tcPr>
                                  <w:tcW w:w="794" w:type="dxa"/>
                                  <w:tcBorders>
                                    <w:top w:val="nil"/>
                                    <w:left w:val="nil"/>
                                    <w:bottom w:val="single" w:sz="4" w:space="0" w:color="auto"/>
                                    <w:right w:val="single" w:sz="4" w:space="0" w:color="auto"/>
                                  </w:tcBorders>
                                  <w:shd w:val="clear" w:color="auto" w:fill="auto"/>
                                  <w:vAlign w:val="center"/>
                                  <w:hideMark/>
                                </w:tcPr>
                                <w:p w14:paraId="47D2CFE1"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357</w:t>
                                  </w:r>
                                </w:p>
                              </w:tc>
                              <w:tc>
                                <w:tcPr>
                                  <w:tcW w:w="794" w:type="dxa"/>
                                  <w:tcBorders>
                                    <w:top w:val="nil"/>
                                    <w:left w:val="nil"/>
                                    <w:bottom w:val="single" w:sz="4" w:space="0" w:color="auto"/>
                                    <w:right w:val="single" w:sz="4" w:space="0" w:color="auto"/>
                                  </w:tcBorders>
                                  <w:shd w:val="clear" w:color="auto" w:fill="auto"/>
                                  <w:vAlign w:val="center"/>
                                  <w:hideMark/>
                                </w:tcPr>
                                <w:p w14:paraId="7D7DCA0B"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127</w:t>
                                  </w:r>
                                </w:p>
                              </w:tc>
                              <w:tc>
                                <w:tcPr>
                                  <w:tcW w:w="794" w:type="dxa"/>
                                  <w:tcBorders>
                                    <w:top w:val="nil"/>
                                    <w:left w:val="nil"/>
                                    <w:bottom w:val="single" w:sz="4" w:space="0" w:color="auto"/>
                                    <w:right w:val="single" w:sz="4" w:space="0" w:color="auto"/>
                                  </w:tcBorders>
                                  <w:shd w:val="clear" w:color="auto" w:fill="auto"/>
                                  <w:vAlign w:val="center"/>
                                  <w:hideMark/>
                                </w:tcPr>
                                <w:p w14:paraId="5DBD09FF"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230</w:t>
                                  </w:r>
                                </w:p>
                              </w:tc>
                              <w:tc>
                                <w:tcPr>
                                  <w:tcW w:w="794" w:type="dxa"/>
                                  <w:tcBorders>
                                    <w:top w:val="nil"/>
                                    <w:left w:val="nil"/>
                                    <w:bottom w:val="single" w:sz="4" w:space="0" w:color="auto"/>
                                    <w:right w:val="single" w:sz="4" w:space="0" w:color="auto"/>
                                  </w:tcBorders>
                                  <w:shd w:val="clear" w:color="auto" w:fill="auto"/>
                                  <w:vAlign w:val="center"/>
                                  <w:hideMark/>
                                </w:tcPr>
                                <w:p w14:paraId="38355B2C"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64.49</w:t>
                                  </w:r>
                                </w:p>
                              </w:tc>
                            </w:tr>
                          </w:tbl>
                          <w:p w14:paraId="3CBD2B5B" w14:textId="77777777" w:rsidR="00CE57F9" w:rsidRPr="002B6876" w:rsidRDefault="00CE57F9" w:rsidP="00EA6C1F">
                            <w:pPr>
                              <w:overflowPunct w:val="0"/>
                              <w:spacing w:line="220" w:lineRule="exact"/>
                              <w:ind w:left="576" w:hangingChars="320" w:hanging="576"/>
                              <w:jc w:val="both"/>
                              <w:rPr>
                                <w:rFonts w:ascii="標楷體" w:eastAsia="標楷體" w:hAnsi="標楷體"/>
                                <w:sz w:val="18"/>
                                <w:szCs w:val="18"/>
                              </w:rPr>
                            </w:pPr>
                            <w:r w:rsidRPr="002B6876">
                              <w:rPr>
                                <w:rFonts w:ascii="標楷體" w:eastAsia="標楷體" w:hAnsi="標楷體" w:hint="eastAsia"/>
                                <w:sz w:val="18"/>
                                <w:szCs w:val="18"/>
                              </w:rPr>
                              <w:t>註：1.「計畫核定經費」係指</w:t>
                            </w:r>
                            <w:r>
                              <w:rPr>
                                <w:rFonts w:ascii="標楷體" w:eastAsia="標楷體" w:hAnsi="標楷體" w:hint="eastAsia"/>
                                <w:sz w:val="18"/>
                                <w:szCs w:val="18"/>
                              </w:rPr>
                              <w:t>經</w:t>
                            </w:r>
                            <w:r w:rsidRPr="002B6876">
                              <w:rPr>
                                <w:rFonts w:ascii="標楷體" w:eastAsia="標楷體" w:hAnsi="標楷體" w:hint="eastAsia"/>
                                <w:sz w:val="18"/>
                                <w:szCs w:val="18"/>
                              </w:rPr>
                              <w:t>權責機關核定中長程個案計畫書內所載分年需求經費之總和。</w:t>
                            </w:r>
                          </w:p>
                          <w:p w14:paraId="40350678" w14:textId="77777777" w:rsidR="00CE57F9" w:rsidRPr="002B6876" w:rsidRDefault="00CE57F9" w:rsidP="00EA6C1F">
                            <w:pPr>
                              <w:overflowPunct w:val="0"/>
                              <w:spacing w:line="220" w:lineRule="exact"/>
                              <w:ind w:leftChars="150" w:left="630" w:hangingChars="150" w:hanging="270"/>
                              <w:jc w:val="both"/>
                              <w:rPr>
                                <w:rFonts w:ascii="標楷體" w:eastAsia="標楷體" w:hAnsi="標楷體"/>
                                <w:sz w:val="18"/>
                                <w:szCs w:val="18"/>
                              </w:rPr>
                            </w:pPr>
                            <w:r w:rsidRPr="002B6876">
                              <w:rPr>
                                <w:rFonts w:ascii="標楷體" w:eastAsia="標楷體" w:hAnsi="標楷體" w:hint="eastAsia"/>
                                <w:sz w:val="18"/>
                                <w:szCs w:val="18"/>
                              </w:rPr>
                              <w:t>2.「總計畫經費」為立法院三讀通過之分年法定預算，加計立法院尚未核定之年度採計核定計畫分年規劃</w:t>
                            </w:r>
                            <w:r>
                              <w:rPr>
                                <w:rFonts w:ascii="標楷體" w:eastAsia="標楷體" w:hAnsi="標楷體" w:hint="eastAsia"/>
                                <w:sz w:val="18"/>
                                <w:szCs w:val="18"/>
                              </w:rPr>
                              <w:t>（</w:t>
                            </w:r>
                            <w:r w:rsidRPr="002B6876">
                              <w:rPr>
                                <w:rFonts w:ascii="標楷體" w:eastAsia="標楷體" w:hAnsi="標楷體" w:hint="eastAsia"/>
                                <w:sz w:val="18"/>
                                <w:szCs w:val="18"/>
                              </w:rPr>
                              <w:t>需求</w:t>
                            </w:r>
                            <w:r>
                              <w:rPr>
                                <w:rFonts w:ascii="標楷體" w:eastAsia="標楷體" w:hAnsi="標楷體" w:hint="eastAsia"/>
                                <w:sz w:val="18"/>
                                <w:szCs w:val="18"/>
                              </w:rPr>
                              <w:t>）</w:t>
                            </w:r>
                            <w:r w:rsidRPr="002B6876">
                              <w:rPr>
                                <w:rFonts w:ascii="標楷體" w:eastAsia="標楷體" w:hAnsi="標楷體" w:hint="eastAsia"/>
                                <w:sz w:val="18"/>
                                <w:szCs w:val="18"/>
                              </w:rPr>
                              <w:t>經費。</w:t>
                            </w:r>
                          </w:p>
                          <w:p w14:paraId="4D45FD37" w14:textId="77777777" w:rsidR="00CE57F9" w:rsidRPr="002B6876" w:rsidRDefault="00CE57F9" w:rsidP="00EA6C1F">
                            <w:pPr>
                              <w:overflowPunct w:val="0"/>
                              <w:spacing w:line="220" w:lineRule="exact"/>
                              <w:ind w:leftChars="150" w:left="630" w:hangingChars="150" w:hanging="270"/>
                              <w:jc w:val="both"/>
                              <w:rPr>
                                <w:rFonts w:ascii="標楷體" w:eastAsia="標楷體" w:hAnsi="標楷體"/>
                                <w:sz w:val="18"/>
                                <w:szCs w:val="18"/>
                              </w:rPr>
                            </w:pPr>
                            <w:r w:rsidRPr="002B6876">
                              <w:rPr>
                                <w:rFonts w:ascii="標楷體" w:eastAsia="標楷體" w:hAnsi="標楷體" w:hint="eastAsia"/>
                                <w:sz w:val="18"/>
                                <w:szCs w:val="18"/>
                              </w:rPr>
                              <w:t>3.資料來源：整理自國</w:t>
                            </w:r>
                            <w:r>
                              <w:rPr>
                                <w:rFonts w:ascii="標楷體" w:eastAsia="標楷體" w:hAnsi="標楷體" w:hint="eastAsia"/>
                                <w:sz w:val="18"/>
                                <w:szCs w:val="18"/>
                              </w:rPr>
                              <w:t>家</w:t>
                            </w:r>
                            <w:r w:rsidRPr="002B6876">
                              <w:rPr>
                                <w:rFonts w:ascii="標楷體" w:eastAsia="標楷體" w:hAnsi="標楷體" w:hint="eastAsia"/>
                                <w:sz w:val="18"/>
                                <w:szCs w:val="18"/>
                              </w:rPr>
                              <w:t>發</w:t>
                            </w:r>
                            <w:r>
                              <w:rPr>
                                <w:rFonts w:ascii="標楷體" w:eastAsia="標楷體" w:hAnsi="標楷體" w:hint="eastAsia"/>
                                <w:sz w:val="18"/>
                                <w:szCs w:val="18"/>
                              </w:rPr>
                              <w:t>展</w:t>
                            </w:r>
                            <w:r>
                              <w:rPr>
                                <w:rFonts w:ascii="標楷體" w:eastAsia="標楷體" w:hAnsi="標楷體"/>
                                <w:sz w:val="18"/>
                                <w:szCs w:val="18"/>
                              </w:rPr>
                              <w:t>委員</w:t>
                            </w:r>
                            <w:r w:rsidRPr="002B6876">
                              <w:rPr>
                                <w:rFonts w:ascii="標楷體" w:eastAsia="標楷體" w:hAnsi="標楷體" w:hint="eastAsia"/>
                                <w:sz w:val="18"/>
                                <w:szCs w:val="18"/>
                              </w:rPr>
                              <w:t>會提供資料。</w:t>
                            </w:r>
                          </w:p>
                          <w:p w14:paraId="110FF5BC" w14:textId="77777777" w:rsidR="00CE57F9" w:rsidRPr="0004360C" w:rsidRDefault="00CE57F9" w:rsidP="00EA6C1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18F1B1" id="文字方塊 52" o:spid="_x0000_s1136" type="#_x0000_t202" style="position:absolute;left:0;text-align:left;margin-left:154.1pt;margin-top:-.2pt;width:341.75pt;height:344.2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" filled="f" stroked="f" strokeweight=".5pt">
                <v:textbox>
                  <w:txbxContent>
                    <w:p w14:paraId="65C1CEBB" w14:textId="525026CD" w:rsidR="00CE57F9" w:rsidRDefault="00CE57F9" w:rsidP="00EA6C1F">
                      <w:pPr>
                        <w:overflowPunct w:val="0"/>
                        <w:spacing w:line="320" w:lineRule="exact"/>
                        <w:ind w:left="841" w:hangingChars="350" w:hanging="841"/>
                        <w:jc w:val="both"/>
                        <w:rPr>
                          <w:rFonts w:ascii="標楷體" w:eastAsia="標楷體" w:hAnsi="標楷體"/>
                          <w:b/>
                        </w:rPr>
                      </w:pPr>
                      <w:r w:rsidRPr="007B5A51">
                        <w:rPr>
                          <w:rFonts w:ascii="標楷體" w:eastAsia="標楷體" w:hAnsi="標楷體" w:hint="eastAsia"/>
                          <w:b/>
                        </w:rPr>
                        <w:t>表</w:t>
                      </w:r>
                      <w:r>
                        <w:rPr>
                          <w:rFonts w:ascii="標楷體" w:eastAsia="標楷體" w:hAnsi="標楷體"/>
                          <w:b/>
                        </w:rPr>
                        <w:t>19</w:t>
                      </w:r>
                      <w:r>
                        <w:rPr>
                          <w:rFonts w:ascii="標楷體" w:eastAsia="標楷體" w:hAnsi="標楷體" w:hint="eastAsia"/>
                          <w:b/>
                        </w:rPr>
                        <w:t xml:space="preserve">　</w:t>
                      </w:r>
                      <w:r w:rsidRPr="007B5A51">
                        <w:rPr>
                          <w:rFonts w:ascii="標楷體" w:eastAsia="標楷體" w:hAnsi="標楷體" w:hint="eastAsia"/>
                          <w:b/>
                        </w:rPr>
                        <w:t>111年度重要社會發展計畫總計畫經費較計畫核定經費短少金額10億元以上或比率5成以上之計畫明細</w:t>
                      </w:r>
                    </w:p>
                    <w:p w14:paraId="5724B94B" w14:textId="77777777" w:rsidR="00CE57F9" w:rsidRPr="002B6876" w:rsidRDefault="00CE57F9" w:rsidP="00EA6C1F">
                      <w:pPr>
                        <w:overflowPunct w:val="0"/>
                        <w:spacing w:line="240" w:lineRule="exact"/>
                        <w:ind w:left="600" w:hangingChars="300" w:hanging="600"/>
                        <w:jc w:val="right"/>
                        <w:rPr>
                          <w:rFonts w:ascii="標楷體" w:eastAsia="標楷體" w:hAnsi="標楷體"/>
                          <w:sz w:val="20"/>
                        </w:rPr>
                      </w:pPr>
                      <w:r w:rsidRPr="002B6876">
                        <w:rPr>
                          <w:rFonts w:ascii="標楷體" w:eastAsia="標楷體" w:hAnsi="標楷體" w:hint="eastAsia"/>
                          <w:sz w:val="20"/>
                        </w:rPr>
                        <w:t>單位：新臺幣</w:t>
                      </w:r>
                      <w:r>
                        <w:rPr>
                          <w:rFonts w:ascii="標楷體" w:eastAsia="標楷體" w:hAnsi="標楷體" w:hint="eastAsia"/>
                          <w:sz w:val="20"/>
                        </w:rPr>
                        <w:t>百萬</w:t>
                      </w:r>
                      <w:r w:rsidRPr="002B6876">
                        <w:rPr>
                          <w:rFonts w:ascii="標楷體" w:eastAsia="標楷體" w:hAnsi="標楷體" w:hint="eastAsia"/>
                          <w:sz w:val="20"/>
                        </w:rPr>
                        <w:t>元</w:t>
                      </w:r>
                      <w:r>
                        <w:rPr>
                          <w:rFonts w:ascii="標楷體" w:eastAsia="標楷體" w:hAnsi="標楷體" w:hint="eastAsia"/>
                          <w:sz w:val="20"/>
                        </w:rPr>
                        <w:t>、％</w:t>
                      </w:r>
                    </w:p>
                    <w:tbl>
                      <w:tblPr>
                        <w:tblW w:w="6577" w:type="dxa"/>
                        <w:tblCellMar>
                          <w:left w:w="28" w:type="dxa"/>
                          <w:right w:w="28" w:type="dxa"/>
                        </w:tblCellMar>
                        <w:tblLook w:val="04A0" w:firstRow="1" w:lastRow="0" w:firstColumn="1" w:lastColumn="0" w:noHBand="0" w:noVBand="1"/>
                      </w:tblPr>
                      <w:tblGrid>
                        <w:gridCol w:w="680"/>
                        <w:gridCol w:w="2721"/>
                        <w:gridCol w:w="794"/>
                        <w:gridCol w:w="794"/>
                        <w:gridCol w:w="794"/>
                        <w:gridCol w:w="794"/>
                      </w:tblGrid>
                      <w:tr w:rsidR="00CE57F9" w:rsidRPr="00DA446A" w14:paraId="12AF6933" w14:textId="77777777" w:rsidTr="00493628">
                        <w:trPr>
                          <w:trHeight w:val="51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E55886" w14:textId="77777777" w:rsidR="00CE57F9" w:rsidRDefault="00CE57F9" w:rsidP="00493628">
                            <w:pPr>
                              <w:widowControl/>
                              <w:overflowPunct w:val="0"/>
                              <w:spacing w:line="240" w:lineRule="exact"/>
                              <w:jc w:val="center"/>
                              <w:rPr>
                                <w:rFonts w:ascii="標楷體" w:eastAsia="標楷體" w:hAnsi="標楷體"/>
                                <w:kern w:val="0"/>
                                <w:sz w:val="20"/>
                              </w:rPr>
                            </w:pPr>
                            <w:r w:rsidRPr="00DA446A">
                              <w:rPr>
                                <w:rFonts w:ascii="標楷體" w:eastAsia="標楷體" w:hAnsi="標楷體" w:hint="eastAsia"/>
                                <w:kern w:val="0"/>
                                <w:sz w:val="20"/>
                              </w:rPr>
                              <w:t>主管</w:t>
                            </w:r>
                          </w:p>
                          <w:p w14:paraId="1781E433" w14:textId="77777777" w:rsidR="00CE57F9" w:rsidRPr="00DA446A" w:rsidRDefault="00CE57F9" w:rsidP="00493628">
                            <w:pPr>
                              <w:widowControl/>
                              <w:overflowPunct w:val="0"/>
                              <w:spacing w:line="240" w:lineRule="exact"/>
                              <w:jc w:val="center"/>
                              <w:rPr>
                                <w:rFonts w:ascii="標楷體" w:eastAsia="標楷體" w:hAnsi="標楷體"/>
                                <w:kern w:val="0"/>
                                <w:sz w:val="20"/>
                              </w:rPr>
                            </w:pPr>
                            <w:r w:rsidRPr="00DA446A">
                              <w:rPr>
                                <w:rFonts w:ascii="標楷體" w:eastAsia="標楷體" w:hAnsi="標楷體" w:hint="eastAsia"/>
                                <w:kern w:val="0"/>
                                <w:sz w:val="20"/>
                              </w:rPr>
                              <w:t>機關</w:t>
                            </w:r>
                          </w:p>
                        </w:tc>
                        <w:tc>
                          <w:tcPr>
                            <w:tcW w:w="2721" w:type="dxa"/>
                            <w:tcBorders>
                              <w:top w:val="single" w:sz="4" w:space="0" w:color="auto"/>
                              <w:left w:val="nil"/>
                              <w:bottom w:val="single" w:sz="4" w:space="0" w:color="auto"/>
                              <w:right w:val="single" w:sz="4" w:space="0" w:color="auto"/>
                            </w:tcBorders>
                            <w:shd w:val="clear" w:color="auto" w:fill="auto"/>
                            <w:vAlign w:val="center"/>
                            <w:hideMark/>
                          </w:tcPr>
                          <w:p w14:paraId="6D1C31FF" w14:textId="77777777" w:rsidR="00CE57F9" w:rsidRPr="00DA446A" w:rsidRDefault="00CE57F9" w:rsidP="00493628">
                            <w:pPr>
                              <w:widowControl/>
                              <w:overflowPunct w:val="0"/>
                              <w:spacing w:line="240" w:lineRule="exact"/>
                              <w:jc w:val="center"/>
                              <w:rPr>
                                <w:rFonts w:ascii="標楷體" w:eastAsia="標楷體" w:hAnsi="標楷體"/>
                                <w:kern w:val="0"/>
                                <w:sz w:val="20"/>
                              </w:rPr>
                            </w:pPr>
                            <w:r w:rsidRPr="00DA446A">
                              <w:rPr>
                                <w:rFonts w:ascii="標楷體" w:eastAsia="標楷體" w:hAnsi="標楷體" w:hint="eastAsia"/>
                                <w:kern w:val="0"/>
                                <w:sz w:val="20"/>
                              </w:rPr>
                              <w:t>計畫名稱</w:t>
                            </w:r>
                          </w:p>
                        </w:tc>
                        <w:tc>
                          <w:tcPr>
                            <w:tcW w:w="794" w:type="dxa"/>
                            <w:tcBorders>
                              <w:top w:val="single" w:sz="4" w:space="0" w:color="auto"/>
                              <w:left w:val="nil"/>
                              <w:bottom w:val="single" w:sz="4" w:space="0" w:color="auto"/>
                              <w:right w:val="single" w:sz="4" w:space="0" w:color="auto"/>
                            </w:tcBorders>
                            <w:shd w:val="clear" w:color="auto" w:fill="auto"/>
                            <w:vAlign w:val="center"/>
                            <w:hideMark/>
                          </w:tcPr>
                          <w:p w14:paraId="6DB6E9B0" w14:textId="77777777" w:rsidR="00CE57F9" w:rsidRPr="00DA446A" w:rsidRDefault="00CE57F9" w:rsidP="00493628">
                            <w:pPr>
                              <w:widowControl/>
                              <w:overflowPunct w:val="0"/>
                              <w:spacing w:line="240" w:lineRule="exact"/>
                              <w:jc w:val="center"/>
                              <w:rPr>
                                <w:rFonts w:ascii="標楷體" w:eastAsia="標楷體" w:hAnsi="標楷體"/>
                                <w:kern w:val="0"/>
                                <w:sz w:val="20"/>
                              </w:rPr>
                            </w:pPr>
                            <w:r w:rsidRPr="00DA446A">
                              <w:rPr>
                                <w:rFonts w:ascii="標楷體" w:eastAsia="標楷體" w:hAnsi="標楷體"/>
                                <w:kern w:val="0"/>
                                <w:sz w:val="20"/>
                              </w:rPr>
                              <w:t>計畫核定經費</w:t>
                            </w:r>
                          </w:p>
                          <w:p w14:paraId="1D2FEE10" w14:textId="77777777" w:rsidR="00CE57F9" w:rsidRPr="00DA446A" w:rsidRDefault="00CE57F9" w:rsidP="00493628">
                            <w:pPr>
                              <w:widowControl/>
                              <w:overflowPunct w:val="0"/>
                              <w:spacing w:line="240" w:lineRule="exact"/>
                              <w:ind w:leftChars="-50" w:left="-120" w:rightChars="-50" w:right="-120"/>
                              <w:jc w:val="center"/>
                              <w:rPr>
                                <w:rFonts w:ascii="標楷體" w:eastAsia="標楷體" w:hAnsi="標楷體"/>
                                <w:kern w:val="0"/>
                                <w:sz w:val="20"/>
                              </w:rPr>
                            </w:pPr>
                            <w:r>
                              <w:rPr>
                                <w:rFonts w:ascii="標楷體" w:eastAsia="標楷體" w:hAnsi="標楷體" w:hint="eastAsia"/>
                                <w:kern w:val="0"/>
                                <w:sz w:val="20"/>
                              </w:rPr>
                              <w:t>（</w:t>
                            </w:r>
                            <w:r w:rsidRPr="00DA446A">
                              <w:rPr>
                                <w:rFonts w:ascii="標楷體" w:eastAsia="標楷體" w:hAnsi="標楷體" w:hint="eastAsia"/>
                                <w:kern w:val="0"/>
                                <w:sz w:val="20"/>
                              </w:rPr>
                              <w:t>註1</w:t>
                            </w:r>
                            <w:r>
                              <w:rPr>
                                <w:rFonts w:ascii="標楷體" w:eastAsia="標楷體" w:hAnsi="標楷體" w:hint="eastAsia"/>
                                <w:kern w:val="0"/>
                                <w:sz w:val="20"/>
                              </w:rPr>
                              <w:t>）</w:t>
                            </w:r>
                          </w:p>
                        </w:tc>
                        <w:tc>
                          <w:tcPr>
                            <w:tcW w:w="794" w:type="dxa"/>
                            <w:tcBorders>
                              <w:top w:val="single" w:sz="4" w:space="0" w:color="auto"/>
                              <w:left w:val="nil"/>
                              <w:bottom w:val="single" w:sz="4" w:space="0" w:color="auto"/>
                              <w:right w:val="single" w:sz="4" w:space="0" w:color="auto"/>
                            </w:tcBorders>
                            <w:shd w:val="clear" w:color="auto" w:fill="auto"/>
                            <w:vAlign w:val="center"/>
                            <w:hideMark/>
                          </w:tcPr>
                          <w:p w14:paraId="52CCAFA8" w14:textId="77777777" w:rsidR="00CE57F9" w:rsidRPr="00DA446A" w:rsidRDefault="00CE57F9" w:rsidP="00493628">
                            <w:pPr>
                              <w:widowControl/>
                              <w:overflowPunct w:val="0"/>
                              <w:spacing w:line="240" w:lineRule="exact"/>
                              <w:jc w:val="center"/>
                              <w:rPr>
                                <w:rFonts w:ascii="標楷體" w:eastAsia="標楷體" w:hAnsi="標楷體"/>
                                <w:kern w:val="0"/>
                                <w:sz w:val="20"/>
                              </w:rPr>
                            </w:pPr>
                            <w:r w:rsidRPr="00DA446A">
                              <w:rPr>
                                <w:rFonts w:ascii="標楷體" w:eastAsia="標楷體" w:hAnsi="標楷體"/>
                                <w:kern w:val="0"/>
                                <w:sz w:val="20"/>
                              </w:rPr>
                              <w:t>總計畫經費</w:t>
                            </w:r>
                          </w:p>
                          <w:p w14:paraId="117BA3B0" w14:textId="77777777" w:rsidR="00CE57F9" w:rsidRPr="00DA446A" w:rsidRDefault="00CE57F9" w:rsidP="00493628">
                            <w:pPr>
                              <w:widowControl/>
                              <w:overflowPunct w:val="0"/>
                              <w:spacing w:line="240" w:lineRule="exact"/>
                              <w:ind w:leftChars="-50" w:left="-120" w:rightChars="-50" w:right="-120"/>
                              <w:jc w:val="center"/>
                              <w:rPr>
                                <w:rFonts w:ascii="標楷體" w:eastAsia="標楷體" w:hAnsi="標楷體"/>
                                <w:kern w:val="0"/>
                                <w:sz w:val="20"/>
                              </w:rPr>
                            </w:pPr>
                            <w:r>
                              <w:rPr>
                                <w:rFonts w:ascii="標楷體" w:eastAsia="標楷體" w:hAnsi="標楷體" w:hint="eastAsia"/>
                                <w:kern w:val="0"/>
                                <w:sz w:val="20"/>
                              </w:rPr>
                              <w:t>（</w:t>
                            </w:r>
                            <w:r w:rsidRPr="00DA446A">
                              <w:rPr>
                                <w:rFonts w:ascii="標楷體" w:eastAsia="標楷體" w:hAnsi="標楷體" w:hint="eastAsia"/>
                                <w:kern w:val="0"/>
                                <w:sz w:val="20"/>
                              </w:rPr>
                              <w:t>註2</w:t>
                            </w:r>
                            <w:r>
                              <w:rPr>
                                <w:rFonts w:ascii="標楷體" w:eastAsia="標楷體" w:hAnsi="標楷體" w:hint="eastAsia"/>
                                <w:kern w:val="0"/>
                                <w:sz w:val="20"/>
                              </w:rPr>
                              <w:t>）</w:t>
                            </w:r>
                          </w:p>
                        </w:tc>
                        <w:tc>
                          <w:tcPr>
                            <w:tcW w:w="794" w:type="dxa"/>
                            <w:tcBorders>
                              <w:top w:val="single" w:sz="4" w:space="0" w:color="auto"/>
                              <w:left w:val="nil"/>
                              <w:bottom w:val="single" w:sz="4" w:space="0" w:color="auto"/>
                              <w:right w:val="single" w:sz="4" w:space="0" w:color="auto"/>
                            </w:tcBorders>
                            <w:shd w:val="clear" w:color="auto" w:fill="auto"/>
                            <w:vAlign w:val="center"/>
                            <w:hideMark/>
                          </w:tcPr>
                          <w:p w14:paraId="4F4360BE" w14:textId="77777777" w:rsidR="00CE57F9" w:rsidRDefault="00CE57F9" w:rsidP="00493628">
                            <w:pPr>
                              <w:widowControl/>
                              <w:overflowPunct w:val="0"/>
                              <w:spacing w:line="240" w:lineRule="exact"/>
                              <w:jc w:val="center"/>
                              <w:rPr>
                                <w:rFonts w:ascii="標楷體" w:eastAsia="標楷體" w:hAnsi="標楷體" w:cs="新細明體"/>
                                <w:kern w:val="0"/>
                                <w:sz w:val="20"/>
                              </w:rPr>
                            </w:pPr>
                            <w:r w:rsidRPr="00DA446A">
                              <w:rPr>
                                <w:rFonts w:ascii="標楷體" w:eastAsia="標楷體" w:hAnsi="標楷體" w:cs="新細明體" w:hint="eastAsia"/>
                                <w:kern w:val="0"/>
                                <w:sz w:val="20"/>
                              </w:rPr>
                              <w:t>短少</w:t>
                            </w:r>
                          </w:p>
                          <w:p w14:paraId="66E32FA3" w14:textId="77777777" w:rsidR="00CE57F9" w:rsidRPr="00DA446A" w:rsidRDefault="00CE57F9" w:rsidP="00493628">
                            <w:pPr>
                              <w:widowControl/>
                              <w:overflowPunct w:val="0"/>
                              <w:spacing w:line="240" w:lineRule="exact"/>
                              <w:jc w:val="center"/>
                              <w:rPr>
                                <w:rFonts w:ascii="標楷體" w:eastAsia="標楷體" w:hAnsi="標楷體" w:cs="新細明體"/>
                                <w:kern w:val="0"/>
                                <w:sz w:val="20"/>
                              </w:rPr>
                            </w:pPr>
                            <w:r w:rsidRPr="00DA446A">
                              <w:rPr>
                                <w:rFonts w:ascii="標楷體" w:eastAsia="標楷體" w:hAnsi="標楷體" w:cs="新細明體" w:hint="eastAsia"/>
                                <w:kern w:val="0"/>
                                <w:sz w:val="20"/>
                              </w:rPr>
                              <w:t>金額</w:t>
                            </w:r>
                          </w:p>
                        </w:tc>
                        <w:tc>
                          <w:tcPr>
                            <w:tcW w:w="794" w:type="dxa"/>
                            <w:tcBorders>
                              <w:top w:val="single" w:sz="4" w:space="0" w:color="auto"/>
                              <w:left w:val="nil"/>
                              <w:bottom w:val="single" w:sz="4" w:space="0" w:color="auto"/>
                              <w:right w:val="single" w:sz="4" w:space="0" w:color="auto"/>
                            </w:tcBorders>
                            <w:shd w:val="clear" w:color="auto" w:fill="auto"/>
                            <w:vAlign w:val="center"/>
                            <w:hideMark/>
                          </w:tcPr>
                          <w:p w14:paraId="34A77F85" w14:textId="77777777" w:rsidR="00CE57F9" w:rsidRDefault="00CE57F9" w:rsidP="00493628">
                            <w:pPr>
                              <w:widowControl/>
                              <w:overflowPunct w:val="0"/>
                              <w:spacing w:line="240" w:lineRule="exact"/>
                              <w:jc w:val="center"/>
                              <w:rPr>
                                <w:rFonts w:ascii="標楷體" w:eastAsia="標楷體" w:hAnsi="標楷體" w:cs="新細明體"/>
                                <w:kern w:val="0"/>
                                <w:sz w:val="20"/>
                              </w:rPr>
                            </w:pPr>
                            <w:r w:rsidRPr="00DA446A">
                              <w:rPr>
                                <w:rFonts w:ascii="標楷體" w:eastAsia="標楷體" w:hAnsi="標楷體" w:cs="新細明體" w:hint="eastAsia"/>
                                <w:kern w:val="0"/>
                                <w:sz w:val="20"/>
                              </w:rPr>
                              <w:t>短少</w:t>
                            </w:r>
                          </w:p>
                          <w:p w14:paraId="18D3DC19" w14:textId="77777777" w:rsidR="00CE57F9" w:rsidRPr="00DA446A" w:rsidRDefault="00CE57F9" w:rsidP="00493628">
                            <w:pPr>
                              <w:widowControl/>
                              <w:overflowPunct w:val="0"/>
                              <w:spacing w:line="240" w:lineRule="exact"/>
                              <w:jc w:val="center"/>
                              <w:rPr>
                                <w:rFonts w:ascii="標楷體" w:eastAsia="標楷體" w:hAnsi="標楷體" w:cs="新細明體"/>
                                <w:kern w:val="0"/>
                                <w:sz w:val="20"/>
                              </w:rPr>
                            </w:pPr>
                            <w:r w:rsidRPr="00DA446A">
                              <w:rPr>
                                <w:rFonts w:ascii="標楷體" w:eastAsia="標楷體" w:hAnsi="標楷體" w:cs="新細明體" w:hint="eastAsia"/>
                                <w:kern w:val="0"/>
                                <w:sz w:val="20"/>
                              </w:rPr>
                              <w:t>比率</w:t>
                            </w:r>
                          </w:p>
                        </w:tc>
                      </w:tr>
                      <w:tr w:rsidR="00CE57F9" w:rsidRPr="00DA446A" w14:paraId="5BA022CA" w14:textId="77777777" w:rsidTr="00493628">
                        <w:trPr>
                          <w:trHeight w:val="55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14:paraId="6E639341" w14:textId="77777777" w:rsidR="00CE57F9" w:rsidRPr="00DA446A" w:rsidRDefault="00CE57F9" w:rsidP="00493628">
                            <w:pPr>
                              <w:widowControl/>
                              <w:overflowPunct w:val="0"/>
                              <w:spacing w:line="240" w:lineRule="exact"/>
                              <w:jc w:val="both"/>
                              <w:rPr>
                                <w:rFonts w:ascii="標楷體" w:eastAsia="標楷體" w:hAnsi="標楷體"/>
                                <w:kern w:val="0"/>
                                <w:sz w:val="20"/>
                              </w:rPr>
                            </w:pPr>
                            <w:r w:rsidRPr="00DA446A">
                              <w:rPr>
                                <w:rFonts w:ascii="標楷體" w:eastAsia="標楷體" w:hAnsi="標楷體" w:cs="新細明體" w:hint="eastAsia"/>
                                <w:kern w:val="0"/>
                                <w:sz w:val="20"/>
                              </w:rPr>
                              <w:t>內政部</w:t>
                            </w:r>
                          </w:p>
                        </w:tc>
                        <w:tc>
                          <w:tcPr>
                            <w:tcW w:w="2721" w:type="dxa"/>
                            <w:tcBorders>
                              <w:top w:val="single" w:sz="4" w:space="0" w:color="auto"/>
                              <w:left w:val="nil"/>
                              <w:bottom w:val="single" w:sz="4" w:space="0" w:color="auto"/>
                              <w:right w:val="single" w:sz="4" w:space="0" w:color="auto"/>
                            </w:tcBorders>
                            <w:shd w:val="clear" w:color="auto" w:fill="auto"/>
                            <w:vAlign w:val="center"/>
                          </w:tcPr>
                          <w:p w14:paraId="7D151A9F" w14:textId="77777777" w:rsidR="00CE57F9" w:rsidRPr="00DA446A" w:rsidRDefault="00CE57F9" w:rsidP="00493628">
                            <w:pPr>
                              <w:widowControl/>
                              <w:overflowPunct w:val="0"/>
                              <w:spacing w:line="240" w:lineRule="exact"/>
                              <w:jc w:val="both"/>
                              <w:rPr>
                                <w:rFonts w:ascii="標楷體" w:eastAsia="標楷體" w:hAnsi="標楷體"/>
                                <w:kern w:val="0"/>
                                <w:sz w:val="20"/>
                              </w:rPr>
                            </w:pPr>
                            <w:r w:rsidRPr="00DA446A">
                              <w:rPr>
                                <w:rFonts w:ascii="標楷體" w:eastAsia="標楷體" w:hAnsi="標楷體" w:cs="新細明體" w:hint="eastAsia"/>
                                <w:kern w:val="0"/>
                                <w:sz w:val="20"/>
                              </w:rPr>
                              <w:t>數位身分識別證</w:t>
                            </w:r>
                            <w:r>
                              <w:rPr>
                                <w:rFonts w:ascii="標楷體" w:eastAsia="標楷體" w:hAnsi="標楷體" w:cs="新細明體" w:hint="eastAsia"/>
                                <w:kern w:val="0"/>
                                <w:sz w:val="20"/>
                              </w:rPr>
                              <w:t>（</w:t>
                            </w:r>
                            <w:r w:rsidRPr="00DA446A">
                              <w:rPr>
                                <w:rFonts w:ascii="標楷體" w:eastAsia="標楷體" w:hAnsi="標楷體" w:cs="新細明體" w:hint="eastAsia"/>
                                <w:kern w:val="0"/>
                                <w:sz w:val="20"/>
                              </w:rPr>
                              <w:t>New</w:t>
                            </w:r>
                            <w:r>
                              <w:rPr>
                                <w:rFonts w:ascii="標楷體" w:eastAsia="標楷體" w:hAnsi="標楷體" w:cs="新細明體"/>
                                <w:kern w:val="0"/>
                                <w:sz w:val="20"/>
                              </w:rPr>
                              <w:t xml:space="preserve"> </w:t>
                            </w:r>
                            <w:r w:rsidRPr="00DA446A">
                              <w:rPr>
                                <w:rFonts w:ascii="標楷體" w:eastAsia="標楷體" w:hAnsi="標楷體" w:cs="新細明體" w:hint="eastAsia"/>
                                <w:kern w:val="0"/>
                                <w:sz w:val="20"/>
                              </w:rPr>
                              <w:t>eID</w:t>
                            </w:r>
                            <w:r>
                              <w:rPr>
                                <w:rFonts w:ascii="標楷體" w:eastAsia="標楷體" w:hAnsi="標楷體" w:cs="新細明體" w:hint="eastAsia"/>
                                <w:kern w:val="0"/>
                                <w:sz w:val="20"/>
                              </w:rPr>
                              <w:t>）－</w:t>
                            </w:r>
                            <w:r w:rsidRPr="00DA446A">
                              <w:rPr>
                                <w:rFonts w:ascii="標楷體" w:eastAsia="標楷體" w:hAnsi="標楷體" w:cs="新細明體" w:hint="eastAsia"/>
                                <w:kern w:val="0"/>
                                <w:sz w:val="20"/>
                              </w:rPr>
                              <w:t>新一代國民身分證換發計畫</w:t>
                            </w:r>
                          </w:p>
                        </w:tc>
                        <w:tc>
                          <w:tcPr>
                            <w:tcW w:w="794" w:type="dxa"/>
                            <w:tcBorders>
                              <w:top w:val="single" w:sz="4" w:space="0" w:color="auto"/>
                              <w:left w:val="nil"/>
                              <w:bottom w:val="single" w:sz="4" w:space="0" w:color="auto"/>
                              <w:right w:val="single" w:sz="4" w:space="0" w:color="auto"/>
                            </w:tcBorders>
                            <w:shd w:val="clear" w:color="auto" w:fill="auto"/>
                            <w:vAlign w:val="center"/>
                          </w:tcPr>
                          <w:p w14:paraId="2DAB4943" w14:textId="77777777" w:rsidR="00CE57F9" w:rsidRPr="00DA446A" w:rsidRDefault="00CE57F9" w:rsidP="00493628">
                            <w:pPr>
                              <w:widowControl/>
                              <w:overflowPunct w:val="0"/>
                              <w:spacing w:line="240" w:lineRule="exact"/>
                              <w:jc w:val="right"/>
                              <w:rPr>
                                <w:rFonts w:ascii="標楷體" w:eastAsia="標楷體" w:hAnsi="標楷體"/>
                                <w:kern w:val="0"/>
                                <w:sz w:val="20"/>
                              </w:rPr>
                            </w:pPr>
                            <w:r w:rsidRPr="00DA446A">
                              <w:rPr>
                                <w:rFonts w:ascii="標楷體" w:eastAsia="標楷體" w:hAnsi="標楷體" w:cs="新細明體" w:hint="eastAsia"/>
                                <w:kern w:val="0"/>
                                <w:sz w:val="20"/>
                              </w:rPr>
                              <w:t>4,892</w:t>
                            </w:r>
                          </w:p>
                        </w:tc>
                        <w:tc>
                          <w:tcPr>
                            <w:tcW w:w="794" w:type="dxa"/>
                            <w:tcBorders>
                              <w:top w:val="single" w:sz="4" w:space="0" w:color="auto"/>
                              <w:left w:val="nil"/>
                              <w:bottom w:val="single" w:sz="4" w:space="0" w:color="auto"/>
                              <w:right w:val="single" w:sz="4" w:space="0" w:color="auto"/>
                            </w:tcBorders>
                            <w:shd w:val="clear" w:color="auto" w:fill="auto"/>
                            <w:vAlign w:val="center"/>
                          </w:tcPr>
                          <w:p w14:paraId="1F2660CA" w14:textId="77777777" w:rsidR="00CE57F9" w:rsidRPr="00DA446A" w:rsidRDefault="00CE57F9" w:rsidP="00493628">
                            <w:pPr>
                              <w:widowControl/>
                              <w:overflowPunct w:val="0"/>
                              <w:spacing w:line="240" w:lineRule="exact"/>
                              <w:jc w:val="right"/>
                              <w:rPr>
                                <w:rFonts w:ascii="標楷體" w:eastAsia="標楷體" w:hAnsi="標楷體"/>
                                <w:kern w:val="0"/>
                                <w:sz w:val="20"/>
                              </w:rPr>
                            </w:pPr>
                            <w:r w:rsidRPr="00DA446A">
                              <w:rPr>
                                <w:rFonts w:ascii="標楷體" w:eastAsia="標楷體" w:hAnsi="標楷體" w:cs="新細明體" w:hint="eastAsia"/>
                                <w:kern w:val="0"/>
                                <w:sz w:val="20"/>
                              </w:rPr>
                              <w:t>2,187</w:t>
                            </w:r>
                          </w:p>
                        </w:tc>
                        <w:tc>
                          <w:tcPr>
                            <w:tcW w:w="794" w:type="dxa"/>
                            <w:tcBorders>
                              <w:top w:val="single" w:sz="4" w:space="0" w:color="auto"/>
                              <w:left w:val="nil"/>
                              <w:bottom w:val="single" w:sz="4" w:space="0" w:color="auto"/>
                              <w:right w:val="single" w:sz="4" w:space="0" w:color="auto"/>
                            </w:tcBorders>
                            <w:shd w:val="clear" w:color="auto" w:fill="auto"/>
                            <w:vAlign w:val="center"/>
                          </w:tcPr>
                          <w:p w14:paraId="1E5BE9DF"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2,705</w:t>
                            </w:r>
                          </w:p>
                        </w:tc>
                        <w:tc>
                          <w:tcPr>
                            <w:tcW w:w="794" w:type="dxa"/>
                            <w:tcBorders>
                              <w:top w:val="single" w:sz="4" w:space="0" w:color="auto"/>
                              <w:left w:val="nil"/>
                              <w:bottom w:val="single" w:sz="4" w:space="0" w:color="auto"/>
                              <w:right w:val="single" w:sz="4" w:space="0" w:color="auto"/>
                            </w:tcBorders>
                            <w:shd w:val="clear" w:color="auto" w:fill="auto"/>
                            <w:vAlign w:val="center"/>
                          </w:tcPr>
                          <w:p w14:paraId="4727C43D"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55.30</w:t>
                            </w:r>
                          </w:p>
                        </w:tc>
                      </w:tr>
                      <w:tr w:rsidR="00CE57F9" w:rsidRPr="00DA446A" w14:paraId="48142804" w14:textId="77777777" w:rsidTr="00493628">
                        <w:trPr>
                          <w:trHeight w:val="55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14:paraId="296375ED"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文化部</w:t>
                            </w:r>
                          </w:p>
                        </w:tc>
                        <w:tc>
                          <w:tcPr>
                            <w:tcW w:w="2721" w:type="dxa"/>
                            <w:tcBorders>
                              <w:top w:val="single" w:sz="4" w:space="0" w:color="auto"/>
                              <w:left w:val="nil"/>
                              <w:bottom w:val="single" w:sz="4" w:space="0" w:color="auto"/>
                              <w:right w:val="single" w:sz="4" w:space="0" w:color="auto"/>
                            </w:tcBorders>
                            <w:shd w:val="clear" w:color="auto" w:fill="auto"/>
                            <w:vAlign w:val="center"/>
                          </w:tcPr>
                          <w:p w14:paraId="67AFD711"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影視音產業發展中程計畫（109</w:t>
                            </w:r>
                            <w:r>
                              <w:rPr>
                                <w:rFonts w:ascii="標楷體" w:eastAsia="標楷體" w:hAnsi="標楷體" w:cs="新細明體" w:hint="eastAsia"/>
                                <w:kern w:val="0"/>
                                <w:sz w:val="20"/>
                              </w:rPr>
                              <w:t>－</w:t>
                            </w:r>
                            <w:r w:rsidRPr="00DA446A">
                              <w:rPr>
                                <w:rFonts w:ascii="標楷體" w:eastAsia="標楷體" w:hAnsi="標楷體" w:cs="新細明體" w:hint="eastAsia"/>
                                <w:kern w:val="0"/>
                                <w:sz w:val="20"/>
                              </w:rPr>
                              <w:t>113年）</w:t>
                            </w:r>
                          </w:p>
                        </w:tc>
                        <w:tc>
                          <w:tcPr>
                            <w:tcW w:w="794" w:type="dxa"/>
                            <w:tcBorders>
                              <w:top w:val="single" w:sz="4" w:space="0" w:color="auto"/>
                              <w:left w:val="nil"/>
                              <w:bottom w:val="single" w:sz="4" w:space="0" w:color="auto"/>
                              <w:right w:val="single" w:sz="4" w:space="0" w:color="auto"/>
                            </w:tcBorders>
                            <w:shd w:val="clear" w:color="auto" w:fill="auto"/>
                            <w:vAlign w:val="center"/>
                          </w:tcPr>
                          <w:p w14:paraId="5FDA9C70"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10,093</w:t>
                            </w:r>
                          </w:p>
                        </w:tc>
                        <w:tc>
                          <w:tcPr>
                            <w:tcW w:w="794" w:type="dxa"/>
                            <w:tcBorders>
                              <w:top w:val="single" w:sz="4" w:space="0" w:color="auto"/>
                              <w:left w:val="nil"/>
                              <w:bottom w:val="single" w:sz="4" w:space="0" w:color="auto"/>
                              <w:right w:val="single" w:sz="4" w:space="0" w:color="auto"/>
                            </w:tcBorders>
                            <w:shd w:val="clear" w:color="auto" w:fill="auto"/>
                            <w:vAlign w:val="center"/>
                          </w:tcPr>
                          <w:p w14:paraId="60B058CA"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8,165</w:t>
                            </w:r>
                          </w:p>
                        </w:tc>
                        <w:tc>
                          <w:tcPr>
                            <w:tcW w:w="794" w:type="dxa"/>
                            <w:tcBorders>
                              <w:top w:val="single" w:sz="4" w:space="0" w:color="auto"/>
                              <w:left w:val="nil"/>
                              <w:bottom w:val="single" w:sz="4" w:space="0" w:color="auto"/>
                              <w:right w:val="single" w:sz="4" w:space="0" w:color="auto"/>
                            </w:tcBorders>
                            <w:shd w:val="clear" w:color="auto" w:fill="auto"/>
                            <w:vAlign w:val="center"/>
                          </w:tcPr>
                          <w:p w14:paraId="684B30FF"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1,927</w:t>
                            </w:r>
                          </w:p>
                        </w:tc>
                        <w:tc>
                          <w:tcPr>
                            <w:tcW w:w="794" w:type="dxa"/>
                            <w:tcBorders>
                              <w:top w:val="single" w:sz="4" w:space="0" w:color="auto"/>
                              <w:left w:val="nil"/>
                              <w:bottom w:val="single" w:sz="4" w:space="0" w:color="auto"/>
                              <w:right w:val="single" w:sz="4" w:space="0" w:color="auto"/>
                            </w:tcBorders>
                            <w:shd w:val="clear" w:color="auto" w:fill="auto"/>
                            <w:vAlign w:val="center"/>
                          </w:tcPr>
                          <w:p w14:paraId="27A38AE5"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19.10</w:t>
                            </w:r>
                          </w:p>
                        </w:tc>
                      </w:tr>
                      <w:tr w:rsidR="00CE57F9" w:rsidRPr="00DA446A" w14:paraId="7B20470C" w14:textId="77777777" w:rsidTr="00493628">
                        <w:trPr>
                          <w:trHeight w:val="55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14:paraId="484FFD77"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衛生福利部</w:t>
                            </w:r>
                          </w:p>
                        </w:tc>
                        <w:tc>
                          <w:tcPr>
                            <w:tcW w:w="2721" w:type="dxa"/>
                            <w:tcBorders>
                              <w:top w:val="single" w:sz="4" w:space="0" w:color="auto"/>
                              <w:left w:val="nil"/>
                              <w:bottom w:val="single" w:sz="4" w:space="0" w:color="auto"/>
                              <w:right w:val="single" w:sz="4" w:space="0" w:color="auto"/>
                            </w:tcBorders>
                            <w:shd w:val="clear" w:color="auto" w:fill="auto"/>
                            <w:vAlign w:val="center"/>
                          </w:tcPr>
                          <w:p w14:paraId="3FBB9A2B"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強化社會安全網第二期計畫（110</w:t>
                            </w:r>
                            <w:r>
                              <w:rPr>
                                <w:rFonts w:ascii="標楷體" w:eastAsia="標楷體" w:hAnsi="標楷體" w:cs="新細明體" w:hint="eastAsia"/>
                                <w:kern w:val="0"/>
                                <w:sz w:val="20"/>
                              </w:rPr>
                              <w:t>－</w:t>
                            </w:r>
                            <w:r w:rsidRPr="00DA446A">
                              <w:rPr>
                                <w:rFonts w:ascii="標楷體" w:eastAsia="標楷體" w:hAnsi="標楷體" w:cs="新細明體" w:hint="eastAsia"/>
                                <w:kern w:val="0"/>
                                <w:sz w:val="20"/>
                              </w:rPr>
                              <w:t>114年）</w:t>
                            </w:r>
                          </w:p>
                        </w:tc>
                        <w:tc>
                          <w:tcPr>
                            <w:tcW w:w="794" w:type="dxa"/>
                            <w:tcBorders>
                              <w:top w:val="single" w:sz="4" w:space="0" w:color="auto"/>
                              <w:left w:val="nil"/>
                              <w:bottom w:val="single" w:sz="4" w:space="0" w:color="auto"/>
                              <w:right w:val="single" w:sz="4" w:space="0" w:color="auto"/>
                            </w:tcBorders>
                            <w:shd w:val="clear" w:color="auto" w:fill="auto"/>
                            <w:vAlign w:val="center"/>
                          </w:tcPr>
                          <w:p w14:paraId="1B163898"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31,112</w:t>
                            </w:r>
                          </w:p>
                        </w:tc>
                        <w:tc>
                          <w:tcPr>
                            <w:tcW w:w="794" w:type="dxa"/>
                            <w:tcBorders>
                              <w:top w:val="single" w:sz="4" w:space="0" w:color="auto"/>
                              <w:left w:val="nil"/>
                              <w:bottom w:val="single" w:sz="4" w:space="0" w:color="auto"/>
                              <w:right w:val="single" w:sz="4" w:space="0" w:color="auto"/>
                            </w:tcBorders>
                            <w:shd w:val="clear" w:color="auto" w:fill="auto"/>
                            <w:vAlign w:val="center"/>
                          </w:tcPr>
                          <w:p w14:paraId="3E85D1F2"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29,205</w:t>
                            </w:r>
                          </w:p>
                        </w:tc>
                        <w:tc>
                          <w:tcPr>
                            <w:tcW w:w="794" w:type="dxa"/>
                            <w:tcBorders>
                              <w:top w:val="single" w:sz="4" w:space="0" w:color="auto"/>
                              <w:left w:val="nil"/>
                              <w:bottom w:val="single" w:sz="4" w:space="0" w:color="auto"/>
                              <w:right w:val="single" w:sz="4" w:space="0" w:color="auto"/>
                            </w:tcBorders>
                            <w:shd w:val="clear" w:color="auto" w:fill="auto"/>
                            <w:vAlign w:val="center"/>
                          </w:tcPr>
                          <w:p w14:paraId="2ED409A1"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1,907</w:t>
                            </w:r>
                          </w:p>
                        </w:tc>
                        <w:tc>
                          <w:tcPr>
                            <w:tcW w:w="794" w:type="dxa"/>
                            <w:tcBorders>
                              <w:top w:val="single" w:sz="4" w:space="0" w:color="auto"/>
                              <w:left w:val="nil"/>
                              <w:bottom w:val="single" w:sz="4" w:space="0" w:color="auto"/>
                              <w:right w:val="single" w:sz="4" w:space="0" w:color="auto"/>
                            </w:tcBorders>
                            <w:shd w:val="clear" w:color="auto" w:fill="auto"/>
                            <w:vAlign w:val="center"/>
                          </w:tcPr>
                          <w:p w14:paraId="178241BA"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6.13</w:t>
                            </w:r>
                          </w:p>
                        </w:tc>
                      </w:tr>
                      <w:tr w:rsidR="00CE57F9" w:rsidRPr="00DA446A" w14:paraId="240CECFD" w14:textId="77777777" w:rsidTr="00493628">
                        <w:trPr>
                          <w:trHeight w:val="55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14:paraId="20528655"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衛生福利部</w:t>
                            </w:r>
                          </w:p>
                        </w:tc>
                        <w:tc>
                          <w:tcPr>
                            <w:tcW w:w="2721" w:type="dxa"/>
                            <w:tcBorders>
                              <w:top w:val="single" w:sz="4" w:space="0" w:color="auto"/>
                              <w:left w:val="nil"/>
                              <w:bottom w:val="single" w:sz="4" w:space="0" w:color="auto"/>
                              <w:right w:val="single" w:sz="4" w:space="0" w:color="auto"/>
                            </w:tcBorders>
                            <w:shd w:val="clear" w:color="auto" w:fill="auto"/>
                            <w:vAlign w:val="center"/>
                          </w:tcPr>
                          <w:p w14:paraId="18F81ECF"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充實國家疫苗基金及促進國民免疫力第三期計畫</w:t>
                            </w:r>
                          </w:p>
                        </w:tc>
                        <w:tc>
                          <w:tcPr>
                            <w:tcW w:w="794" w:type="dxa"/>
                            <w:tcBorders>
                              <w:top w:val="single" w:sz="4" w:space="0" w:color="auto"/>
                              <w:left w:val="nil"/>
                              <w:bottom w:val="single" w:sz="4" w:space="0" w:color="auto"/>
                              <w:right w:val="single" w:sz="4" w:space="0" w:color="auto"/>
                            </w:tcBorders>
                            <w:shd w:val="clear" w:color="auto" w:fill="auto"/>
                            <w:vAlign w:val="center"/>
                          </w:tcPr>
                          <w:p w14:paraId="01C299F5"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19,568</w:t>
                            </w:r>
                          </w:p>
                        </w:tc>
                        <w:tc>
                          <w:tcPr>
                            <w:tcW w:w="794" w:type="dxa"/>
                            <w:tcBorders>
                              <w:top w:val="single" w:sz="4" w:space="0" w:color="auto"/>
                              <w:left w:val="nil"/>
                              <w:bottom w:val="single" w:sz="4" w:space="0" w:color="auto"/>
                              <w:right w:val="single" w:sz="4" w:space="0" w:color="auto"/>
                            </w:tcBorders>
                            <w:shd w:val="clear" w:color="auto" w:fill="auto"/>
                            <w:vAlign w:val="center"/>
                          </w:tcPr>
                          <w:p w14:paraId="21990CAB"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17,924</w:t>
                            </w:r>
                          </w:p>
                        </w:tc>
                        <w:tc>
                          <w:tcPr>
                            <w:tcW w:w="794" w:type="dxa"/>
                            <w:tcBorders>
                              <w:top w:val="single" w:sz="4" w:space="0" w:color="auto"/>
                              <w:left w:val="nil"/>
                              <w:bottom w:val="single" w:sz="4" w:space="0" w:color="auto"/>
                              <w:right w:val="single" w:sz="4" w:space="0" w:color="auto"/>
                            </w:tcBorders>
                            <w:shd w:val="clear" w:color="auto" w:fill="auto"/>
                            <w:vAlign w:val="center"/>
                          </w:tcPr>
                          <w:p w14:paraId="0787CC9A"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1,644</w:t>
                            </w:r>
                          </w:p>
                        </w:tc>
                        <w:tc>
                          <w:tcPr>
                            <w:tcW w:w="794" w:type="dxa"/>
                            <w:tcBorders>
                              <w:top w:val="single" w:sz="4" w:space="0" w:color="auto"/>
                              <w:left w:val="nil"/>
                              <w:bottom w:val="single" w:sz="4" w:space="0" w:color="auto"/>
                              <w:right w:val="single" w:sz="4" w:space="0" w:color="auto"/>
                            </w:tcBorders>
                            <w:shd w:val="clear" w:color="auto" w:fill="auto"/>
                            <w:vAlign w:val="center"/>
                          </w:tcPr>
                          <w:p w14:paraId="7FC0D734"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8.40</w:t>
                            </w:r>
                          </w:p>
                        </w:tc>
                      </w:tr>
                      <w:tr w:rsidR="00CE57F9" w:rsidRPr="00DA446A" w14:paraId="297622F5" w14:textId="77777777" w:rsidTr="00493628">
                        <w:trPr>
                          <w:trHeight w:val="55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14:paraId="1EEC6C92"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法務部</w:t>
                            </w:r>
                          </w:p>
                        </w:tc>
                        <w:tc>
                          <w:tcPr>
                            <w:tcW w:w="2721" w:type="dxa"/>
                            <w:tcBorders>
                              <w:top w:val="single" w:sz="4" w:space="0" w:color="auto"/>
                              <w:left w:val="nil"/>
                              <w:bottom w:val="single" w:sz="4" w:space="0" w:color="auto"/>
                              <w:right w:val="single" w:sz="4" w:space="0" w:color="auto"/>
                            </w:tcBorders>
                            <w:shd w:val="clear" w:color="auto" w:fill="auto"/>
                            <w:vAlign w:val="center"/>
                          </w:tcPr>
                          <w:p w14:paraId="6F0DDB87"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法務部矯正署彰化看守所遷建中長程個案計畫</w:t>
                            </w:r>
                          </w:p>
                        </w:tc>
                        <w:tc>
                          <w:tcPr>
                            <w:tcW w:w="794" w:type="dxa"/>
                            <w:tcBorders>
                              <w:top w:val="single" w:sz="4" w:space="0" w:color="auto"/>
                              <w:left w:val="nil"/>
                              <w:bottom w:val="single" w:sz="4" w:space="0" w:color="auto"/>
                              <w:right w:val="single" w:sz="4" w:space="0" w:color="auto"/>
                            </w:tcBorders>
                            <w:shd w:val="clear" w:color="auto" w:fill="auto"/>
                            <w:vAlign w:val="center"/>
                          </w:tcPr>
                          <w:p w14:paraId="01ABB69E"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3,094</w:t>
                            </w:r>
                          </w:p>
                        </w:tc>
                        <w:tc>
                          <w:tcPr>
                            <w:tcW w:w="794" w:type="dxa"/>
                            <w:tcBorders>
                              <w:top w:val="single" w:sz="4" w:space="0" w:color="auto"/>
                              <w:left w:val="nil"/>
                              <w:bottom w:val="single" w:sz="4" w:space="0" w:color="auto"/>
                              <w:right w:val="single" w:sz="4" w:space="0" w:color="auto"/>
                            </w:tcBorders>
                            <w:shd w:val="clear" w:color="auto" w:fill="auto"/>
                            <w:vAlign w:val="center"/>
                          </w:tcPr>
                          <w:p w14:paraId="33898685"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1,571</w:t>
                            </w:r>
                          </w:p>
                        </w:tc>
                        <w:tc>
                          <w:tcPr>
                            <w:tcW w:w="794" w:type="dxa"/>
                            <w:tcBorders>
                              <w:top w:val="single" w:sz="4" w:space="0" w:color="auto"/>
                              <w:left w:val="nil"/>
                              <w:bottom w:val="single" w:sz="4" w:space="0" w:color="auto"/>
                              <w:right w:val="single" w:sz="4" w:space="0" w:color="auto"/>
                            </w:tcBorders>
                            <w:shd w:val="clear" w:color="auto" w:fill="auto"/>
                            <w:vAlign w:val="center"/>
                          </w:tcPr>
                          <w:p w14:paraId="3DFA5BDC"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1,523</w:t>
                            </w:r>
                          </w:p>
                        </w:tc>
                        <w:tc>
                          <w:tcPr>
                            <w:tcW w:w="794" w:type="dxa"/>
                            <w:tcBorders>
                              <w:top w:val="single" w:sz="4" w:space="0" w:color="auto"/>
                              <w:left w:val="nil"/>
                              <w:bottom w:val="single" w:sz="4" w:space="0" w:color="auto"/>
                              <w:right w:val="single" w:sz="4" w:space="0" w:color="auto"/>
                            </w:tcBorders>
                            <w:shd w:val="clear" w:color="auto" w:fill="auto"/>
                            <w:vAlign w:val="center"/>
                          </w:tcPr>
                          <w:p w14:paraId="48A2D299"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49.22</w:t>
                            </w:r>
                          </w:p>
                        </w:tc>
                      </w:tr>
                      <w:tr w:rsidR="00CE57F9" w:rsidRPr="00DA446A" w14:paraId="54EC9FAD" w14:textId="77777777" w:rsidTr="00493628">
                        <w:trPr>
                          <w:trHeight w:val="556"/>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14:paraId="3427CFA5"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文化部</w:t>
                            </w:r>
                          </w:p>
                        </w:tc>
                        <w:tc>
                          <w:tcPr>
                            <w:tcW w:w="2721" w:type="dxa"/>
                            <w:tcBorders>
                              <w:top w:val="single" w:sz="4" w:space="0" w:color="auto"/>
                              <w:left w:val="nil"/>
                              <w:bottom w:val="single" w:sz="4" w:space="0" w:color="auto"/>
                              <w:right w:val="single" w:sz="4" w:space="0" w:color="auto"/>
                            </w:tcBorders>
                            <w:shd w:val="clear" w:color="auto" w:fill="auto"/>
                            <w:vAlign w:val="center"/>
                          </w:tcPr>
                          <w:p w14:paraId="7655C115"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水下文化資產保存維護管理（第一期）計畫（109</w:t>
                            </w:r>
                            <w:r>
                              <w:rPr>
                                <w:rFonts w:ascii="標楷體" w:eastAsia="標楷體" w:hAnsi="標楷體" w:cs="新細明體" w:hint="eastAsia"/>
                                <w:kern w:val="0"/>
                                <w:sz w:val="20"/>
                              </w:rPr>
                              <w:t>－</w:t>
                            </w:r>
                            <w:r w:rsidRPr="00DA446A">
                              <w:rPr>
                                <w:rFonts w:ascii="標楷體" w:eastAsia="標楷體" w:hAnsi="標楷體" w:cs="新細明體" w:hint="eastAsia"/>
                                <w:kern w:val="0"/>
                                <w:sz w:val="20"/>
                              </w:rPr>
                              <w:t>112年）</w:t>
                            </w:r>
                          </w:p>
                        </w:tc>
                        <w:tc>
                          <w:tcPr>
                            <w:tcW w:w="794" w:type="dxa"/>
                            <w:tcBorders>
                              <w:top w:val="single" w:sz="4" w:space="0" w:color="auto"/>
                              <w:left w:val="nil"/>
                              <w:bottom w:val="single" w:sz="4" w:space="0" w:color="auto"/>
                              <w:right w:val="single" w:sz="4" w:space="0" w:color="auto"/>
                            </w:tcBorders>
                            <w:shd w:val="clear" w:color="auto" w:fill="auto"/>
                            <w:vAlign w:val="center"/>
                          </w:tcPr>
                          <w:p w14:paraId="52DD4228"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1,000</w:t>
                            </w:r>
                          </w:p>
                        </w:tc>
                        <w:tc>
                          <w:tcPr>
                            <w:tcW w:w="794" w:type="dxa"/>
                            <w:tcBorders>
                              <w:top w:val="single" w:sz="4" w:space="0" w:color="auto"/>
                              <w:left w:val="nil"/>
                              <w:bottom w:val="single" w:sz="4" w:space="0" w:color="auto"/>
                              <w:right w:val="single" w:sz="4" w:space="0" w:color="auto"/>
                            </w:tcBorders>
                            <w:shd w:val="clear" w:color="auto" w:fill="auto"/>
                            <w:vAlign w:val="center"/>
                          </w:tcPr>
                          <w:p w14:paraId="0D3FD85E"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442</w:t>
                            </w:r>
                          </w:p>
                        </w:tc>
                        <w:tc>
                          <w:tcPr>
                            <w:tcW w:w="794" w:type="dxa"/>
                            <w:tcBorders>
                              <w:top w:val="single" w:sz="4" w:space="0" w:color="auto"/>
                              <w:left w:val="nil"/>
                              <w:bottom w:val="single" w:sz="4" w:space="0" w:color="auto"/>
                              <w:right w:val="single" w:sz="4" w:space="0" w:color="auto"/>
                            </w:tcBorders>
                            <w:shd w:val="clear" w:color="auto" w:fill="auto"/>
                            <w:vAlign w:val="center"/>
                          </w:tcPr>
                          <w:p w14:paraId="655C4DD6"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557</w:t>
                            </w:r>
                          </w:p>
                        </w:tc>
                        <w:tc>
                          <w:tcPr>
                            <w:tcW w:w="794" w:type="dxa"/>
                            <w:tcBorders>
                              <w:top w:val="single" w:sz="4" w:space="0" w:color="auto"/>
                              <w:left w:val="nil"/>
                              <w:bottom w:val="single" w:sz="4" w:space="0" w:color="auto"/>
                              <w:right w:val="single" w:sz="4" w:space="0" w:color="auto"/>
                            </w:tcBorders>
                            <w:shd w:val="clear" w:color="auto" w:fill="auto"/>
                            <w:vAlign w:val="center"/>
                          </w:tcPr>
                          <w:p w14:paraId="2122F3B8"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55.73</w:t>
                            </w:r>
                          </w:p>
                        </w:tc>
                      </w:tr>
                      <w:tr w:rsidR="00CE57F9" w:rsidRPr="00DA446A" w14:paraId="71F77129" w14:textId="77777777" w:rsidTr="00493628">
                        <w:trPr>
                          <w:trHeight w:val="556"/>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14B694C7"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僑務委員會</w:t>
                            </w:r>
                          </w:p>
                        </w:tc>
                        <w:tc>
                          <w:tcPr>
                            <w:tcW w:w="2721" w:type="dxa"/>
                            <w:tcBorders>
                              <w:top w:val="nil"/>
                              <w:left w:val="nil"/>
                              <w:bottom w:val="single" w:sz="4" w:space="0" w:color="auto"/>
                              <w:right w:val="single" w:sz="4" w:space="0" w:color="auto"/>
                            </w:tcBorders>
                            <w:shd w:val="clear" w:color="auto" w:fill="auto"/>
                            <w:vAlign w:val="center"/>
                            <w:hideMark/>
                          </w:tcPr>
                          <w:p w14:paraId="3B766378" w14:textId="77777777" w:rsidR="00CE57F9" w:rsidRPr="00DA446A" w:rsidRDefault="00CE57F9" w:rsidP="00493628">
                            <w:pPr>
                              <w:widowControl/>
                              <w:overflowPunct w:val="0"/>
                              <w:spacing w:line="240" w:lineRule="exact"/>
                              <w:jc w:val="both"/>
                              <w:rPr>
                                <w:rFonts w:ascii="標楷體" w:eastAsia="標楷體" w:hAnsi="標楷體" w:cs="新細明體"/>
                                <w:kern w:val="0"/>
                                <w:sz w:val="20"/>
                              </w:rPr>
                            </w:pPr>
                            <w:r w:rsidRPr="00DA446A">
                              <w:rPr>
                                <w:rFonts w:ascii="標楷體" w:eastAsia="標楷體" w:hAnsi="標楷體" w:cs="新細明體" w:hint="eastAsia"/>
                                <w:kern w:val="0"/>
                                <w:sz w:val="20"/>
                              </w:rPr>
                              <w:t>國家發展新局下僑務鞏固與革新計畫（108年至111年）</w:t>
                            </w:r>
                          </w:p>
                        </w:tc>
                        <w:tc>
                          <w:tcPr>
                            <w:tcW w:w="794" w:type="dxa"/>
                            <w:tcBorders>
                              <w:top w:val="nil"/>
                              <w:left w:val="nil"/>
                              <w:bottom w:val="single" w:sz="4" w:space="0" w:color="auto"/>
                              <w:right w:val="single" w:sz="4" w:space="0" w:color="auto"/>
                            </w:tcBorders>
                            <w:shd w:val="clear" w:color="auto" w:fill="auto"/>
                            <w:vAlign w:val="center"/>
                            <w:hideMark/>
                          </w:tcPr>
                          <w:p w14:paraId="47D2CFE1"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357</w:t>
                            </w:r>
                          </w:p>
                        </w:tc>
                        <w:tc>
                          <w:tcPr>
                            <w:tcW w:w="794" w:type="dxa"/>
                            <w:tcBorders>
                              <w:top w:val="nil"/>
                              <w:left w:val="nil"/>
                              <w:bottom w:val="single" w:sz="4" w:space="0" w:color="auto"/>
                              <w:right w:val="single" w:sz="4" w:space="0" w:color="auto"/>
                            </w:tcBorders>
                            <w:shd w:val="clear" w:color="auto" w:fill="auto"/>
                            <w:vAlign w:val="center"/>
                            <w:hideMark/>
                          </w:tcPr>
                          <w:p w14:paraId="7D7DCA0B"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127</w:t>
                            </w:r>
                          </w:p>
                        </w:tc>
                        <w:tc>
                          <w:tcPr>
                            <w:tcW w:w="794" w:type="dxa"/>
                            <w:tcBorders>
                              <w:top w:val="nil"/>
                              <w:left w:val="nil"/>
                              <w:bottom w:val="single" w:sz="4" w:space="0" w:color="auto"/>
                              <w:right w:val="single" w:sz="4" w:space="0" w:color="auto"/>
                            </w:tcBorders>
                            <w:shd w:val="clear" w:color="auto" w:fill="auto"/>
                            <w:vAlign w:val="center"/>
                            <w:hideMark/>
                          </w:tcPr>
                          <w:p w14:paraId="5DBD09FF"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230</w:t>
                            </w:r>
                          </w:p>
                        </w:tc>
                        <w:tc>
                          <w:tcPr>
                            <w:tcW w:w="794" w:type="dxa"/>
                            <w:tcBorders>
                              <w:top w:val="nil"/>
                              <w:left w:val="nil"/>
                              <w:bottom w:val="single" w:sz="4" w:space="0" w:color="auto"/>
                              <w:right w:val="single" w:sz="4" w:space="0" w:color="auto"/>
                            </w:tcBorders>
                            <w:shd w:val="clear" w:color="auto" w:fill="auto"/>
                            <w:vAlign w:val="center"/>
                            <w:hideMark/>
                          </w:tcPr>
                          <w:p w14:paraId="38355B2C" w14:textId="77777777" w:rsidR="00CE57F9" w:rsidRPr="00DA446A" w:rsidRDefault="00CE57F9" w:rsidP="00493628">
                            <w:pPr>
                              <w:widowControl/>
                              <w:overflowPunct w:val="0"/>
                              <w:spacing w:line="240" w:lineRule="exact"/>
                              <w:jc w:val="right"/>
                              <w:rPr>
                                <w:rFonts w:ascii="標楷體" w:eastAsia="標楷體" w:hAnsi="標楷體" w:cs="新細明體"/>
                                <w:kern w:val="0"/>
                                <w:sz w:val="20"/>
                              </w:rPr>
                            </w:pPr>
                            <w:r w:rsidRPr="00DA446A">
                              <w:rPr>
                                <w:rFonts w:ascii="標楷體" w:eastAsia="標楷體" w:hAnsi="標楷體" w:cs="新細明體" w:hint="eastAsia"/>
                                <w:kern w:val="0"/>
                                <w:sz w:val="20"/>
                              </w:rPr>
                              <w:t>64.49</w:t>
                            </w:r>
                          </w:p>
                        </w:tc>
                      </w:tr>
                    </w:tbl>
                    <w:p w14:paraId="3CBD2B5B" w14:textId="77777777" w:rsidR="00CE57F9" w:rsidRPr="002B6876" w:rsidRDefault="00CE57F9" w:rsidP="00EA6C1F">
                      <w:pPr>
                        <w:overflowPunct w:val="0"/>
                        <w:spacing w:line="220" w:lineRule="exact"/>
                        <w:ind w:left="576" w:hangingChars="320" w:hanging="576"/>
                        <w:jc w:val="both"/>
                        <w:rPr>
                          <w:rFonts w:ascii="標楷體" w:eastAsia="標楷體" w:hAnsi="標楷體"/>
                          <w:sz w:val="18"/>
                          <w:szCs w:val="18"/>
                        </w:rPr>
                      </w:pPr>
                      <w:r w:rsidRPr="002B6876">
                        <w:rPr>
                          <w:rFonts w:ascii="標楷體" w:eastAsia="標楷體" w:hAnsi="標楷體" w:hint="eastAsia"/>
                          <w:sz w:val="18"/>
                          <w:szCs w:val="18"/>
                        </w:rPr>
                        <w:t>註：1.「計畫核定經費」係指</w:t>
                      </w:r>
                      <w:r>
                        <w:rPr>
                          <w:rFonts w:ascii="標楷體" w:eastAsia="標楷體" w:hAnsi="標楷體" w:hint="eastAsia"/>
                          <w:sz w:val="18"/>
                          <w:szCs w:val="18"/>
                        </w:rPr>
                        <w:t>經</w:t>
                      </w:r>
                      <w:r w:rsidRPr="002B6876">
                        <w:rPr>
                          <w:rFonts w:ascii="標楷體" w:eastAsia="標楷體" w:hAnsi="標楷體" w:hint="eastAsia"/>
                          <w:sz w:val="18"/>
                          <w:szCs w:val="18"/>
                        </w:rPr>
                        <w:t>權責機關核定中長程個案計畫書內所載分年需求經費之總和。</w:t>
                      </w:r>
                    </w:p>
                    <w:p w14:paraId="40350678" w14:textId="77777777" w:rsidR="00CE57F9" w:rsidRPr="002B6876" w:rsidRDefault="00CE57F9" w:rsidP="00EA6C1F">
                      <w:pPr>
                        <w:overflowPunct w:val="0"/>
                        <w:spacing w:line="220" w:lineRule="exact"/>
                        <w:ind w:leftChars="150" w:left="630" w:hangingChars="150" w:hanging="270"/>
                        <w:jc w:val="both"/>
                        <w:rPr>
                          <w:rFonts w:ascii="標楷體" w:eastAsia="標楷體" w:hAnsi="標楷體"/>
                          <w:sz w:val="18"/>
                          <w:szCs w:val="18"/>
                        </w:rPr>
                      </w:pPr>
                      <w:r w:rsidRPr="002B6876">
                        <w:rPr>
                          <w:rFonts w:ascii="標楷體" w:eastAsia="標楷體" w:hAnsi="標楷體" w:hint="eastAsia"/>
                          <w:sz w:val="18"/>
                          <w:szCs w:val="18"/>
                        </w:rPr>
                        <w:t>2.「總計畫經費」為立法院三讀通過之分年法定預算，加計立法院尚未核定之年度採計核定計畫分年規劃</w:t>
                      </w:r>
                      <w:r>
                        <w:rPr>
                          <w:rFonts w:ascii="標楷體" w:eastAsia="標楷體" w:hAnsi="標楷體" w:hint="eastAsia"/>
                          <w:sz w:val="18"/>
                          <w:szCs w:val="18"/>
                        </w:rPr>
                        <w:t>（</w:t>
                      </w:r>
                      <w:r w:rsidRPr="002B6876">
                        <w:rPr>
                          <w:rFonts w:ascii="標楷體" w:eastAsia="標楷體" w:hAnsi="標楷體" w:hint="eastAsia"/>
                          <w:sz w:val="18"/>
                          <w:szCs w:val="18"/>
                        </w:rPr>
                        <w:t>需求</w:t>
                      </w:r>
                      <w:r>
                        <w:rPr>
                          <w:rFonts w:ascii="標楷體" w:eastAsia="標楷體" w:hAnsi="標楷體" w:hint="eastAsia"/>
                          <w:sz w:val="18"/>
                          <w:szCs w:val="18"/>
                        </w:rPr>
                        <w:t>）</w:t>
                      </w:r>
                      <w:r w:rsidRPr="002B6876">
                        <w:rPr>
                          <w:rFonts w:ascii="標楷體" w:eastAsia="標楷體" w:hAnsi="標楷體" w:hint="eastAsia"/>
                          <w:sz w:val="18"/>
                          <w:szCs w:val="18"/>
                        </w:rPr>
                        <w:t>經費。</w:t>
                      </w:r>
                    </w:p>
                    <w:p w14:paraId="4D45FD37" w14:textId="77777777" w:rsidR="00CE57F9" w:rsidRPr="002B6876" w:rsidRDefault="00CE57F9" w:rsidP="00EA6C1F">
                      <w:pPr>
                        <w:overflowPunct w:val="0"/>
                        <w:spacing w:line="220" w:lineRule="exact"/>
                        <w:ind w:leftChars="150" w:left="630" w:hangingChars="150" w:hanging="270"/>
                        <w:jc w:val="both"/>
                        <w:rPr>
                          <w:rFonts w:ascii="標楷體" w:eastAsia="標楷體" w:hAnsi="標楷體"/>
                          <w:sz w:val="18"/>
                          <w:szCs w:val="18"/>
                        </w:rPr>
                      </w:pPr>
                      <w:r w:rsidRPr="002B6876">
                        <w:rPr>
                          <w:rFonts w:ascii="標楷體" w:eastAsia="標楷體" w:hAnsi="標楷體" w:hint="eastAsia"/>
                          <w:sz w:val="18"/>
                          <w:szCs w:val="18"/>
                        </w:rPr>
                        <w:t>3.資料來源：整理自國</w:t>
                      </w:r>
                      <w:r>
                        <w:rPr>
                          <w:rFonts w:ascii="標楷體" w:eastAsia="標楷體" w:hAnsi="標楷體" w:hint="eastAsia"/>
                          <w:sz w:val="18"/>
                          <w:szCs w:val="18"/>
                        </w:rPr>
                        <w:t>家</w:t>
                      </w:r>
                      <w:r w:rsidRPr="002B6876">
                        <w:rPr>
                          <w:rFonts w:ascii="標楷體" w:eastAsia="標楷體" w:hAnsi="標楷體" w:hint="eastAsia"/>
                          <w:sz w:val="18"/>
                          <w:szCs w:val="18"/>
                        </w:rPr>
                        <w:t>發</w:t>
                      </w:r>
                      <w:r>
                        <w:rPr>
                          <w:rFonts w:ascii="標楷體" w:eastAsia="標楷體" w:hAnsi="標楷體" w:hint="eastAsia"/>
                          <w:sz w:val="18"/>
                          <w:szCs w:val="18"/>
                        </w:rPr>
                        <w:t>展</w:t>
                      </w:r>
                      <w:r>
                        <w:rPr>
                          <w:rFonts w:ascii="標楷體" w:eastAsia="標楷體" w:hAnsi="標楷體"/>
                          <w:sz w:val="18"/>
                          <w:szCs w:val="18"/>
                        </w:rPr>
                        <w:t>委員</w:t>
                      </w:r>
                      <w:r w:rsidRPr="002B6876">
                        <w:rPr>
                          <w:rFonts w:ascii="標楷體" w:eastAsia="標楷體" w:hAnsi="標楷體" w:hint="eastAsia"/>
                          <w:sz w:val="18"/>
                          <w:szCs w:val="18"/>
                        </w:rPr>
                        <w:t>會提供資料。</w:t>
                      </w:r>
                    </w:p>
                    <w:p w14:paraId="110FF5BC" w14:textId="77777777" w:rsidR="00CE57F9" w:rsidRPr="0004360C" w:rsidRDefault="00CE57F9" w:rsidP="00EA6C1F"/>
                  </w:txbxContent>
                </v:textbox>
                <w10:wrap type="square" anchorx="margin"/>
              </v:shape>
            </w:pict>
          </mc:Fallback>
        </mc:AlternateContent>
      </w:r>
      <w:r w:rsidRPr="009D11AD">
        <w:rPr>
          <w:rFonts w:ascii="標楷體" w:eastAsia="標楷體" w:hAnsi="標楷體" w:hint="eastAsia"/>
          <w:szCs w:val="24"/>
        </w:rPr>
        <w:t>核定經費」減少逾1億元或10％，占全年度中央政府各機關揭露98項重要社會發展計畫之42.86％，重要社會發展計畫短編預算情形嚴重，其中數位身分識別證（New eID）－新一代國民身分證換發計畫等7項計畫（</w:t>
      </w:r>
      <w:r w:rsidRPr="00346BDD">
        <w:rPr>
          <w:rFonts w:ascii="標楷體" w:eastAsia="標楷體" w:hAnsi="標楷體" w:hint="eastAsia"/>
          <w:szCs w:val="24"/>
        </w:rPr>
        <w:t>表</w:t>
      </w:r>
      <w:r w:rsidR="00B729E6" w:rsidRPr="00346BDD">
        <w:rPr>
          <w:rFonts w:ascii="標楷體" w:eastAsia="標楷體" w:hAnsi="標楷體" w:hint="eastAsia"/>
          <w:szCs w:val="24"/>
        </w:rPr>
        <w:t>19</w:t>
      </w:r>
      <w:r w:rsidRPr="00346BDD">
        <w:rPr>
          <w:rFonts w:ascii="標楷體" w:eastAsia="標楷體" w:hAnsi="標楷體" w:hint="eastAsia"/>
          <w:szCs w:val="24"/>
        </w:rPr>
        <w:t>）</w:t>
      </w:r>
      <w:r w:rsidRPr="009D11AD">
        <w:rPr>
          <w:rFonts w:ascii="標楷體" w:eastAsia="標楷體" w:hAnsi="標楷體" w:hint="eastAsia"/>
          <w:szCs w:val="24"/>
        </w:rPr>
        <w:t>短編預算金額逾10億元、或占比逾核定經費5成，有待檢視各該計畫有無因計畫預算刪減，造成主要工作項目變更、無法達成原計畫目標，或執行進度嚴重落後、計畫總期程變更等致須依中長程個案計畫編審要點第9點規定修正計畫情形。次查內政部辦理之數位身分識別證（New eID）－新一代國民身分證換發計畫，計畫期程為108至112年度，原預定</w:t>
      </w:r>
      <w:r w:rsidRPr="009D11AD">
        <w:rPr>
          <w:rFonts w:ascii="標楷體" w:eastAsia="標楷體" w:hAnsi="標楷體"/>
          <w:szCs w:val="24"/>
        </w:rPr>
        <w:t>110</w:t>
      </w:r>
      <w:r w:rsidRPr="009D11AD">
        <w:rPr>
          <w:rFonts w:ascii="標楷體" w:eastAsia="標楷體" w:hAnsi="標楷體" w:hint="eastAsia"/>
          <w:szCs w:val="24"/>
        </w:rPr>
        <w:t>年度啟動換發新式身分證，因外界擔心數位足跡被監控、對於應用上存有資安疑慮等，行政院已於</w:t>
      </w:r>
      <w:r w:rsidRPr="009D11AD">
        <w:rPr>
          <w:rFonts w:ascii="標楷體" w:eastAsia="標楷體" w:hAnsi="標楷體"/>
          <w:szCs w:val="24"/>
        </w:rPr>
        <w:t>110</w:t>
      </w:r>
      <w:r w:rsidRPr="009D11AD">
        <w:rPr>
          <w:rFonts w:ascii="標楷體" w:eastAsia="標楷體" w:hAnsi="標楷體" w:hint="eastAsia"/>
          <w:szCs w:val="24"/>
        </w:rPr>
        <w:t>年</w:t>
      </w:r>
      <w:r w:rsidRPr="009D11AD">
        <w:rPr>
          <w:rFonts w:ascii="標楷體" w:eastAsia="標楷體" w:hAnsi="標楷體"/>
          <w:szCs w:val="24"/>
        </w:rPr>
        <w:t>1</w:t>
      </w:r>
      <w:r w:rsidRPr="009D11AD">
        <w:rPr>
          <w:rFonts w:ascii="標楷體" w:eastAsia="標楷體" w:hAnsi="標楷體" w:hint="eastAsia"/>
          <w:szCs w:val="24"/>
        </w:rPr>
        <w:t>月</w:t>
      </w:r>
      <w:r w:rsidRPr="009D11AD">
        <w:rPr>
          <w:rFonts w:ascii="標楷體" w:eastAsia="標楷體" w:hAnsi="標楷體"/>
          <w:szCs w:val="24"/>
        </w:rPr>
        <w:t>21</w:t>
      </w:r>
      <w:r w:rsidRPr="009D11AD">
        <w:rPr>
          <w:rFonts w:ascii="標楷體" w:eastAsia="標楷體" w:hAnsi="標楷體" w:hint="eastAsia"/>
          <w:szCs w:val="24"/>
        </w:rPr>
        <w:t>日院會決定計畫暫緩，現行該計畫工作項目仍暫緩執行，惟內政部迄未依中長程個案計畫編審要點第11點規定修正或終止計畫。另依據中長程個案計畫編審要點第12點規定，各機關修正或終止原計畫，準用第6點規定程序。即原計畫核定層級為行政院核定之中長程個案計畫，修正時仍應提報行政院核定修正，且國家發展委員會審查文化部辦理之影視音產業發展中程計畫總結評估報告所列個案建議，針對執行單位以子計畫內容及其績效目標增刪調修等未涉及總目標改變為由，而未函報行政院修正計畫情事，亦要求仍請依規定函報行政院。惟查客家委員會辦理之客家傳播行銷計畫（第二期）及客家族群主流化發展計畫，均係經行政院於108年6月17日核定後，該會於109年12月24日自行修正上開2項計畫，據該會說明，未提報行政院核定係因洽國家發展委員會後，認為在計畫總經費不變情況下，僅調整2項計畫之工作項目內容（舉如：客家傳播行銷計畫將原每年補助29案，下修至每年補助5案）及其對應經費，修正情節單純，非屬於中長程個案計畫編審要點第9點規定主要工作項目變更或總經費增加，故毋須報院等，與上述文化部辦理之影視音產業發展中程計畫審查建議意見有間，顯示得免依中長程個案計畫編審要點第6條</w:t>
      </w:r>
      <w:r w:rsidRPr="009E471B">
        <w:rPr>
          <w:rFonts w:ascii="標楷體" w:eastAsia="標楷體" w:hAnsi="標楷體" w:hint="eastAsia"/>
          <w:szCs w:val="24"/>
        </w:rPr>
        <w:lastRenderedPageBreak/>
        <w:t>規定程序辦理修正計畫之判斷標準，未臻具體明確</w:t>
      </w:r>
      <w:r w:rsidRPr="009E471B">
        <w:rPr>
          <w:rFonts w:ascii="標楷體" w:eastAsia="標楷體" w:hAnsi="標楷體" w:hint="eastAsia"/>
          <w:color w:val="000000" w:themeColor="text1"/>
          <w:szCs w:val="24"/>
        </w:rPr>
        <w:t>。經函請國家發展委員會敦促各</w:t>
      </w:r>
      <w:r w:rsidRPr="009E471B">
        <w:rPr>
          <w:rFonts w:ascii="標楷體" w:eastAsia="標楷體" w:hAnsi="標楷體" w:hint="eastAsia"/>
          <w:szCs w:val="24"/>
        </w:rPr>
        <w:t>機關落實檢</w:t>
      </w:r>
      <w:r w:rsidRPr="009D11AD">
        <w:rPr>
          <w:rFonts w:ascii="標楷體" w:eastAsia="標楷體" w:hAnsi="標楷體" w:hint="eastAsia"/>
          <w:szCs w:val="24"/>
        </w:rPr>
        <w:t>視有無因計畫預算刪減，造成主要工作項目變更、無法達成原計畫目標，或計畫已暫緩執行等應修正或終止計畫情事，確依規定程序報核；另檢討研議授權各機關或主管機關核定修正計畫之標準，劃一判斷依據，並收簡化報核程序之效。</w:t>
      </w:r>
      <w:r w:rsidRPr="00DA2751">
        <w:rPr>
          <w:rFonts w:ascii="標楷體" w:eastAsia="標楷體" w:hAnsi="標楷體" w:hint="eastAsia"/>
          <w:szCs w:val="24"/>
        </w:rPr>
        <w:t>據復：</w:t>
      </w:r>
      <w:r w:rsidR="00EA6C1F" w:rsidRPr="00346BDD">
        <w:rPr>
          <w:rFonts w:ascii="標楷體" w:eastAsia="標楷體" w:hAnsi="標楷體" w:hint="eastAsia"/>
          <w:szCs w:val="24"/>
        </w:rPr>
        <w:t>將通函請各部會</w:t>
      </w:r>
      <w:r w:rsidR="00EA6C1F" w:rsidRPr="00346BDD">
        <w:rPr>
          <w:rFonts w:ascii="標楷體" w:eastAsia="標楷體" w:hAnsi="標楷體"/>
          <w:szCs w:val="24"/>
        </w:rPr>
        <w:t>涉及主要工作項目變更或總經費增加、執行進度嚴重落後、計畫總期程變更，或因計畫預算經刪減，致無法達成原計畫目標等情形，包含應終止或暫緩執行之計畫，應</w:t>
      </w:r>
      <w:r w:rsidR="00E37E59" w:rsidRPr="00346BDD">
        <w:rPr>
          <w:rFonts w:ascii="標楷體" w:eastAsia="標楷體" w:hAnsi="標楷體" w:hint="eastAsia"/>
          <w:szCs w:val="24"/>
        </w:rPr>
        <w:t>落實依中長程個案計畫編審要點第</w:t>
      </w:r>
      <w:r w:rsidR="00E37E59" w:rsidRPr="00346BDD">
        <w:rPr>
          <w:rFonts w:ascii="標楷體" w:eastAsia="標楷體" w:hAnsi="標楷體"/>
          <w:szCs w:val="24"/>
        </w:rPr>
        <w:t>9點規定</w:t>
      </w:r>
      <w:r w:rsidR="00EA6C1F" w:rsidRPr="00346BDD">
        <w:rPr>
          <w:rFonts w:ascii="標楷體" w:eastAsia="標楷體" w:hAnsi="標楷體"/>
          <w:szCs w:val="24"/>
        </w:rPr>
        <w:t>確實修正中長程個案計畫，並加強宣導應函報原計畫核定機關同意後辦理，亦將透過教育訓練宣導各部會除利用定期管考機制掌握計畫之執行情形外，另可透過查證及評核等方式主動發現問題，督促主辦機關修正計畫</w:t>
      </w:r>
      <w:r w:rsidRPr="00346BDD">
        <w:rPr>
          <w:rFonts w:ascii="標楷體" w:eastAsia="標楷體" w:hAnsi="標楷體" w:hint="eastAsia"/>
          <w:szCs w:val="24"/>
        </w:rPr>
        <w:t>。</w:t>
      </w:r>
    </w:p>
    <w:p w14:paraId="62B50319" w14:textId="28671F6E" w:rsidR="008A7682" w:rsidRPr="009D11AD" w:rsidRDefault="008A7682" w:rsidP="00860D54">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（二十三）　政府參考聯合國推動並訂定臺灣永續發展目標及指標，並已提出2次國家自願檢視報告，惟對應指標僅約2成餘</w:t>
      </w:r>
      <w:r w:rsidR="00CC14CA">
        <w:rPr>
          <w:rFonts w:hAnsi="標楷體" w:hint="eastAsia"/>
          <w:b/>
          <w:color w:val="000000" w:themeColor="text1"/>
          <w:sz w:val="28"/>
          <w:szCs w:val="28"/>
        </w:rPr>
        <w:t>符合重點檢視項目，尚須另訂國際關注之補充指標</w:t>
      </w:r>
      <w:r w:rsidRPr="009D11AD">
        <w:rPr>
          <w:rFonts w:hAnsi="標楷體" w:hint="eastAsia"/>
          <w:b/>
          <w:color w:val="000000" w:themeColor="text1"/>
          <w:sz w:val="28"/>
          <w:szCs w:val="28"/>
        </w:rPr>
        <w:t>；已完成近5成對應指標修正，惟仍未將對應指標與聯合國SDGs接軌情形納入修正重點；自108年度起逐年發布年度檢討報告，部分對應指標未達成年度目標，且未達成比率呈上升趨勢，或部分對應指標未達統計周期，致多年無法檢視；國家發展委員會兼辦永續會秘書處業務，未依規定期程及程序辦理110年度臺灣永續發展目標總檢討報告，永續發展政策綱領修正草案未及時提報永續會委員會議審議等情，允宜檢討改善。</w:t>
      </w:r>
    </w:p>
    <w:p w14:paraId="6A2C3ED1" w14:textId="706CBFA5" w:rsidR="008A7682" w:rsidRPr="009D11AD" w:rsidRDefault="008A7682" w:rsidP="00CC14CA">
      <w:pPr>
        <w:pStyle w:val="affb"/>
        <w:kinsoku/>
        <w:overflowPunct w:val="0"/>
        <w:adjustRightInd/>
        <w:spacing w:line="460" w:lineRule="exact"/>
        <w:ind w:left="0" w:firstLineChars="200" w:firstLine="480"/>
        <w:jc w:val="both"/>
        <w:rPr>
          <w:rFonts w:hAnsi="標楷體"/>
          <w:sz w:val="24"/>
          <w:szCs w:val="24"/>
        </w:rPr>
      </w:pPr>
      <w:r w:rsidRPr="009D11AD">
        <w:rPr>
          <w:rFonts w:hAnsi="標楷體" w:hint="eastAsia"/>
          <w:sz w:val="24"/>
          <w:szCs w:val="24"/>
        </w:rPr>
        <w:t>聯合國於2015年發布「翻轉世界：2030年永續發展議程」（Transforming our world: the 2030 Agenda for Sustainable Development，下稱2030年永續發展議程），提出兼顧經濟成長、社會進步及環境保護等3大面向之17項永續發展目標（Sustainable Development Goals, SDGs），內容涵蓋169項細項目標（</w:t>
      </w:r>
      <w:r w:rsidRPr="009D11AD">
        <w:rPr>
          <w:rFonts w:hAnsi="標楷體"/>
          <w:sz w:val="24"/>
          <w:szCs w:val="24"/>
        </w:rPr>
        <w:t>target</w:t>
      </w:r>
      <w:r w:rsidRPr="009D11AD">
        <w:rPr>
          <w:rFonts w:hAnsi="標楷體" w:hint="eastAsia"/>
          <w:sz w:val="24"/>
          <w:szCs w:val="24"/>
        </w:rPr>
        <w:t>s）及244項指標（</w:t>
      </w:r>
      <w:r w:rsidRPr="009D11AD">
        <w:rPr>
          <w:rFonts w:hAnsi="標楷體"/>
          <w:sz w:val="24"/>
          <w:szCs w:val="24"/>
        </w:rPr>
        <w:t>indicator</w:t>
      </w:r>
      <w:r w:rsidRPr="009D11AD">
        <w:rPr>
          <w:rFonts w:hAnsi="標楷體" w:hint="eastAsia"/>
          <w:sz w:val="24"/>
          <w:szCs w:val="24"/>
        </w:rPr>
        <w:t>s），作為全球共同推動永續發展之行動指引，2030年永續發展議程考量各國推動</w:t>
      </w:r>
      <w:r w:rsidRPr="009D11AD">
        <w:rPr>
          <w:rFonts w:hAnsi="標楷體"/>
          <w:sz w:val="24"/>
          <w:szCs w:val="24"/>
        </w:rPr>
        <w:t>SDGs</w:t>
      </w:r>
      <w:r w:rsidRPr="009D11AD">
        <w:rPr>
          <w:rFonts w:hAnsi="標楷體" w:hint="eastAsia"/>
          <w:sz w:val="24"/>
          <w:szCs w:val="24"/>
        </w:rPr>
        <w:t>尚須兼顧國情、能力及發展水準，爰由各國政府依據聯合國</w:t>
      </w:r>
      <w:r w:rsidRPr="009D11AD">
        <w:rPr>
          <w:rFonts w:hAnsi="標楷體"/>
          <w:sz w:val="24"/>
          <w:szCs w:val="24"/>
        </w:rPr>
        <w:t>SDGs</w:t>
      </w:r>
      <w:r w:rsidRPr="009D11AD">
        <w:rPr>
          <w:rFonts w:hAnsi="標楷體" w:hint="eastAsia"/>
          <w:sz w:val="24"/>
          <w:szCs w:val="24"/>
        </w:rPr>
        <w:t>制定符合各國之永續發展目標。行政院依環境基本法第29條規定設置國家永續發展委員會（下稱永續會），永續會於107年間核定臺灣永續發展目標</w:t>
      </w:r>
      <w:r w:rsidRPr="009D11AD">
        <w:rPr>
          <w:rFonts w:hAnsi="標楷體"/>
          <w:sz w:val="24"/>
          <w:szCs w:val="24"/>
        </w:rPr>
        <w:t>18</w:t>
      </w:r>
      <w:r w:rsidRPr="009D11AD">
        <w:rPr>
          <w:rFonts w:hAnsi="標楷體" w:hint="eastAsia"/>
          <w:sz w:val="24"/>
          <w:szCs w:val="24"/>
        </w:rPr>
        <w:t>項核心目標及</w:t>
      </w:r>
      <w:r w:rsidRPr="009D11AD">
        <w:rPr>
          <w:rFonts w:hAnsi="標楷體"/>
          <w:sz w:val="24"/>
          <w:szCs w:val="24"/>
        </w:rPr>
        <w:t>142</w:t>
      </w:r>
      <w:r w:rsidRPr="009D11AD">
        <w:rPr>
          <w:rFonts w:hAnsi="標楷體" w:hint="eastAsia"/>
          <w:sz w:val="24"/>
          <w:szCs w:val="24"/>
        </w:rPr>
        <w:t>項具體目標，復於108年間核定336項對應指標及臺灣永續發展目標追蹤管考作業準則，以監測及追蹤臺灣永續發展目標推動進展，確保各項對應指標達成階段性成效，並由國家發展委員會自110年8月起兼辦永續會相關祕書業務</w:t>
      </w:r>
      <w:r w:rsidRPr="009D11AD">
        <w:rPr>
          <w:rFonts w:hAnsi="標楷體" w:hint="eastAsia"/>
          <w:color w:val="000000" w:themeColor="text1"/>
          <w:sz w:val="24"/>
          <w:szCs w:val="24"/>
        </w:rPr>
        <w:t>。經查執行情形，核</w:t>
      </w:r>
      <w:r w:rsidRPr="009D11AD">
        <w:rPr>
          <w:rFonts w:hAnsi="標楷體" w:hint="eastAsia"/>
          <w:sz w:val="24"/>
          <w:szCs w:val="24"/>
        </w:rPr>
        <w:t>有下列事項：</w:t>
      </w:r>
    </w:p>
    <w:p w14:paraId="3E72BEF4" w14:textId="2E7A1FB9" w:rsidR="008A7682" w:rsidRPr="009D11AD" w:rsidRDefault="008A7682" w:rsidP="00355750">
      <w:pPr>
        <w:overflowPunct w:val="0"/>
        <w:snapToGrid w:val="0"/>
        <w:spacing w:line="450" w:lineRule="exact"/>
        <w:ind w:firstLineChars="450" w:firstLine="1081"/>
        <w:jc w:val="both"/>
        <w:outlineLvl w:val="2"/>
        <w:rPr>
          <w:rFonts w:ascii="標楷體" w:eastAsia="標楷體" w:hAnsi="標楷體"/>
          <w:szCs w:val="24"/>
        </w:rPr>
      </w:pPr>
      <w:r w:rsidRPr="009D11AD">
        <w:rPr>
          <w:rFonts w:ascii="標楷體" w:eastAsia="標楷體" w:hAnsi="標楷體" w:hint="eastAsia"/>
          <w:b/>
          <w:szCs w:val="24"/>
        </w:rPr>
        <w:t>1.　政府為響應聯合國鼓勵各國自願檢視與分享永續發展進程，已提出2次國家自願檢視報告，向國際揭露我國執行永續發展成果，惟對應指標僅約2成餘</w:t>
      </w:r>
      <w:r w:rsidR="00CC14CA" w:rsidRPr="00CC14CA">
        <w:rPr>
          <w:rFonts w:ascii="標楷體" w:eastAsia="標楷體" w:hAnsi="標楷體" w:hint="eastAsia"/>
          <w:b/>
          <w:szCs w:val="24"/>
        </w:rPr>
        <w:t>符合重點檢視項目</w:t>
      </w:r>
      <w:r w:rsidRPr="009D11AD">
        <w:rPr>
          <w:rFonts w:ascii="標楷體" w:eastAsia="標楷體" w:hAnsi="標楷體" w:hint="eastAsia"/>
          <w:b/>
          <w:szCs w:val="24"/>
        </w:rPr>
        <w:t>，</w:t>
      </w:r>
      <w:r w:rsidRPr="00CC14CA">
        <w:rPr>
          <w:rFonts w:ascii="標楷體" w:eastAsia="標楷體" w:hAnsi="標楷體" w:hint="eastAsia"/>
          <w:b/>
          <w:szCs w:val="24"/>
        </w:rPr>
        <w:t>尚須另訂國際關注之補充指標，作為協助國際瞭解我國永續發展進程之執行成果；且對各項核心</w:t>
      </w:r>
      <w:r w:rsidRPr="00CC14CA">
        <w:rPr>
          <w:rFonts w:ascii="標楷體" w:eastAsia="標楷體" w:hAnsi="標楷體" w:hint="eastAsia"/>
          <w:b/>
          <w:szCs w:val="24"/>
        </w:rPr>
        <w:lastRenderedPageBreak/>
        <w:t>目標檢視程度差異頗巨，逾8成核心目標之對應指標檢視率未及4成，允宜研析先進國家多次提交VNR之</w:t>
      </w:r>
      <w:r w:rsidRPr="009D11AD">
        <w:rPr>
          <w:rFonts w:ascii="標楷體" w:eastAsia="標楷體" w:hAnsi="標楷體" w:hint="eastAsia"/>
          <w:b/>
          <w:szCs w:val="24"/>
        </w:rPr>
        <w:t>內涵，強化與施政政策連結程度，借鑑優良實務作法，以作為業務推動及編撰第3次國家自願檢視報告之參考：</w:t>
      </w:r>
      <w:r w:rsidRPr="009D11AD">
        <w:rPr>
          <w:rFonts w:ascii="標楷體" w:eastAsia="標楷體" w:hAnsi="標楷體"/>
          <w:szCs w:val="24"/>
        </w:rPr>
        <w:t>聯合國</w:t>
      </w:r>
      <w:r w:rsidRPr="009D11AD">
        <w:rPr>
          <w:rFonts w:ascii="標楷體" w:eastAsia="標楷體" w:hAnsi="標楷體" w:hint="eastAsia"/>
          <w:szCs w:val="24"/>
        </w:rPr>
        <w:t>鼓勵各國與各級政府積極進行永續發展執行情形之自願檢視與分享，依2030年永續發展議程第47點及第84點規定，各國政府應落實永續發展</w:t>
      </w:r>
      <w:r w:rsidRPr="009D11AD">
        <w:rPr>
          <w:rFonts w:ascii="標楷體" w:eastAsia="標楷體" w:hAnsi="標楷體"/>
          <w:szCs w:val="24"/>
        </w:rPr>
        <w:t>，並</w:t>
      </w:r>
      <w:r w:rsidRPr="009D11AD">
        <w:rPr>
          <w:rFonts w:ascii="標楷體" w:eastAsia="標楷體" w:hAnsi="標楷體" w:hint="eastAsia"/>
          <w:szCs w:val="24"/>
        </w:rPr>
        <w:t>評估國家及區域層級之</w:t>
      </w:r>
      <w:r w:rsidRPr="009D11AD">
        <w:rPr>
          <w:rFonts w:ascii="標楷體" w:eastAsia="標楷體" w:hAnsi="標楷體"/>
          <w:szCs w:val="24"/>
        </w:rPr>
        <w:t>SDGs推動進展，</w:t>
      </w:r>
      <w:r w:rsidRPr="009D11AD">
        <w:rPr>
          <w:rFonts w:ascii="標楷體" w:eastAsia="標楷體" w:hAnsi="標楷體" w:hint="eastAsia"/>
          <w:szCs w:val="24"/>
        </w:rPr>
        <w:t>聯合國高階政治論壇（High-level Political Forum, HLPF）則負責評估全球層級之</w:t>
      </w:r>
      <w:r w:rsidRPr="009D11AD">
        <w:rPr>
          <w:rFonts w:ascii="標楷體" w:eastAsia="標楷體" w:hAnsi="標楷體"/>
          <w:szCs w:val="24"/>
        </w:rPr>
        <w:t>SDGs推動進展。</w:t>
      </w:r>
      <w:r w:rsidRPr="009D11AD">
        <w:rPr>
          <w:rFonts w:ascii="標楷體" w:eastAsia="標楷體" w:hAnsi="標楷體" w:hint="eastAsia"/>
          <w:szCs w:val="24"/>
        </w:rPr>
        <w:t>行政院為響應聯合國鼓勵各國進行永續發展進程定期審查，參考聯合國發布之「自願性國家檢視準備手冊」，於106年9月首次發布我國國家自願檢視報告（Voluntary National Review, VNR），嗣於111年9月15日發布第2次VNR「2022國家自願檢視報告」，就經濟、社會、環境、政府治理及全球夥伴關係等5大面向綜觀我國永續發展整體表現，並以「參考主要國家或國際組織評比指標或具對外夥伴關係者」、「考量與核心目標之關聯性」、「屬成果型指標者」等3項篩選原則，重點檢視</w:t>
      </w:r>
      <w:r w:rsidRPr="009D11AD">
        <w:rPr>
          <w:rFonts w:ascii="標楷體" w:eastAsia="標楷體" w:hAnsi="標楷體"/>
          <w:szCs w:val="24"/>
        </w:rPr>
        <w:t>18</w:t>
      </w:r>
      <w:r w:rsidRPr="009D11AD">
        <w:rPr>
          <w:rFonts w:ascii="標楷體" w:eastAsia="標楷體" w:hAnsi="標楷體" w:hint="eastAsia"/>
          <w:szCs w:val="24"/>
        </w:rPr>
        <w:t>項核心目標之71項對應指標</w:t>
      </w:r>
      <w:r w:rsidRPr="009D11AD">
        <w:rPr>
          <w:rFonts w:ascii="標楷體" w:eastAsia="標楷體" w:hAnsi="標楷體"/>
          <w:szCs w:val="24"/>
        </w:rPr>
        <w:t>（</w:t>
      </w:r>
      <w:r w:rsidRPr="00346BDD">
        <w:rPr>
          <w:rFonts w:ascii="標楷體" w:eastAsia="標楷體" w:hAnsi="標楷體"/>
          <w:szCs w:val="24"/>
        </w:rPr>
        <w:t>表</w:t>
      </w:r>
      <w:r w:rsidRPr="00346BDD">
        <w:rPr>
          <w:rFonts w:ascii="標楷體" w:eastAsia="標楷體" w:hAnsi="標楷體" w:hint="eastAsia"/>
          <w:szCs w:val="24"/>
        </w:rPr>
        <w:t>2</w:t>
      </w:r>
      <w:r w:rsidR="00B729E6" w:rsidRPr="00346BDD">
        <w:rPr>
          <w:rFonts w:ascii="標楷體" w:eastAsia="標楷體" w:hAnsi="標楷體" w:hint="eastAsia"/>
          <w:szCs w:val="24"/>
        </w:rPr>
        <w:t>0</w:t>
      </w:r>
      <w:r w:rsidRPr="009D11AD">
        <w:rPr>
          <w:rFonts w:ascii="標楷體" w:eastAsia="標楷體" w:hAnsi="標楷體"/>
          <w:szCs w:val="24"/>
        </w:rPr>
        <w:t>）</w:t>
      </w:r>
      <w:r w:rsidRPr="009D11AD">
        <w:rPr>
          <w:rFonts w:ascii="標楷體" w:eastAsia="標楷體" w:hAnsi="標楷體" w:hint="eastAsia"/>
          <w:szCs w:val="24"/>
        </w:rPr>
        <w:t>，</w:t>
      </w:r>
      <w:r w:rsidR="00EA6C1F" w:rsidRPr="009D11AD">
        <w:rPr>
          <w:rFonts w:ascii="標楷體" w:eastAsia="標楷體" w:hAnsi="標楷體"/>
          <w:noProof/>
          <w:szCs w:val="24"/>
        </w:rPr>
        <mc:AlternateContent>
          <mc:Choice Requires="wps">
            <w:drawing>
              <wp:anchor distT="45720" distB="45720" distL="114300" distR="114300" simplePos="0" relativeHeight="251674112" behindDoc="0" locked="0" layoutInCell="1" allowOverlap="1" wp14:anchorId="79F2594D" wp14:editId="34E36689">
                <wp:simplePos x="0" y="0"/>
                <wp:positionH relativeFrom="margin">
                  <wp:posOffset>2066290</wp:posOffset>
                </wp:positionH>
                <wp:positionV relativeFrom="paragraph">
                  <wp:posOffset>3163570</wp:posOffset>
                </wp:positionV>
                <wp:extent cx="4328160" cy="5000625"/>
                <wp:effectExtent l="0" t="0" r="0" b="9525"/>
                <wp:wrapSquare wrapText="bothSides"/>
                <wp:docPr id="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5000625"/>
                        </a:xfrm>
                        <a:prstGeom prst="rect">
                          <a:avLst/>
                        </a:prstGeom>
                        <a:solidFill>
                          <a:srgbClr val="FFFFFF"/>
                        </a:solidFill>
                        <a:ln w="9525">
                          <a:noFill/>
                          <a:miter lim="800000"/>
                          <a:headEnd/>
                          <a:tailEnd/>
                        </a:ln>
                      </wps:spPr>
                      <wps:txbx>
                        <w:txbxContent>
                          <w:p w14:paraId="028006C0" w14:textId="1A74B924" w:rsidR="00CE57F9" w:rsidRPr="005F2CFF" w:rsidRDefault="00CE57F9" w:rsidP="00EA6C1F">
                            <w:pPr>
                              <w:widowControl/>
                              <w:suppressOverlap/>
                              <w:jc w:val="center"/>
                              <w:rPr>
                                <w:rFonts w:ascii="標楷體" w:eastAsia="標楷體" w:hAnsi="標楷體" w:cs="新細明體"/>
                                <w:b/>
                              </w:rPr>
                            </w:pPr>
                            <w:r w:rsidRPr="005F2CFF">
                              <w:rPr>
                                <w:rFonts w:ascii="標楷體" w:eastAsia="標楷體" w:hAnsi="標楷體" w:cs="新細明體" w:hint="eastAsia"/>
                                <w:b/>
                              </w:rPr>
                              <w:t>表</w:t>
                            </w:r>
                            <w:r>
                              <w:rPr>
                                <w:rFonts w:ascii="標楷體" w:eastAsia="標楷體" w:hAnsi="標楷體" w:cs="新細明體"/>
                                <w:b/>
                              </w:rPr>
                              <w:t>20</w:t>
                            </w:r>
                            <w:r w:rsidRPr="005F2CFF">
                              <w:rPr>
                                <w:rFonts w:ascii="標楷體" w:eastAsia="標楷體" w:hAnsi="標楷體" w:cs="新細明體" w:hint="eastAsia"/>
                                <w:b/>
                              </w:rPr>
                              <w:t xml:space="preserve">　2022國家自願檢視報告之</w:t>
                            </w:r>
                            <w:r w:rsidRPr="00B30BFE">
                              <w:rPr>
                                <w:rFonts w:ascii="標楷體" w:eastAsia="標楷體" w:hAnsi="標楷體" w:cs="新細明體" w:hint="eastAsia"/>
                                <w:b/>
                              </w:rPr>
                              <w:t>臺灣永續發展目標</w:t>
                            </w:r>
                            <w:r w:rsidRPr="005F2CFF">
                              <w:rPr>
                                <w:rFonts w:ascii="標楷體" w:eastAsia="標楷體" w:hAnsi="標楷體" w:cs="新細明體" w:hint="eastAsia"/>
                                <w:b/>
                              </w:rPr>
                              <w:t>推動進展</w:t>
                            </w:r>
                          </w:p>
                          <w:p w14:paraId="048FA249" w14:textId="77777777" w:rsidR="00CE57F9" w:rsidRPr="00C87B8A" w:rsidRDefault="00CE57F9" w:rsidP="00EA6C1F">
                            <w:pPr>
                              <w:spacing w:line="240" w:lineRule="exact"/>
                              <w:ind w:rightChars="50" w:right="120"/>
                              <w:jc w:val="right"/>
                              <w:rPr>
                                <w:sz w:val="20"/>
                              </w:rPr>
                            </w:pPr>
                            <w:r w:rsidRPr="00C87B8A">
                              <w:rPr>
                                <w:rFonts w:ascii="標楷體" w:eastAsia="標楷體" w:hAnsi="標楷體" w:cs="新細明體" w:hint="eastAsia"/>
                                <w:sz w:val="20"/>
                              </w:rPr>
                              <w:t>單位：項、％</w:t>
                            </w:r>
                          </w:p>
                          <w:tbl>
                            <w:tblPr>
                              <w:tblStyle w:val="140"/>
                              <w:tblOverlap w:val="never"/>
                              <w:tblW w:w="6572" w:type="dxa"/>
                              <w:tblInd w:w="-5" w:type="dxa"/>
                              <w:tblLook w:val="04A0" w:firstRow="1" w:lastRow="0" w:firstColumn="1" w:lastColumn="0" w:noHBand="0" w:noVBand="1"/>
                            </w:tblPr>
                            <w:tblGrid>
                              <w:gridCol w:w="1843"/>
                              <w:gridCol w:w="935"/>
                              <w:gridCol w:w="638"/>
                              <w:gridCol w:w="883"/>
                              <w:gridCol w:w="708"/>
                              <w:gridCol w:w="749"/>
                              <w:gridCol w:w="816"/>
                            </w:tblGrid>
                            <w:tr w:rsidR="00CE57F9" w:rsidRPr="008076C0" w14:paraId="001BFF46" w14:textId="77777777" w:rsidTr="00F72E6D">
                              <w:trPr>
                                <w:trHeight w:val="283"/>
                              </w:trPr>
                              <w:tc>
                                <w:tcPr>
                                  <w:tcW w:w="1843" w:type="dxa"/>
                                  <w:vMerge w:val="restart"/>
                                  <w:tcBorders>
                                    <w:top w:val="single" w:sz="4" w:space="0" w:color="auto"/>
                                    <w:tl2br w:val="nil"/>
                                  </w:tcBorders>
                                  <w:noWrap/>
                                  <w:vAlign w:val="center"/>
                                  <w:hideMark/>
                                </w:tcPr>
                                <w:p w14:paraId="15517648" w14:textId="0AEF4F6E" w:rsidR="00CE57F9" w:rsidRPr="00BF4006" w:rsidRDefault="00CE57F9" w:rsidP="00F72E6D">
                                  <w:pPr>
                                    <w:overflowPunct w:val="0"/>
                                    <w:spacing w:line="220" w:lineRule="exact"/>
                                    <w:suppressOverlap/>
                                    <w:jc w:val="center"/>
                                    <w:rPr>
                                      <w:rFonts w:ascii="標楷體" w:eastAsia="標楷體" w:hAnsi="標楷體"/>
                                      <w:sz w:val="20"/>
                                    </w:rPr>
                                  </w:pPr>
                                  <w:r w:rsidRPr="00BF4006">
                                    <w:rPr>
                                      <w:rFonts w:ascii="標楷體" w:eastAsia="標楷體" w:hAnsi="標楷體"/>
                                      <w:sz w:val="20"/>
                                    </w:rPr>
                                    <w:t>核心目標</w:t>
                                  </w:r>
                                </w:p>
                              </w:tc>
                              <w:tc>
                                <w:tcPr>
                                  <w:tcW w:w="935" w:type="dxa"/>
                                  <w:vMerge w:val="restart"/>
                                  <w:tcBorders>
                                    <w:top w:val="single" w:sz="4" w:space="0" w:color="auto"/>
                                  </w:tcBorders>
                                  <w:noWrap/>
                                  <w:vAlign w:val="center"/>
                                  <w:hideMark/>
                                </w:tcPr>
                                <w:p w14:paraId="7133759F" w14:textId="19C6EF07" w:rsidR="00CE57F9" w:rsidRPr="00BF4006" w:rsidRDefault="00CE57F9" w:rsidP="00F72E6D">
                                  <w:pPr>
                                    <w:overflowPunct w:val="0"/>
                                    <w:spacing w:line="220" w:lineRule="exact"/>
                                    <w:ind w:leftChars="-47" w:left="-113" w:rightChars="-29" w:right="-70"/>
                                    <w:suppressOverlap/>
                                    <w:jc w:val="center"/>
                                    <w:rPr>
                                      <w:rFonts w:ascii="標楷體" w:eastAsia="標楷體" w:hAnsi="標楷體"/>
                                      <w:bCs/>
                                      <w:sz w:val="20"/>
                                    </w:rPr>
                                  </w:pPr>
                                  <w:r w:rsidRPr="00BF4006">
                                    <w:rPr>
                                      <w:rFonts w:ascii="標楷體" w:eastAsia="標楷體" w:hAnsi="標楷體" w:hint="eastAsia"/>
                                      <w:sz w:val="20"/>
                                    </w:rPr>
                                    <w:t>對應</w:t>
                                  </w:r>
                                  <w:r w:rsidRPr="00BF4006">
                                    <w:rPr>
                                      <w:rFonts w:ascii="標楷體" w:eastAsia="標楷體" w:hAnsi="標楷體"/>
                                      <w:bCs/>
                                      <w:sz w:val="20"/>
                                    </w:rPr>
                                    <w:t>指標</w:t>
                                  </w:r>
                                  <w:r w:rsidRPr="00BF4006">
                                    <w:rPr>
                                      <w:rFonts w:ascii="標楷體" w:eastAsia="標楷體" w:hAnsi="標楷體" w:hint="eastAsia"/>
                                      <w:bCs/>
                                      <w:sz w:val="20"/>
                                    </w:rPr>
                                    <w:t>項數</w:t>
                                  </w:r>
                                </w:p>
                              </w:tc>
                              <w:tc>
                                <w:tcPr>
                                  <w:tcW w:w="3794" w:type="dxa"/>
                                  <w:gridSpan w:val="5"/>
                                  <w:tcBorders>
                                    <w:top w:val="single" w:sz="4" w:space="0" w:color="auto"/>
                                  </w:tcBorders>
                                  <w:vAlign w:val="center"/>
                                </w:tcPr>
                                <w:p w14:paraId="5E343EAC" w14:textId="77777777" w:rsidR="00CE57F9" w:rsidRPr="00B73509" w:rsidRDefault="00CE57F9" w:rsidP="00F72E6D">
                                  <w:pPr>
                                    <w:overflowPunct w:val="0"/>
                                    <w:spacing w:line="220" w:lineRule="exact"/>
                                    <w:suppressOverlap/>
                                    <w:jc w:val="center"/>
                                    <w:rPr>
                                      <w:rFonts w:ascii="標楷體" w:eastAsia="標楷體" w:hAnsi="標楷體"/>
                                      <w:sz w:val="20"/>
                                    </w:rPr>
                                  </w:pPr>
                                  <w:r w:rsidRPr="00B73509">
                                    <w:rPr>
                                      <w:rFonts w:ascii="標楷體" w:eastAsia="標楷體" w:hAnsi="標楷體" w:hint="eastAsia"/>
                                      <w:bCs/>
                                      <w:sz w:val="20"/>
                                    </w:rPr>
                                    <w:t>第2次VNR檢視</w:t>
                                  </w:r>
                                  <w:r w:rsidRPr="00B73509">
                                    <w:rPr>
                                      <w:rFonts w:ascii="標楷體" w:eastAsia="標楷體" w:hAnsi="標楷體" w:hint="eastAsia"/>
                                      <w:sz w:val="20"/>
                                    </w:rPr>
                                    <w:t>臺灣永續發展目標</w:t>
                                  </w:r>
                                </w:p>
                                <w:p w14:paraId="15552FEB" w14:textId="77777777" w:rsidR="00CE57F9" w:rsidRPr="00B73509" w:rsidRDefault="00CE57F9" w:rsidP="00F72E6D">
                                  <w:pPr>
                                    <w:overflowPunct w:val="0"/>
                                    <w:spacing w:line="220" w:lineRule="exact"/>
                                    <w:suppressOverlap/>
                                    <w:jc w:val="center"/>
                                    <w:rPr>
                                      <w:rFonts w:ascii="標楷體" w:eastAsia="標楷體" w:hAnsi="標楷體"/>
                                      <w:bCs/>
                                      <w:sz w:val="20"/>
                                    </w:rPr>
                                  </w:pPr>
                                  <w:r w:rsidRPr="00B73509">
                                    <w:rPr>
                                      <w:rFonts w:ascii="標楷體" w:eastAsia="標楷體" w:hAnsi="標楷體" w:hint="eastAsia"/>
                                      <w:sz w:val="20"/>
                                    </w:rPr>
                                    <w:t>對應</w:t>
                                  </w:r>
                                  <w:r w:rsidRPr="00B73509">
                                    <w:rPr>
                                      <w:rFonts w:ascii="標楷體" w:eastAsia="標楷體" w:hAnsi="標楷體"/>
                                      <w:bCs/>
                                      <w:sz w:val="20"/>
                                    </w:rPr>
                                    <w:t>指標</w:t>
                                  </w:r>
                                  <w:r w:rsidRPr="00B73509">
                                    <w:rPr>
                                      <w:rFonts w:ascii="標楷體" w:eastAsia="標楷體" w:hAnsi="標楷體" w:hint="eastAsia"/>
                                      <w:bCs/>
                                      <w:sz w:val="20"/>
                                    </w:rPr>
                                    <w:t>情形</w:t>
                                  </w:r>
                                </w:p>
                              </w:tc>
                            </w:tr>
                            <w:tr w:rsidR="00CE57F9" w:rsidRPr="008076C0" w14:paraId="0D1D8791" w14:textId="77777777" w:rsidTr="00F72E6D">
                              <w:trPr>
                                <w:trHeight w:val="283"/>
                              </w:trPr>
                              <w:tc>
                                <w:tcPr>
                                  <w:tcW w:w="1843" w:type="dxa"/>
                                  <w:vMerge/>
                                  <w:tcBorders>
                                    <w:tl2br w:val="nil"/>
                                  </w:tcBorders>
                                  <w:noWrap/>
                                  <w:vAlign w:val="center"/>
                                </w:tcPr>
                                <w:p w14:paraId="4D1CDD0C" w14:textId="77777777" w:rsidR="00CE57F9" w:rsidRPr="00B73509" w:rsidRDefault="00CE57F9" w:rsidP="00F72E6D">
                                  <w:pPr>
                                    <w:overflowPunct w:val="0"/>
                                    <w:spacing w:line="220" w:lineRule="exact"/>
                                    <w:suppressOverlap/>
                                    <w:jc w:val="center"/>
                                    <w:rPr>
                                      <w:rFonts w:ascii="標楷體" w:eastAsia="標楷體" w:hAnsi="標楷體"/>
                                      <w:sz w:val="20"/>
                                    </w:rPr>
                                  </w:pPr>
                                </w:p>
                              </w:tc>
                              <w:tc>
                                <w:tcPr>
                                  <w:tcW w:w="935" w:type="dxa"/>
                                  <w:vMerge/>
                                  <w:noWrap/>
                                  <w:vAlign w:val="center"/>
                                </w:tcPr>
                                <w:p w14:paraId="6758ED2D" w14:textId="77777777" w:rsidR="00CE57F9" w:rsidRPr="00B73509" w:rsidRDefault="00CE57F9" w:rsidP="00F72E6D">
                                  <w:pPr>
                                    <w:overflowPunct w:val="0"/>
                                    <w:spacing w:line="220" w:lineRule="exact"/>
                                    <w:suppressOverlap/>
                                    <w:jc w:val="center"/>
                                    <w:rPr>
                                      <w:rFonts w:ascii="標楷體" w:eastAsia="標楷體" w:hAnsi="標楷體"/>
                                      <w:bCs/>
                                      <w:sz w:val="20"/>
                                    </w:rPr>
                                  </w:pPr>
                                </w:p>
                              </w:tc>
                              <w:tc>
                                <w:tcPr>
                                  <w:tcW w:w="1521" w:type="dxa"/>
                                  <w:gridSpan w:val="2"/>
                                  <w:noWrap/>
                                  <w:vAlign w:val="center"/>
                                </w:tcPr>
                                <w:p w14:paraId="598FBB13" w14:textId="77777777" w:rsidR="00CE57F9" w:rsidRPr="00B73509" w:rsidRDefault="00CE57F9" w:rsidP="00F72E6D">
                                  <w:pPr>
                                    <w:spacing w:line="220" w:lineRule="exact"/>
                                    <w:suppressOverlap/>
                                    <w:jc w:val="center"/>
                                    <w:rPr>
                                      <w:rFonts w:ascii="標楷體" w:eastAsia="標楷體" w:hAnsi="標楷體"/>
                                      <w:sz w:val="20"/>
                                    </w:rPr>
                                  </w:pPr>
                                  <w:r w:rsidRPr="00B73509">
                                    <w:rPr>
                                      <w:rFonts w:ascii="標楷體" w:eastAsia="標楷體" w:hAnsi="標楷體" w:hint="eastAsia"/>
                                      <w:bCs/>
                                      <w:sz w:val="20"/>
                                    </w:rPr>
                                    <w:t>合計</w:t>
                                  </w:r>
                                </w:p>
                              </w:tc>
                              <w:tc>
                                <w:tcPr>
                                  <w:tcW w:w="708" w:type="dxa"/>
                                  <w:vMerge w:val="restart"/>
                                  <w:vAlign w:val="center"/>
                                </w:tcPr>
                                <w:p w14:paraId="7A08BF09" w14:textId="77777777" w:rsidR="00CE57F9" w:rsidRPr="00B73509" w:rsidRDefault="00CE57F9" w:rsidP="00F72E6D">
                                  <w:pPr>
                                    <w:spacing w:line="220" w:lineRule="exact"/>
                                    <w:suppressOverlap/>
                                    <w:jc w:val="center"/>
                                    <w:rPr>
                                      <w:rFonts w:ascii="標楷體" w:eastAsia="標楷體" w:hAnsi="標楷體"/>
                                      <w:sz w:val="20"/>
                                    </w:rPr>
                                  </w:pPr>
                                  <w:r w:rsidRPr="00B73509">
                                    <w:rPr>
                                      <w:rFonts w:ascii="標楷體" w:eastAsia="標楷體" w:hAnsi="標楷體"/>
                                      <w:sz w:val="20"/>
                                    </w:rPr>
                                    <w:t>達成</w:t>
                                  </w:r>
                                </w:p>
                                <w:p w14:paraId="3C95B521" w14:textId="77777777" w:rsidR="00CE57F9" w:rsidRPr="00B73509" w:rsidRDefault="00CE57F9" w:rsidP="00F72E6D">
                                  <w:pPr>
                                    <w:spacing w:line="220" w:lineRule="exact"/>
                                    <w:suppressOverlap/>
                                    <w:jc w:val="center"/>
                                    <w:rPr>
                                      <w:rFonts w:ascii="標楷體" w:eastAsia="標楷體" w:hAnsi="標楷體"/>
                                      <w:sz w:val="20"/>
                                    </w:rPr>
                                  </w:pPr>
                                  <w:r w:rsidRPr="00B73509">
                                    <w:rPr>
                                      <w:rFonts w:ascii="標楷體" w:eastAsia="標楷體" w:hAnsi="標楷體"/>
                                      <w:sz w:val="20"/>
                                    </w:rPr>
                                    <w:t>目標</w:t>
                                  </w:r>
                                </w:p>
                              </w:tc>
                              <w:tc>
                                <w:tcPr>
                                  <w:tcW w:w="749" w:type="dxa"/>
                                  <w:vMerge w:val="restart"/>
                                  <w:vAlign w:val="center"/>
                                </w:tcPr>
                                <w:p w14:paraId="56528C60" w14:textId="77777777" w:rsidR="00CE57F9" w:rsidRPr="00B73509" w:rsidRDefault="00CE57F9" w:rsidP="00F72E6D">
                                  <w:pPr>
                                    <w:spacing w:line="220" w:lineRule="exact"/>
                                    <w:suppressOverlap/>
                                    <w:jc w:val="center"/>
                                    <w:rPr>
                                      <w:rFonts w:ascii="標楷體" w:eastAsia="標楷體" w:hAnsi="標楷體"/>
                                      <w:sz w:val="20"/>
                                    </w:rPr>
                                  </w:pPr>
                                  <w:r w:rsidRPr="00B73509">
                                    <w:rPr>
                                      <w:rFonts w:ascii="標楷體" w:eastAsia="標楷體" w:hAnsi="標楷體"/>
                                      <w:sz w:val="20"/>
                                    </w:rPr>
                                    <w:t>未達</w:t>
                                  </w:r>
                                </w:p>
                                <w:p w14:paraId="37E03377" w14:textId="77777777" w:rsidR="00CE57F9" w:rsidRPr="00B73509" w:rsidRDefault="00CE57F9" w:rsidP="00F72E6D">
                                  <w:pPr>
                                    <w:spacing w:line="220" w:lineRule="exact"/>
                                    <w:suppressOverlap/>
                                    <w:jc w:val="center"/>
                                    <w:rPr>
                                      <w:rFonts w:ascii="標楷體" w:eastAsia="標楷體" w:hAnsi="標楷體"/>
                                      <w:sz w:val="20"/>
                                    </w:rPr>
                                  </w:pPr>
                                  <w:r w:rsidRPr="00B73509">
                                    <w:rPr>
                                      <w:rFonts w:ascii="標楷體" w:eastAsia="標楷體" w:hAnsi="標楷體"/>
                                      <w:sz w:val="20"/>
                                    </w:rPr>
                                    <w:t>目標</w:t>
                                  </w:r>
                                </w:p>
                              </w:tc>
                              <w:tc>
                                <w:tcPr>
                                  <w:tcW w:w="816" w:type="dxa"/>
                                  <w:vMerge w:val="restart"/>
                                  <w:vAlign w:val="center"/>
                                </w:tcPr>
                                <w:p w14:paraId="2F2327FC" w14:textId="77777777" w:rsidR="00CE57F9" w:rsidRPr="00B73509" w:rsidRDefault="00CE57F9" w:rsidP="00F72E6D">
                                  <w:pPr>
                                    <w:spacing w:line="220" w:lineRule="exact"/>
                                    <w:suppressOverlap/>
                                    <w:jc w:val="center"/>
                                    <w:rPr>
                                      <w:rFonts w:ascii="標楷體" w:eastAsia="標楷體" w:hAnsi="標楷體"/>
                                      <w:sz w:val="20"/>
                                    </w:rPr>
                                  </w:pPr>
                                  <w:r w:rsidRPr="00B73509">
                                    <w:rPr>
                                      <w:rFonts w:ascii="標楷體" w:eastAsia="標楷體" w:hAnsi="標楷體" w:hint="eastAsia"/>
                                      <w:sz w:val="20"/>
                                    </w:rPr>
                                    <w:t>未達統</w:t>
                                  </w:r>
                                </w:p>
                                <w:p w14:paraId="72C1BA85" w14:textId="77777777" w:rsidR="00CE57F9" w:rsidRPr="00B73509" w:rsidRDefault="00CE57F9" w:rsidP="00F72E6D">
                                  <w:pPr>
                                    <w:spacing w:line="220" w:lineRule="exact"/>
                                    <w:suppressOverlap/>
                                    <w:jc w:val="center"/>
                                    <w:rPr>
                                      <w:rFonts w:ascii="標楷體" w:eastAsia="標楷體" w:hAnsi="標楷體"/>
                                      <w:sz w:val="20"/>
                                    </w:rPr>
                                  </w:pPr>
                                  <w:r w:rsidRPr="00B73509">
                                    <w:rPr>
                                      <w:rFonts w:ascii="標楷體" w:eastAsia="標楷體" w:hAnsi="標楷體" w:hint="eastAsia"/>
                                      <w:sz w:val="20"/>
                                    </w:rPr>
                                    <w:t>計週期</w:t>
                                  </w:r>
                                </w:p>
                              </w:tc>
                            </w:tr>
                            <w:tr w:rsidR="00CE57F9" w:rsidRPr="008076C0" w14:paraId="0D50E84A" w14:textId="77777777" w:rsidTr="00F72E6D">
                              <w:trPr>
                                <w:trHeight w:val="283"/>
                              </w:trPr>
                              <w:tc>
                                <w:tcPr>
                                  <w:tcW w:w="1843" w:type="dxa"/>
                                  <w:vMerge/>
                                  <w:tcBorders>
                                    <w:tl2br w:val="nil"/>
                                  </w:tcBorders>
                                  <w:noWrap/>
                                  <w:vAlign w:val="center"/>
                                </w:tcPr>
                                <w:p w14:paraId="40E673E8" w14:textId="77777777" w:rsidR="00CE57F9" w:rsidRPr="00B73509" w:rsidRDefault="00CE57F9" w:rsidP="00F72E6D">
                                  <w:pPr>
                                    <w:overflowPunct w:val="0"/>
                                    <w:spacing w:line="220" w:lineRule="exact"/>
                                    <w:suppressOverlap/>
                                    <w:jc w:val="center"/>
                                    <w:rPr>
                                      <w:rFonts w:ascii="標楷體" w:eastAsia="標楷體" w:hAnsi="標楷體"/>
                                      <w:sz w:val="20"/>
                                    </w:rPr>
                                  </w:pPr>
                                </w:p>
                              </w:tc>
                              <w:tc>
                                <w:tcPr>
                                  <w:tcW w:w="935" w:type="dxa"/>
                                  <w:vMerge/>
                                  <w:noWrap/>
                                  <w:vAlign w:val="center"/>
                                </w:tcPr>
                                <w:p w14:paraId="63F967E4" w14:textId="77777777" w:rsidR="00CE57F9" w:rsidRPr="00B73509" w:rsidRDefault="00CE57F9" w:rsidP="00F72E6D">
                                  <w:pPr>
                                    <w:overflowPunct w:val="0"/>
                                    <w:spacing w:line="220" w:lineRule="exact"/>
                                    <w:suppressOverlap/>
                                    <w:jc w:val="center"/>
                                    <w:rPr>
                                      <w:rFonts w:ascii="標楷體" w:eastAsia="標楷體" w:hAnsi="標楷體"/>
                                      <w:bCs/>
                                      <w:sz w:val="20"/>
                                    </w:rPr>
                                  </w:pPr>
                                </w:p>
                              </w:tc>
                              <w:tc>
                                <w:tcPr>
                                  <w:tcW w:w="638" w:type="dxa"/>
                                  <w:noWrap/>
                                  <w:vAlign w:val="center"/>
                                </w:tcPr>
                                <w:p w14:paraId="72138325" w14:textId="77777777" w:rsidR="00CE57F9" w:rsidRPr="00B73509" w:rsidRDefault="00CE57F9" w:rsidP="00F72E6D">
                                  <w:pPr>
                                    <w:overflowPunct w:val="0"/>
                                    <w:spacing w:line="220" w:lineRule="exact"/>
                                    <w:ind w:leftChars="-44" w:left="-106" w:rightChars="-45" w:right="-108"/>
                                    <w:suppressOverlap/>
                                    <w:jc w:val="center"/>
                                    <w:rPr>
                                      <w:rFonts w:ascii="標楷體" w:eastAsia="標楷體" w:hAnsi="標楷體"/>
                                      <w:bCs/>
                                      <w:sz w:val="20"/>
                                    </w:rPr>
                                  </w:pPr>
                                  <w:r w:rsidRPr="00B73509">
                                    <w:rPr>
                                      <w:rFonts w:ascii="標楷體" w:eastAsia="標楷體" w:hAnsi="標楷體" w:hint="eastAsia"/>
                                      <w:bCs/>
                                      <w:sz w:val="20"/>
                                    </w:rPr>
                                    <w:t>項數</w:t>
                                  </w:r>
                                </w:p>
                              </w:tc>
                              <w:tc>
                                <w:tcPr>
                                  <w:tcW w:w="883" w:type="dxa"/>
                                  <w:vAlign w:val="center"/>
                                </w:tcPr>
                                <w:p w14:paraId="719B232A" w14:textId="77777777" w:rsidR="00CE57F9" w:rsidRPr="00B73509" w:rsidRDefault="00CE57F9" w:rsidP="00F72E6D">
                                  <w:pPr>
                                    <w:spacing w:line="220" w:lineRule="exact"/>
                                    <w:suppressOverlap/>
                                    <w:jc w:val="center"/>
                                    <w:rPr>
                                      <w:rFonts w:ascii="標楷體" w:eastAsia="標楷體" w:hAnsi="標楷體"/>
                                      <w:sz w:val="20"/>
                                    </w:rPr>
                                  </w:pPr>
                                  <w:r w:rsidRPr="00B73509">
                                    <w:rPr>
                                      <w:rFonts w:ascii="標楷體" w:eastAsia="標楷體" w:hAnsi="標楷體" w:hint="eastAsia"/>
                                      <w:sz w:val="20"/>
                                    </w:rPr>
                                    <w:t>檢視率</w:t>
                                  </w:r>
                                </w:p>
                              </w:tc>
                              <w:tc>
                                <w:tcPr>
                                  <w:tcW w:w="708" w:type="dxa"/>
                                  <w:vMerge/>
                                  <w:vAlign w:val="center"/>
                                </w:tcPr>
                                <w:p w14:paraId="67A104DB" w14:textId="77777777" w:rsidR="00CE57F9" w:rsidRPr="00B73509" w:rsidRDefault="00CE57F9" w:rsidP="00F72E6D">
                                  <w:pPr>
                                    <w:spacing w:line="220" w:lineRule="exact"/>
                                    <w:suppressOverlap/>
                                    <w:jc w:val="center"/>
                                    <w:rPr>
                                      <w:rFonts w:ascii="標楷體" w:eastAsia="標楷體" w:hAnsi="標楷體"/>
                                      <w:sz w:val="20"/>
                                    </w:rPr>
                                  </w:pPr>
                                </w:p>
                              </w:tc>
                              <w:tc>
                                <w:tcPr>
                                  <w:tcW w:w="749" w:type="dxa"/>
                                  <w:vMerge/>
                                  <w:vAlign w:val="center"/>
                                </w:tcPr>
                                <w:p w14:paraId="2744367A" w14:textId="77777777" w:rsidR="00CE57F9" w:rsidRPr="00B73509" w:rsidRDefault="00CE57F9" w:rsidP="00F72E6D">
                                  <w:pPr>
                                    <w:spacing w:line="220" w:lineRule="exact"/>
                                    <w:suppressOverlap/>
                                    <w:jc w:val="center"/>
                                    <w:rPr>
                                      <w:rFonts w:ascii="標楷體" w:eastAsia="標楷體" w:hAnsi="標楷體"/>
                                      <w:sz w:val="20"/>
                                    </w:rPr>
                                  </w:pPr>
                                </w:p>
                              </w:tc>
                              <w:tc>
                                <w:tcPr>
                                  <w:tcW w:w="816" w:type="dxa"/>
                                  <w:vMerge/>
                                  <w:vAlign w:val="center"/>
                                </w:tcPr>
                                <w:p w14:paraId="7EEAB5E4" w14:textId="77777777" w:rsidR="00CE57F9" w:rsidRPr="00B73509" w:rsidRDefault="00CE57F9" w:rsidP="00F72E6D">
                                  <w:pPr>
                                    <w:spacing w:line="220" w:lineRule="exact"/>
                                    <w:suppressOverlap/>
                                    <w:jc w:val="center"/>
                                    <w:rPr>
                                      <w:rFonts w:ascii="標楷體" w:eastAsia="標楷體" w:hAnsi="標楷體"/>
                                      <w:sz w:val="20"/>
                                    </w:rPr>
                                  </w:pPr>
                                </w:p>
                              </w:tc>
                            </w:tr>
                            <w:tr w:rsidR="00CE57F9" w:rsidRPr="008076C0" w14:paraId="24C8C090" w14:textId="77777777" w:rsidTr="00F72E6D">
                              <w:trPr>
                                <w:trHeight w:val="283"/>
                              </w:trPr>
                              <w:tc>
                                <w:tcPr>
                                  <w:tcW w:w="1843" w:type="dxa"/>
                                  <w:noWrap/>
                                  <w:vAlign w:val="center"/>
                                  <w:hideMark/>
                                </w:tcPr>
                                <w:p w14:paraId="73EC071E" w14:textId="77777777" w:rsidR="00CE57F9" w:rsidRPr="00B73509" w:rsidRDefault="00CE57F9" w:rsidP="00F72E6D">
                                  <w:pPr>
                                    <w:overflowPunct w:val="0"/>
                                    <w:spacing w:line="220" w:lineRule="exact"/>
                                    <w:suppressOverlap/>
                                    <w:jc w:val="center"/>
                                    <w:rPr>
                                      <w:rFonts w:ascii="標楷體" w:eastAsia="標楷體" w:hAnsi="標楷體"/>
                                      <w:b/>
                                      <w:sz w:val="20"/>
                                    </w:rPr>
                                  </w:pPr>
                                  <w:r w:rsidRPr="00B73509">
                                    <w:rPr>
                                      <w:rFonts w:ascii="標楷體" w:eastAsia="標楷體" w:hAnsi="標楷體" w:hint="eastAsia"/>
                                      <w:b/>
                                      <w:sz w:val="20"/>
                                    </w:rPr>
                                    <w:t>合計</w:t>
                                  </w:r>
                                </w:p>
                              </w:tc>
                              <w:tc>
                                <w:tcPr>
                                  <w:tcW w:w="935" w:type="dxa"/>
                                  <w:noWrap/>
                                  <w:vAlign w:val="center"/>
                                  <w:hideMark/>
                                </w:tcPr>
                                <w:p w14:paraId="40D9F87E"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336</w:t>
                                  </w:r>
                                </w:p>
                              </w:tc>
                              <w:tc>
                                <w:tcPr>
                                  <w:tcW w:w="638" w:type="dxa"/>
                                  <w:noWrap/>
                                  <w:vAlign w:val="center"/>
                                  <w:hideMark/>
                                </w:tcPr>
                                <w:p w14:paraId="051ED783"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71</w:t>
                                  </w:r>
                                </w:p>
                              </w:tc>
                              <w:tc>
                                <w:tcPr>
                                  <w:tcW w:w="883" w:type="dxa"/>
                                  <w:vAlign w:val="center"/>
                                </w:tcPr>
                                <w:p w14:paraId="0B3E78FC"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21.13</w:t>
                                  </w:r>
                                </w:p>
                              </w:tc>
                              <w:tc>
                                <w:tcPr>
                                  <w:tcW w:w="708" w:type="dxa"/>
                                  <w:vAlign w:val="center"/>
                                </w:tcPr>
                                <w:p w14:paraId="76B41E74"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59</w:t>
                                  </w:r>
                                </w:p>
                              </w:tc>
                              <w:tc>
                                <w:tcPr>
                                  <w:tcW w:w="749" w:type="dxa"/>
                                  <w:vAlign w:val="center"/>
                                </w:tcPr>
                                <w:p w14:paraId="77015035"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11</w:t>
                                  </w:r>
                                </w:p>
                              </w:tc>
                              <w:tc>
                                <w:tcPr>
                                  <w:tcW w:w="816" w:type="dxa"/>
                                  <w:vAlign w:val="center"/>
                                </w:tcPr>
                                <w:p w14:paraId="086EFC11"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1</w:t>
                                  </w:r>
                                </w:p>
                              </w:tc>
                            </w:tr>
                            <w:tr w:rsidR="00CE57F9" w:rsidRPr="008076C0" w14:paraId="6C81E65F" w14:textId="77777777" w:rsidTr="00F72E6D">
                              <w:trPr>
                                <w:trHeight w:val="283"/>
                              </w:trPr>
                              <w:tc>
                                <w:tcPr>
                                  <w:tcW w:w="1843" w:type="dxa"/>
                                  <w:noWrap/>
                                  <w:vAlign w:val="center"/>
                                  <w:hideMark/>
                                </w:tcPr>
                                <w:p w14:paraId="44902A7B"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1.消除貧窮</w:t>
                                  </w:r>
                                </w:p>
                              </w:tc>
                              <w:tc>
                                <w:tcPr>
                                  <w:tcW w:w="935" w:type="dxa"/>
                                  <w:noWrap/>
                                  <w:vAlign w:val="center"/>
                                  <w:hideMark/>
                                </w:tcPr>
                                <w:p w14:paraId="69BA862D"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25</w:t>
                                  </w:r>
                                </w:p>
                              </w:tc>
                              <w:tc>
                                <w:tcPr>
                                  <w:tcW w:w="638" w:type="dxa"/>
                                  <w:noWrap/>
                                  <w:vAlign w:val="center"/>
                                  <w:hideMark/>
                                </w:tcPr>
                                <w:p w14:paraId="33BA4FDA"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w:t>
                                  </w:r>
                                </w:p>
                              </w:tc>
                              <w:tc>
                                <w:tcPr>
                                  <w:tcW w:w="883" w:type="dxa"/>
                                  <w:vAlign w:val="center"/>
                                </w:tcPr>
                                <w:p w14:paraId="0D96406E"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8.00</w:t>
                                  </w:r>
                                </w:p>
                              </w:tc>
                              <w:tc>
                                <w:tcPr>
                                  <w:tcW w:w="708" w:type="dxa"/>
                                  <w:vAlign w:val="center"/>
                                </w:tcPr>
                                <w:p w14:paraId="58327475"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749" w:type="dxa"/>
                                  <w:vAlign w:val="center"/>
                                </w:tcPr>
                                <w:p w14:paraId="22AA84B2"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816" w:type="dxa"/>
                                  <w:vAlign w:val="center"/>
                                </w:tcPr>
                                <w:p w14:paraId="02B1727D"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54E7765E" w14:textId="77777777" w:rsidTr="00F72E6D">
                              <w:trPr>
                                <w:trHeight w:val="283"/>
                              </w:trPr>
                              <w:tc>
                                <w:tcPr>
                                  <w:tcW w:w="1843" w:type="dxa"/>
                                  <w:noWrap/>
                                  <w:vAlign w:val="center"/>
                                  <w:hideMark/>
                                </w:tcPr>
                                <w:p w14:paraId="4E6FB6DC"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2.消除飢餓</w:t>
                                  </w:r>
                                </w:p>
                              </w:tc>
                              <w:tc>
                                <w:tcPr>
                                  <w:tcW w:w="935" w:type="dxa"/>
                                  <w:noWrap/>
                                  <w:vAlign w:val="center"/>
                                  <w:hideMark/>
                                </w:tcPr>
                                <w:p w14:paraId="2EC6F981"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24</w:t>
                                  </w:r>
                                </w:p>
                              </w:tc>
                              <w:tc>
                                <w:tcPr>
                                  <w:tcW w:w="638" w:type="dxa"/>
                                  <w:noWrap/>
                                  <w:vAlign w:val="center"/>
                                  <w:hideMark/>
                                </w:tcPr>
                                <w:p w14:paraId="225E8CB4"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3</w:t>
                                  </w:r>
                                </w:p>
                              </w:tc>
                              <w:tc>
                                <w:tcPr>
                                  <w:tcW w:w="883" w:type="dxa"/>
                                  <w:vAlign w:val="center"/>
                                </w:tcPr>
                                <w:p w14:paraId="204889C5"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12.50</w:t>
                                  </w:r>
                                </w:p>
                              </w:tc>
                              <w:tc>
                                <w:tcPr>
                                  <w:tcW w:w="708" w:type="dxa"/>
                                  <w:vAlign w:val="center"/>
                                </w:tcPr>
                                <w:p w14:paraId="19D9FCC5"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3</w:t>
                                  </w:r>
                                </w:p>
                              </w:tc>
                              <w:tc>
                                <w:tcPr>
                                  <w:tcW w:w="749" w:type="dxa"/>
                                  <w:vAlign w:val="center"/>
                                </w:tcPr>
                                <w:p w14:paraId="5AC2DFDD"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c>
                                <w:tcPr>
                                  <w:tcW w:w="816" w:type="dxa"/>
                                  <w:vAlign w:val="center"/>
                                </w:tcPr>
                                <w:p w14:paraId="01131A60"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22934712" w14:textId="77777777" w:rsidTr="00F72E6D">
                              <w:trPr>
                                <w:trHeight w:val="283"/>
                              </w:trPr>
                              <w:tc>
                                <w:tcPr>
                                  <w:tcW w:w="1843" w:type="dxa"/>
                                  <w:noWrap/>
                                  <w:vAlign w:val="center"/>
                                  <w:hideMark/>
                                </w:tcPr>
                                <w:p w14:paraId="4EB4D568"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3.健康福祉</w:t>
                                  </w:r>
                                </w:p>
                              </w:tc>
                              <w:tc>
                                <w:tcPr>
                                  <w:tcW w:w="935" w:type="dxa"/>
                                  <w:noWrap/>
                                  <w:vAlign w:val="center"/>
                                  <w:hideMark/>
                                </w:tcPr>
                                <w:p w14:paraId="0A6BD33F"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39</w:t>
                                  </w:r>
                                </w:p>
                              </w:tc>
                              <w:tc>
                                <w:tcPr>
                                  <w:tcW w:w="638" w:type="dxa"/>
                                  <w:noWrap/>
                                  <w:vAlign w:val="center"/>
                                  <w:hideMark/>
                                </w:tcPr>
                                <w:p w14:paraId="6593D0E8"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8</w:t>
                                  </w:r>
                                </w:p>
                              </w:tc>
                              <w:tc>
                                <w:tcPr>
                                  <w:tcW w:w="883" w:type="dxa"/>
                                  <w:vAlign w:val="center"/>
                                </w:tcPr>
                                <w:p w14:paraId="72C236E2"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20.51</w:t>
                                  </w:r>
                                </w:p>
                              </w:tc>
                              <w:tc>
                                <w:tcPr>
                                  <w:tcW w:w="708" w:type="dxa"/>
                                  <w:vAlign w:val="center"/>
                                </w:tcPr>
                                <w:p w14:paraId="1FC07DCE"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6</w:t>
                                  </w:r>
                                </w:p>
                              </w:tc>
                              <w:tc>
                                <w:tcPr>
                                  <w:tcW w:w="749" w:type="dxa"/>
                                  <w:vAlign w:val="center"/>
                                </w:tcPr>
                                <w:p w14:paraId="36A70B7F"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2</w:t>
                                  </w:r>
                                </w:p>
                              </w:tc>
                              <w:tc>
                                <w:tcPr>
                                  <w:tcW w:w="816" w:type="dxa"/>
                                  <w:vAlign w:val="center"/>
                                </w:tcPr>
                                <w:p w14:paraId="4170E1CD"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428067FA" w14:textId="77777777" w:rsidTr="00F72E6D">
                              <w:trPr>
                                <w:trHeight w:val="283"/>
                              </w:trPr>
                              <w:tc>
                                <w:tcPr>
                                  <w:tcW w:w="1843" w:type="dxa"/>
                                  <w:noWrap/>
                                  <w:vAlign w:val="center"/>
                                  <w:hideMark/>
                                </w:tcPr>
                                <w:p w14:paraId="071A4FF7"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4.教育品質</w:t>
                                  </w:r>
                                </w:p>
                              </w:tc>
                              <w:tc>
                                <w:tcPr>
                                  <w:tcW w:w="935" w:type="dxa"/>
                                  <w:noWrap/>
                                  <w:vAlign w:val="center"/>
                                  <w:hideMark/>
                                </w:tcPr>
                                <w:p w14:paraId="177A62B7"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30</w:t>
                                  </w:r>
                                </w:p>
                              </w:tc>
                              <w:tc>
                                <w:tcPr>
                                  <w:tcW w:w="638" w:type="dxa"/>
                                  <w:noWrap/>
                                  <w:vAlign w:val="center"/>
                                  <w:hideMark/>
                                </w:tcPr>
                                <w:p w14:paraId="4D29D1DC"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6</w:t>
                                  </w:r>
                                </w:p>
                              </w:tc>
                              <w:tc>
                                <w:tcPr>
                                  <w:tcW w:w="883" w:type="dxa"/>
                                  <w:vAlign w:val="center"/>
                                </w:tcPr>
                                <w:p w14:paraId="5864B46B"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20.00</w:t>
                                  </w:r>
                                </w:p>
                              </w:tc>
                              <w:tc>
                                <w:tcPr>
                                  <w:tcW w:w="708" w:type="dxa"/>
                                  <w:vAlign w:val="center"/>
                                </w:tcPr>
                                <w:p w14:paraId="2A6A625C"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5</w:t>
                                  </w:r>
                                </w:p>
                              </w:tc>
                              <w:tc>
                                <w:tcPr>
                                  <w:tcW w:w="749" w:type="dxa"/>
                                  <w:vAlign w:val="center"/>
                                </w:tcPr>
                                <w:p w14:paraId="4E4C3611"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c>
                                <w:tcPr>
                                  <w:tcW w:w="816" w:type="dxa"/>
                                  <w:vAlign w:val="center"/>
                                </w:tcPr>
                                <w:p w14:paraId="5CC3116D"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r>
                            <w:tr w:rsidR="00CE57F9" w:rsidRPr="008076C0" w14:paraId="6995A3BA" w14:textId="77777777" w:rsidTr="00F72E6D">
                              <w:trPr>
                                <w:trHeight w:val="283"/>
                              </w:trPr>
                              <w:tc>
                                <w:tcPr>
                                  <w:tcW w:w="1843" w:type="dxa"/>
                                  <w:noWrap/>
                                  <w:vAlign w:val="center"/>
                                  <w:hideMark/>
                                </w:tcPr>
                                <w:p w14:paraId="5321B271"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5.性別平等</w:t>
                                  </w:r>
                                </w:p>
                              </w:tc>
                              <w:tc>
                                <w:tcPr>
                                  <w:tcW w:w="935" w:type="dxa"/>
                                  <w:noWrap/>
                                  <w:vAlign w:val="center"/>
                                  <w:hideMark/>
                                </w:tcPr>
                                <w:p w14:paraId="4EC783F9"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13</w:t>
                                  </w:r>
                                </w:p>
                              </w:tc>
                              <w:tc>
                                <w:tcPr>
                                  <w:tcW w:w="638" w:type="dxa"/>
                                  <w:noWrap/>
                                  <w:vAlign w:val="center"/>
                                  <w:hideMark/>
                                </w:tcPr>
                                <w:p w14:paraId="571EC903"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3</w:t>
                                  </w:r>
                                </w:p>
                              </w:tc>
                              <w:tc>
                                <w:tcPr>
                                  <w:tcW w:w="883" w:type="dxa"/>
                                  <w:vAlign w:val="center"/>
                                </w:tcPr>
                                <w:p w14:paraId="531264F6"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23.08</w:t>
                                  </w:r>
                                </w:p>
                              </w:tc>
                              <w:tc>
                                <w:tcPr>
                                  <w:tcW w:w="708" w:type="dxa"/>
                                  <w:vAlign w:val="center"/>
                                </w:tcPr>
                                <w:p w14:paraId="03B8084A"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2</w:t>
                                  </w:r>
                                </w:p>
                              </w:tc>
                              <w:tc>
                                <w:tcPr>
                                  <w:tcW w:w="749" w:type="dxa"/>
                                  <w:vAlign w:val="center"/>
                                </w:tcPr>
                                <w:p w14:paraId="4622A6F8"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816" w:type="dxa"/>
                                  <w:vAlign w:val="center"/>
                                </w:tcPr>
                                <w:p w14:paraId="3A6C58C0"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68D31BE3" w14:textId="77777777" w:rsidTr="00F72E6D">
                              <w:trPr>
                                <w:trHeight w:val="283"/>
                              </w:trPr>
                              <w:tc>
                                <w:tcPr>
                                  <w:tcW w:w="1843" w:type="dxa"/>
                                  <w:noWrap/>
                                  <w:vAlign w:val="center"/>
                                  <w:hideMark/>
                                </w:tcPr>
                                <w:p w14:paraId="2CB6F894"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6.環境品質</w:t>
                                  </w:r>
                                </w:p>
                              </w:tc>
                              <w:tc>
                                <w:tcPr>
                                  <w:tcW w:w="935" w:type="dxa"/>
                                  <w:noWrap/>
                                  <w:vAlign w:val="center"/>
                                  <w:hideMark/>
                                </w:tcPr>
                                <w:p w14:paraId="026B0FB9"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29</w:t>
                                  </w:r>
                                </w:p>
                              </w:tc>
                              <w:tc>
                                <w:tcPr>
                                  <w:tcW w:w="638" w:type="dxa"/>
                                  <w:noWrap/>
                                  <w:vAlign w:val="center"/>
                                  <w:hideMark/>
                                </w:tcPr>
                                <w:p w14:paraId="6046EA65"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5</w:t>
                                  </w:r>
                                </w:p>
                              </w:tc>
                              <w:tc>
                                <w:tcPr>
                                  <w:tcW w:w="883" w:type="dxa"/>
                                  <w:vAlign w:val="center"/>
                                </w:tcPr>
                                <w:p w14:paraId="1B9B1BC2"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17.24</w:t>
                                  </w:r>
                                </w:p>
                              </w:tc>
                              <w:tc>
                                <w:tcPr>
                                  <w:tcW w:w="708" w:type="dxa"/>
                                  <w:vAlign w:val="center"/>
                                </w:tcPr>
                                <w:p w14:paraId="28849DA5"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5</w:t>
                                  </w:r>
                                </w:p>
                              </w:tc>
                              <w:tc>
                                <w:tcPr>
                                  <w:tcW w:w="749" w:type="dxa"/>
                                  <w:vAlign w:val="center"/>
                                </w:tcPr>
                                <w:p w14:paraId="02A09751"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c>
                                <w:tcPr>
                                  <w:tcW w:w="816" w:type="dxa"/>
                                  <w:vAlign w:val="center"/>
                                </w:tcPr>
                                <w:p w14:paraId="65D99FC4"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4A3D6ED0" w14:textId="77777777" w:rsidTr="00F72E6D">
                              <w:trPr>
                                <w:trHeight w:val="283"/>
                              </w:trPr>
                              <w:tc>
                                <w:tcPr>
                                  <w:tcW w:w="1843" w:type="dxa"/>
                                  <w:noWrap/>
                                  <w:vAlign w:val="center"/>
                                  <w:hideMark/>
                                </w:tcPr>
                                <w:p w14:paraId="05E1C3B6"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7.可負擔能源</w:t>
                                  </w:r>
                                </w:p>
                              </w:tc>
                              <w:tc>
                                <w:tcPr>
                                  <w:tcW w:w="935" w:type="dxa"/>
                                  <w:noWrap/>
                                  <w:vAlign w:val="center"/>
                                  <w:hideMark/>
                                </w:tcPr>
                                <w:p w14:paraId="411DD457"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5</w:t>
                                  </w:r>
                                </w:p>
                              </w:tc>
                              <w:tc>
                                <w:tcPr>
                                  <w:tcW w:w="638" w:type="dxa"/>
                                  <w:noWrap/>
                                  <w:vAlign w:val="center"/>
                                  <w:hideMark/>
                                </w:tcPr>
                                <w:p w14:paraId="3067E26D"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3</w:t>
                                  </w:r>
                                </w:p>
                              </w:tc>
                              <w:tc>
                                <w:tcPr>
                                  <w:tcW w:w="883" w:type="dxa"/>
                                  <w:vAlign w:val="center"/>
                                </w:tcPr>
                                <w:p w14:paraId="1C663AC1"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60.00</w:t>
                                  </w:r>
                                </w:p>
                              </w:tc>
                              <w:tc>
                                <w:tcPr>
                                  <w:tcW w:w="708" w:type="dxa"/>
                                  <w:vAlign w:val="center"/>
                                </w:tcPr>
                                <w:p w14:paraId="18E8B8B6"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2</w:t>
                                  </w:r>
                                </w:p>
                              </w:tc>
                              <w:tc>
                                <w:tcPr>
                                  <w:tcW w:w="749" w:type="dxa"/>
                                  <w:vAlign w:val="center"/>
                                </w:tcPr>
                                <w:p w14:paraId="3302D33E"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816" w:type="dxa"/>
                                  <w:vAlign w:val="center"/>
                                </w:tcPr>
                                <w:p w14:paraId="0E6EC30C"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71BA4042" w14:textId="77777777" w:rsidTr="00F72E6D">
                              <w:trPr>
                                <w:trHeight w:val="283"/>
                              </w:trPr>
                              <w:tc>
                                <w:tcPr>
                                  <w:tcW w:w="1843" w:type="dxa"/>
                                  <w:noWrap/>
                                  <w:vAlign w:val="center"/>
                                  <w:hideMark/>
                                </w:tcPr>
                                <w:p w14:paraId="31D0F808" w14:textId="77777777" w:rsidR="00CE57F9" w:rsidRPr="00B73509" w:rsidRDefault="00CE57F9" w:rsidP="00F72E6D">
                                  <w:pPr>
                                    <w:overflowPunct w:val="0"/>
                                    <w:spacing w:line="220" w:lineRule="exact"/>
                                    <w:ind w:rightChars="-62" w:right="-149"/>
                                    <w:suppressOverlap/>
                                    <w:jc w:val="both"/>
                                    <w:rPr>
                                      <w:rFonts w:ascii="標楷體" w:eastAsia="標楷體" w:hAnsi="標楷體"/>
                                      <w:sz w:val="20"/>
                                    </w:rPr>
                                  </w:pPr>
                                  <w:r w:rsidRPr="00B73509">
                                    <w:rPr>
                                      <w:rFonts w:ascii="標楷體" w:eastAsia="標楷體" w:hAnsi="標楷體" w:hint="eastAsia"/>
                                      <w:sz w:val="20"/>
                                    </w:rPr>
                                    <w:t>8.就業與經濟成長</w:t>
                                  </w:r>
                                </w:p>
                              </w:tc>
                              <w:tc>
                                <w:tcPr>
                                  <w:tcW w:w="935" w:type="dxa"/>
                                  <w:noWrap/>
                                  <w:vAlign w:val="center"/>
                                  <w:hideMark/>
                                </w:tcPr>
                                <w:p w14:paraId="38C815E9"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34</w:t>
                                  </w:r>
                                </w:p>
                              </w:tc>
                              <w:tc>
                                <w:tcPr>
                                  <w:tcW w:w="638" w:type="dxa"/>
                                  <w:noWrap/>
                                  <w:vAlign w:val="center"/>
                                  <w:hideMark/>
                                </w:tcPr>
                                <w:p w14:paraId="6EFD5EAA"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6</w:t>
                                  </w:r>
                                </w:p>
                              </w:tc>
                              <w:tc>
                                <w:tcPr>
                                  <w:tcW w:w="883" w:type="dxa"/>
                                  <w:vAlign w:val="center"/>
                                </w:tcPr>
                                <w:p w14:paraId="0925837E"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17.65</w:t>
                                  </w:r>
                                </w:p>
                              </w:tc>
                              <w:tc>
                                <w:tcPr>
                                  <w:tcW w:w="708" w:type="dxa"/>
                                  <w:vAlign w:val="center"/>
                                </w:tcPr>
                                <w:p w14:paraId="7F322341"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5</w:t>
                                  </w:r>
                                </w:p>
                              </w:tc>
                              <w:tc>
                                <w:tcPr>
                                  <w:tcW w:w="749" w:type="dxa"/>
                                  <w:vAlign w:val="center"/>
                                </w:tcPr>
                                <w:p w14:paraId="417F7471"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816" w:type="dxa"/>
                                  <w:vAlign w:val="center"/>
                                </w:tcPr>
                                <w:p w14:paraId="51A2E865"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543FE749" w14:textId="77777777" w:rsidTr="00F72E6D">
                              <w:trPr>
                                <w:trHeight w:val="283"/>
                              </w:trPr>
                              <w:tc>
                                <w:tcPr>
                                  <w:tcW w:w="1843" w:type="dxa"/>
                                  <w:noWrap/>
                                  <w:vAlign w:val="center"/>
                                  <w:hideMark/>
                                </w:tcPr>
                                <w:p w14:paraId="11400E74"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9.永續運輸</w:t>
                                  </w:r>
                                </w:p>
                              </w:tc>
                              <w:tc>
                                <w:tcPr>
                                  <w:tcW w:w="935" w:type="dxa"/>
                                  <w:noWrap/>
                                  <w:vAlign w:val="center"/>
                                  <w:hideMark/>
                                </w:tcPr>
                                <w:p w14:paraId="61772FF6"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10</w:t>
                                  </w:r>
                                </w:p>
                              </w:tc>
                              <w:tc>
                                <w:tcPr>
                                  <w:tcW w:w="638" w:type="dxa"/>
                                  <w:noWrap/>
                                  <w:vAlign w:val="center"/>
                                  <w:hideMark/>
                                </w:tcPr>
                                <w:p w14:paraId="3477D692"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w:t>
                                  </w:r>
                                </w:p>
                              </w:tc>
                              <w:tc>
                                <w:tcPr>
                                  <w:tcW w:w="883" w:type="dxa"/>
                                  <w:vAlign w:val="center"/>
                                </w:tcPr>
                                <w:p w14:paraId="746F6F96"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20.00</w:t>
                                  </w:r>
                                </w:p>
                              </w:tc>
                              <w:tc>
                                <w:tcPr>
                                  <w:tcW w:w="708" w:type="dxa"/>
                                  <w:vAlign w:val="center"/>
                                </w:tcPr>
                                <w:p w14:paraId="7218B172"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749" w:type="dxa"/>
                                  <w:vAlign w:val="center"/>
                                </w:tcPr>
                                <w:p w14:paraId="385C483E"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816" w:type="dxa"/>
                                  <w:vAlign w:val="center"/>
                                </w:tcPr>
                                <w:p w14:paraId="474C46AB"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27A61E64" w14:textId="77777777" w:rsidTr="00F72E6D">
                              <w:trPr>
                                <w:trHeight w:val="283"/>
                              </w:trPr>
                              <w:tc>
                                <w:tcPr>
                                  <w:tcW w:w="1843" w:type="dxa"/>
                                  <w:noWrap/>
                                  <w:vAlign w:val="center"/>
                                  <w:hideMark/>
                                </w:tcPr>
                                <w:p w14:paraId="3298BB34"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10.減少不平等</w:t>
                                  </w:r>
                                </w:p>
                              </w:tc>
                              <w:tc>
                                <w:tcPr>
                                  <w:tcW w:w="935" w:type="dxa"/>
                                  <w:noWrap/>
                                  <w:vAlign w:val="center"/>
                                  <w:hideMark/>
                                </w:tcPr>
                                <w:p w14:paraId="28529202"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15</w:t>
                                  </w:r>
                                </w:p>
                              </w:tc>
                              <w:tc>
                                <w:tcPr>
                                  <w:tcW w:w="638" w:type="dxa"/>
                                  <w:noWrap/>
                                  <w:vAlign w:val="center"/>
                                  <w:hideMark/>
                                </w:tcPr>
                                <w:p w14:paraId="02B82196"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3</w:t>
                                  </w:r>
                                </w:p>
                              </w:tc>
                              <w:tc>
                                <w:tcPr>
                                  <w:tcW w:w="883" w:type="dxa"/>
                                  <w:vAlign w:val="center"/>
                                </w:tcPr>
                                <w:p w14:paraId="6CED1636"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20.00</w:t>
                                  </w:r>
                                </w:p>
                              </w:tc>
                              <w:tc>
                                <w:tcPr>
                                  <w:tcW w:w="708" w:type="dxa"/>
                                  <w:vAlign w:val="center"/>
                                </w:tcPr>
                                <w:p w14:paraId="5E7A0197"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2</w:t>
                                  </w:r>
                                </w:p>
                              </w:tc>
                              <w:tc>
                                <w:tcPr>
                                  <w:tcW w:w="749" w:type="dxa"/>
                                  <w:vAlign w:val="center"/>
                                </w:tcPr>
                                <w:p w14:paraId="099BE4E3"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816" w:type="dxa"/>
                                  <w:vAlign w:val="center"/>
                                </w:tcPr>
                                <w:p w14:paraId="3CA88293"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7E49E9EC" w14:textId="77777777" w:rsidTr="00F72E6D">
                              <w:trPr>
                                <w:trHeight w:val="283"/>
                              </w:trPr>
                              <w:tc>
                                <w:tcPr>
                                  <w:tcW w:w="1843" w:type="dxa"/>
                                  <w:noWrap/>
                                  <w:vAlign w:val="center"/>
                                  <w:hideMark/>
                                </w:tcPr>
                                <w:p w14:paraId="2AE8A5C4"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11.永續城市</w:t>
                                  </w:r>
                                </w:p>
                              </w:tc>
                              <w:tc>
                                <w:tcPr>
                                  <w:tcW w:w="935" w:type="dxa"/>
                                  <w:noWrap/>
                                  <w:vAlign w:val="center"/>
                                  <w:hideMark/>
                                </w:tcPr>
                                <w:p w14:paraId="3A2C15F6"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28</w:t>
                                  </w:r>
                                </w:p>
                              </w:tc>
                              <w:tc>
                                <w:tcPr>
                                  <w:tcW w:w="638" w:type="dxa"/>
                                  <w:noWrap/>
                                  <w:vAlign w:val="center"/>
                                  <w:hideMark/>
                                </w:tcPr>
                                <w:p w14:paraId="48535C54"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7</w:t>
                                  </w:r>
                                </w:p>
                              </w:tc>
                              <w:tc>
                                <w:tcPr>
                                  <w:tcW w:w="883" w:type="dxa"/>
                                  <w:vAlign w:val="center"/>
                                </w:tcPr>
                                <w:p w14:paraId="4109D3D0"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25.00</w:t>
                                  </w:r>
                                </w:p>
                              </w:tc>
                              <w:tc>
                                <w:tcPr>
                                  <w:tcW w:w="708" w:type="dxa"/>
                                  <w:vAlign w:val="center"/>
                                </w:tcPr>
                                <w:p w14:paraId="310FAF7A"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7</w:t>
                                  </w:r>
                                </w:p>
                              </w:tc>
                              <w:tc>
                                <w:tcPr>
                                  <w:tcW w:w="749" w:type="dxa"/>
                                  <w:vAlign w:val="center"/>
                                </w:tcPr>
                                <w:p w14:paraId="41CB97CA"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c>
                                <w:tcPr>
                                  <w:tcW w:w="816" w:type="dxa"/>
                                  <w:vAlign w:val="center"/>
                                </w:tcPr>
                                <w:p w14:paraId="3A8AEA43"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458AE60B" w14:textId="77777777" w:rsidTr="00F72E6D">
                              <w:trPr>
                                <w:trHeight w:val="283"/>
                              </w:trPr>
                              <w:tc>
                                <w:tcPr>
                                  <w:tcW w:w="1843" w:type="dxa"/>
                                  <w:noWrap/>
                                  <w:vAlign w:val="center"/>
                                  <w:hideMark/>
                                </w:tcPr>
                                <w:p w14:paraId="749FFDEA" w14:textId="77777777" w:rsidR="00CE57F9" w:rsidRPr="00B73509" w:rsidRDefault="00CE57F9" w:rsidP="00F72E6D">
                                  <w:pPr>
                                    <w:overflowPunct w:val="0"/>
                                    <w:spacing w:line="220" w:lineRule="exact"/>
                                    <w:ind w:rightChars="-62" w:right="-149"/>
                                    <w:suppressOverlap/>
                                    <w:jc w:val="both"/>
                                    <w:rPr>
                                      <w:rFonts w:ascii="標楷體" w:eastAsia="標楷體" w:hAnsi="標楷體"/>
                                      <w:sz w:val="20"/>
                                    </w:rPr>
                                  </w:pPr>
                                  <w:r w:rsidRPr="00B73509">
                                    <w:rPr>
                                      <w:rFonts w:ascii="標楷體" w:eastAsia="標楷體" w:hAnsi="標楷體" w:hint="eastAsia"/>
                                      <w:sz w:val="20"/>
                                    </w:rPr>
                                    <w:t>12.責任生產及消費</w:t>
                                  </w:r>
                                </w:p>
                              </w:tc>
                              <w:tc>
                                <w:tcPr>
                                  <w:tcW w:w="935" w:type="dxa"/>
                                  <w:noWrap/>
                                  <w:vAlign w:val="center"/>
                                  <w:hideMark/>
                                </w:tcPr>
                                <w:p w14:paraId="38DCEB86"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29</w:t>
                                  </w:r>
                                </w:p>
                              </w:tc>
                              <w:tc>
                                <w:tcPr>
                                  <w:tcW w:w="638" w:type="dxa"/>
                                  <w:noWrap/>
                                  <w:vAlign w:val="center"/>
                                  <w:hideMark/>
                                </w:tcPr>
                                <w:p w14:paraId="0E4454B7"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6</w:t>
                                  </w:r>
                                </w:p>
                              </w:tc>
                              <w:tc>
                                <w:tcPr>
                                  <w:tcW w:w="883" w:type="dxa"/>
                                  <w:vAlign w:val="center"/>
                                </w:tcPr>
                                <w:p w14:paraId="6E72AC92"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20.69</w:t>
                                  </w:r>
                                </w:p>
                              </w:tc>
                              <w:tc>
                                <w:tcPr>
                                  <w:tcW w:w="708" w:type="dxa"/>
                                  <w:vAlign w:val="center"/>
                                </w:tcPr>
                                <w:p w14:paraId="405350CE"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6</w:t>
                                  </w:r>
                                </w:p>
                              </w:tc>
                              <w:tc>
                                <w:tcPr>
                                  <w:tcW w:w="749" w:type="dxa"/>
                                  <w:vAlign w:val="center"/>
                                </w:tcPr>
                                <w:p w14:paraId="574FBABD"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c>
                                <w:tcPr>
                                  <w:tcW w:w="816" w:type="dxa"/>
                                  <w:vAlign w:val="center"/>
                                </w:tcPr>
                                <w:p w14:paraId="28BBBE93"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451964FE" w14:textId="77777777" w:rsidTr="00F72E6D">
                              <w:trPr>
                                <w:trHeight w:val="283"/>
                              </w:trPr>
                              <w:tc>
                                <w:tcPr>
                                  <w:tcW w:w="1843" w:type="dxa"/>
                                  <w:noWrap/>
                                  <w:vAlign w:val="center"/>
                                  <w:hideMark/>
                                </w:tcPr>
                                <w:p w14:paraId="7CA80943"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13.氣候行動</w:t>
                                  </w:r>
                                </w:p>
                              </w:tc>
                              <w:tc>
                                <w:tcPr>
                                  <w:tcW w:w="935" w:type="dxa"/>
                                  <w:noWrap/>
                                  <w:vAlign w:val="center"/>
                                  <w:hideMark/>
                                </w:tcPr>
                                <w:p w14:paraId="5578444D"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5</w:t>
                                  </w:r>
                                </w:p>
                              </w:tc>
                              <w:tc>
                                <w:tcPr>
                                  <w:tcW w:w="638" w:type="dxa"/>
                                  <w:noWrap/>
                                  <w:vAlign w:val="center"/>
                                  <w:hideMark/>
                                </w:tcPr>
                                <w:p w14:paraId="01E12CA5"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w:t>
                                  </w:r>
                                </w:p>
                              </w:tc>
                              <w:tc>
                                <w:tcPr>
                                  <w:tcW w:w="883" w:type="dxa"/>
                                  <w:vAlign w:val="center"/>
                                </w:tcPr>
                                <w:p w14:paraId="367A7448"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40.00</w:t>
                                  </w:r>
                                </w:p>
                              </w:tc>
                              <w:tc>
                                <w:tcPr>
                                  <w:tcW w:w="708" w:type="dxa"/>
                                  <w:vAlign w:val="center"/>
                                </w:tcPr>
                                <w:p w14:paraId="12CBCCCC"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749" w:type="dxa"/>
                                  <w:vAlign w:val="center"/>
                                </w:tcPr>
                                <w:p w14:paraId="2F7C6209"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816" w:type="dxa"/>
                                  <w:vAlign w:val="center"/>
                                </w:tcPr>
                                <w:p w14:paraId="51C9C863"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34397632" w14:textId="77777777" w:rsidTr="00F72E6D">
                              <w:trPr>
                                <w:trHeight w:val="283"/>
                              </w:trPr>
                              <w:tc>
                                <w:tcPr>
                                  <w:tcW w:w="1843" w:type="dxa"/>
                                  <w:noWrap/>
                                  <w:vAlign w:val="center"/>
                                  <w:hideMark/>
                                </w:tcPr>
                                <w:p w14:paraId="7A4434BE"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14.海洋生態</w:t>
                                  </w:r>
                                </w:p>
                              </w:tc>
                              <w:tc>
                                <w:tcPr>
                                  <w:tcW w:w="935" w:type="dxa"/>
                                  <w:noWrap/>
                                  <w:vAlign w:val="center"/>
                                  <w:hideMark/>
                                </w:tcPr>
                                <w:p w14:paraId="25A86060"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14</w:t>
                                  </w:r>
                                </w:p>
                              </w:tc>
                              <w:tc>
                                <w:tcPr>
                                  <w:tcW w:w="638" w:type="dxa"/>
                                  <w:noWrap/>
                                  <w:vAlign w:val="center"/>
                                  <w:hideMark/>
                                </w:tcPr>
                                <w:p w14:paraId="47860663"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5</w:t>
                                  </w:r>
                                </w:p>
                              </w:tc>
                              <w:tc>
                                <w:tcPr>
                                  <w:tcW w:w="883" w:type="dxa"/>
                                  <w:vAlign w:val="center"/>
                                </w:tcPr>
                                <w:p w14:paraId="7BAFD0B0"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35.71</w:t>
                                  </w:r>
                                </w:p>
                              </w:tc>
                              <w:tc>
                                <w:tcPr>
                                  <w:tcW w:w="708" w:type="dxa"/>
                                  <w:vAlign w:val="center"/>
                                </w:tcPr>
                                <w:p w14:paraId="22E5F024"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5</w:t>
                                  </w:r>
                                </w:p>
                              </w:tc>
                              <w:tc>
                                <w:tcPr>
                                  <w:tcW w:w="749" w:type="dxa"/>
                                  <w:vAlign w:val="center"/>
                                </w:tcPr>
                                <w:p w14:paraId="6A3A66D3"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c>
                                <w:tcPr>
                                  <w:tcW w:w="816" w:type="dxa"/>
                                  <w:vAlign w:val="center"/>
                                </w:tcPr>
                                <w:p w14:paraId="5D878D02"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1E90D015" w14:textId="77777777" w:rsidTr="00F72E6D">
                              <w:trPr>
                                <w:trHeight w:val="283"/>
                              </w:trPr>
                              <w:tc>
                                <w:tcPr>
                                  <w:tcW w:w="1843" w:type="dxa"/>
                                  <w:noWrap/>
                                  <w:vAlign w:val="center"/>
                                  <w:hideMark/>
                                </w:tcPr>
                                <w:p w14:paraId="1B78284B"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15.陸地生態</w:t>
                                  </w:r>
                                </w:p>
                              </w:tc>
                              <w:tc>
                                <w:tcPr>
                                  <w:tcW w:w="935" w:type="dxa"/>
                                  <w:noWrap/>
                                  <w:vAlign w:val="center"/>
                                  <w:hideMark/>
                                </w:tcPr>
                                <w:p w14:paraId="6BAE8DB3"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13</w:t>
                                  </w:r>
                                </w:p>
                              </w:tc>
                              <w:tc>
                                <w:tcPr>
                                  <w:tcW w:w="638" w:type="dxa"/>
                                  <w:noWrap/>
                                  <w:vAlign w:val="center"/>
                                  <w:hideMark/>
                                </w:tcPr>
                                <w:p w14:paraId="227EFEAB"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4</w:t>
                                  </w:r>
                                </w:p>
                              </w:tc>
                              <w:tc>
                                <w:tcPr>
                                  <w:tcW w:w="883" w:type="dxa"/>
                                  <w:vAlign w:val="center"/>
                                </w:tcPr>
                                <w:p w14:paraId="7CFCBCA9"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30.77</w:t>
                                  </w:r>
                                </w:p>
                              </w:tc>
                              <w:tc>
                                <w:tcPr>
                                  <w:tcW w:w="708" w:type="dxa"/>
                                  <w:vAlign w:val="center"/>
                                </w:tcPr>
                                <w:p w14:paraId="06DE97BC"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4</w:t>
                                  </w:r>
                                </w:p>
                              </w:tc>
                              <w:tc>
                                <w:tcPr>
                                  <w:tcW w:w="749" w:type="dxa"/>
                                  <w:vAlign w:val="center"/>
                                </w:tcPr>
                                <w:p w14:paraId="246FAFFC"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c>
                                <w:tcPr>
                                  <w:tcW w:w="816" w:type="dxa"/>
                                  <w:vAlign w:val="center"/>
                                </w:tcPr>
                                <w:p w14:paraId="6BBF2239"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0A7E7417" w14:textId="77777777" w:rsidTr="00F72E6D">
                              <w:trPr>
                                <w:trHeight w:val="283"/>
                              </w:trPr>
                              <w:tc>
                                <w:tcPr>
                                  <w:tcW w:w="1843" w:type="dxa"/>
                                  <w:noWrap/>
                                  <w:vAlign w:val="center"/>
                                  <w:hideMark/>
                                </w:tcPr>
                                <w:p w14:paraId="348B7458" w14:textId="77777777" w:rsidR="00CE57F9" w:rsidRPr="00B73509" w:rsidRDefault="00CE57F9" w:rsidP="00F72E6D">
                                  <w:pPr>
                                    <w:overflowPunct w:val="0"/>
                                    <w:spacing w:line="220" w:lineRule="exact"/>
                                    <w:ind w:rightChars="-62" w:right="-149"/>
                                    <w:suppressOverlap/>
                                    <w:jc w:val="both"/>
                                    <w:rPr>
                                      <w:rFonts w:ascii="標楷體" w:eastAsia="標楷體" w:hAnsi="標楷體"/>
                                      <w:sz w:val="20"/>
                                    </w:rPr>
                                  </w:pPr>
                                  <w:r w:rsidRPr="00B73509">
                                    <w:rPr>
                                      <w:rFonts w:ascii="標楷體" w:eastAsia="標楷體" w:hAnsi="標楷體" w:hint="eastAsia"/>
                                      <w:sz w:val="20"/>
                                    </w:rPr>
                                    <w:t>16.和平與正義制度</w:t>
                                  </w:r>
                                </w:p>
                              </w:tc>
                              <w:tc>
                                <w:tcPr>
                                  <w:tcW w:w="935" w:type="dxa"/>
                                  <w:noWrap/>
                                  <w:vAlign w:val="center"/>
                                  <w:hideMark/>
                                </w:tcPr>
                                <w:p w14:paraId="64FB2F14"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10</w:t>
                                  </w:r>
                                </w:p>
                              </w:tc>
                              <w:tc>
                                <w:tcPr>
                                  <w:tcW w:w="638" w:type="dxa"/>
                                  <w:noWrap/>
                                  <w:vAlign w:val="center"/>
                                  <w:hideMark/>
                                </w:tcPr>
                                <w:p w14:paraId="134A0DAD"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3</w:t>
                                  </w:r>
                                </w:p>
                              </w:tc>
                              <w:tc>
                                <w:tcPr>
                                  <w:tcW w:w="883" w:type="dxa"/>
                                  <w:vAlign w:val="center"/>
                                </w:tcPr>
                                <w:p w14:paraId="1AFB5F8C"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30.00</w:t>
                                  </w:r>
                                </w:p>
                              </w:tc>
                              <w:tc>
                                <w:tcPr>
                                  <w:tcW w:w="708" w:type="dxa"/>
                                  <w:vAlign w:val="center"/>
                                </w:tcPr>
                                <w:p w14:paraId="388D2C17"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2</w:t>
                                  </w:r>
                                </w:p>
                              </w:tc>
                              <w:tc>
                                <w:tcPr>
                                  <w:tcW w:w="749" w:type="dxa"/>
                                  <w:vAlign w:val="center"/>
                                </w:tcPr>
                                <w:p w14:paraId="1AE14AF8"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816" w:type="dxa"/>
                                  <w:vAlign w:val="center"/>
                                </w:tcPr>
                                <w:p w14:paraId="5005D30D"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78E0CC08" w14:textId="77777777" w:rsidTr="00F72E6D">
                              <w:trPr>
                                <w:trHeight w:val="283"/>
                              </w:trPr>
                              <w:tc>
                                <w:tcPr>
                                  <w:tcW w:w="1843" w:type="dxa"/>
                                  <w:noWrap/>
                                  <w:vAlign w:val="center"/>
                                  <w:hideMark/>
                                </w:tcPr>
                                <w:p w14:paraId="30384C15"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17.全球夥伴</w:t>
                                  </w:r>
                                </w:p>
                              </w:tc>
                              <w:tc>
                                <w:tcPr>
                                  <w:tcW w:w="935" w:type="dxa"/>
                                  <w:noWrap/>
                                  <w:vAlign w:val="center"/>
                                  <w:hideMark/>
                                </w:tcPr>
                                <w:p w14:paraId="7ACB7E2B"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13</w:t>
                                  </w:r>
                                </w:p>
                              </w:tc>
                              <w:tc>
                                <w:tcPr>
                                  <w:tcW w:w="638" w:type="dxa"/>
                                  <w:tcBorders>
                                    <w:bottom w:val="single" w:sz="4" w:space="0" w:color="auto"/>
                                  </w:tcBorders>
                                  <w:noWrap/>
                                  <w:vAlign w:val="center"/>
                                  <w:hideMark/>
                                </w:tcPr>
                                <w:p w14:paraId="6BB42ED4"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3</w:t>
                                  </w:r>
                                </w:p>
                              </w:tc>
                              <w:tc>
                                <w:tcPr>
                                  <w:tcW w:w="883" w:type="dxa"/>
                                  <w:tcBorders>
                                    <w:bottom w:val="single" w:sz="4" w:space="0" w:color="auto"/>
                                  </w:tcBorders>
                                  <w:vAlign w:val="center"/>
                                </w:tcPr>
                                <w:p w14:paraId="7A757AEA"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23.08</w:t>
                                  </w:r>
                                </w:p>
                              </w:tc>
                              <w:tc>
                                <w:tcPr>
                                  <w:tcW w:w="708" w:type="dxa"/>
                                  <w:tcBorders>
                                    <w:bottom w:val="single" w:sz="4" w:space="0" w:color="auto"/>
                                  </w:tcBorders>
                                  <w:vAlign w:val="center"/>
                                </w:tcPr>
                                <w:p w14:paraId="07F9659D"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2</w:t>
                                  </w:r>
                                </w:p>
                              </w:tc>
                              <w:tc>
                                <w:tcPr>
                                  <w:tcW w:w="749" w:type="dxa"/>
                                  <w:tcBorders>
                                    <w:bottom w:val="single" w:sz="4" w:space="0" w:color="auto"/>
                                  </w:tcBorders>
                                  <w:vAlign w:val="center"/>
                                </w:tcPr>
                                <w:p w14:paraId="05BBDC3B"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816" w:type="dxa"/>
                                  <w:tcBorders>
                                    <w:bottom w:val="single" w:sz="4" w:space="0" w:color="auto"/>
                                  </w:tcBorders>
                                  <w:vAlign w:val="center"/>
                                </w:tcPr>
                                <w:p w14:paraId="12FC6CA6"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150D5888" w14:textId="77777777" w:rsidTr="00F72E6D">
                              <w:trPr>
                                <w:trHeight w:val="283"/>
                              </w:trPr>
                              <w:tc>
                                <w:tcPr>
                                  <w:tcW w:w="1843" w:type="dxa"/>
                                  <w:tcBorders>
                                    <w:bottom w:val="single" w:sz="4" w:space="0" w:color="auto"/>
                                  </w:tcBorders>
                                  <w:noWrap/>
                                  <w:vAlign w:val="center"/>
                                  <w:hideMark/>
                                </w:tcPr>
                                <w:p w14:paraId="630043CB"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18.非核家園</w:t>
                                  </w:r>
                                </w:p>
                              </w:tc>
                              <w:tc>
                                <w:tcPr>
                                  <w:tcW w:w="935" w:type="dxa"/>
                                  <w:tcBorders>
                                    <w:bottom w:val="single" w:sz="4" w:space="0" w:color="auto"/>
                                  </w:tcBorders>
                                  <w:noWrap/>
                                  <w:vAlign w:val="center"/>
                                  <w:hideMark/>
                                </w:tcPr>
                                <w:p w14:paraId="1C35AA60" w14:textId="77777777" w:rsidR="00CE57F9" w:rsidRPr="00B73509" w:rsidRDefault="00CE57F9" w:rsidP="00F72E6D">
                                  <w:pPr>
                                    <w:widowControl/>
                                    <w:spacing w:line="220" w:lineRule="exact"/>
                                    <w:ind w:leftChars="-47" w:left="5" w:rightChars="-16" w:right="-38" w:hangingChars="74" w:hanging="118"/>
                                    <w:suppressOverlap/>
                                    <w:jc w:val="right"/>
                                    <w:rPr>
                                      <w:rFonts w:ascii="標楷體" w:eastAsia="標楷體" w:hAnsi="標楷體" w:cs="新細明體"/>
                                      <w:spacing w:val="-20"/>
                                      <w:sz w:val="20"/>
                                    </w:rPr>
                                  </w:pPr>
                                  <w:r w:rsidRPr="00B73509">
                                    <w:rPr>
                                      <w:rFonts w:ascii="標楷體" w:eastAsia="標楷體" w:hAnsi="標楷體" w:hint="eastAsia"/>
                                      <w:spacing w:val="-20"/>
                                      <w:sz w:val="20"/>
                                    </w:rPr>
                                    <w:t>－</w:t>
                                  </w:r>
                                  <w:r w:rsidRPr="00B73509">
                                    <w:rPr>
                                      <w:rFonts w:ascii="標楷體" w:eastAsia="標楷體" w:hAnsi="標楷體" w:cs="新細明體" w:hint="eastAsia"/>
                                      <w:spacing w:val="-20"/>
                                      <w:sz w:val="20"/>
                                    </w:rPr>
                                    <w:t>（註1）</w:t>
                                  </w:r>
                                </w:p>
                              </w:tc>
                              <w:tc>
                                <w:tcPr>
                                  <w:tcW w:w="3794" w:type="dxa"/>
                                  <w:gridSpan w:val="5"/>
                                  <w:tcBorders>
                                    <w:bottom w:val="single" w:sz="4" w:space="0" w:color="auto"/>
                                    <w:tl2br w:val="single" w:sz="4" w:space="0" w:color="auto"/>
                                  </w:tcBorders>
                                  <w:noWrap/>
                                  <w:vAlign w:val="center"/>
                                  <w:hideMark/>
                                </w:tcPr>
                                <w:p w14:paraId="51D5E05E" w14:textId="77777777" w:rsidR="00CE57F9" w:rsidRPr="00B73509" w:rsidRDefault="00CE57F9" w:rsidP="00F72E6D">
                                  <w:pPr>
                                    <w:overflowPunct w:val="0"/>
                                    <w:spacing w:line="220" w:lineRule="exact"/>
                                    <w:suppressOverlap/>
                                    <w:jc w:val="right"/>
                                    <w:rPr>
                                      <w:rFonts w:ascii="標楷體" w:eastAsia="標楷體" w:hAnsi="標楷體"/>
                                      <w:sz w:val="20"/>
                                    </w:rPr>
                                  </w:pPr>
                                </w:p>
                              </w:tc>
                            </w:tr>
                          </w:tbl>
                          <w:p w14:paraId="3C0A1FD7" w14:textId="77777777" w:rsidR="00CE57F9" w:rsidRPr="008076C0" w:rsidRDefault="00CE57F9" w:rsidP="00EA6C1F">
                            <w:pPr>
                              <w:widowControl/>
                              <w:spacing w:line="240" w:lineRule="exact"/>
                              <w:ind w:left="540" w:hangingChars="300" w:hanging="540"/>
                              <w:suppressOverlap/>
                              <w:jc w:val="both"/>
                              <w:rPr>
                                <w:rFonts w:ascii="標楷體" w:eastAsia="標楷體" w:hAnsi="標楷體" w:cs="新細明體"/>
                                <w:bCs/>
                                <w:sz w:val="18"/>
                                <w:szCs w:val="18"/>
                              </w:rPr>
                            </w:pPr>
                            <w:r w:rsidRPr="008076C0">
                              <w:rPr>
                                <w:rFonts w:ascii="標楷體" w:eastAsia="標楷體" w:hAnsi="標楷體" w:cs="新細明體" w:hint="eastAsia"/>
                                <w:bCs/>
                                <w:sz w:val="18"/>
                                <w:szCs w:val="18"/>
                              </w:rPr>
                              <w:t>註：1.</w:t>
                            </w:r>
                            <w:r w:rsidRPr="00B30BFE">
                              <w:rPr>
                                <w:rFonts w:ascii="標楷體" w:eastAsia="標楷體" w:hAnsi="標楷體" w:cs="新細明體" w:hint="eastAsia"/>
                                <w:bCs/>
                                <w:sz w:val="18"/>
                                <w:szCs w:val="18"/>
                              </w:rPr>
                              <w:t>臺灣永續發展目標</w:t>
                            </w:r>
                            <w:r w:rsidRPr="008076C0">
                              <w:rPr>
                                <w:rFonts w:ascii="標楷體" w:eastAsia="標楷體" w:hAnsi="標楷體" w:cs="新細明體" w:hint="eastAsia"/>
                                <w:bCs/>
                                <w:sz w:val="18"/>
                                <w:szCs w:val="18"/>
                              </w:rPr>
                              <w:t>18非核家園僅有質化目標，未訂定對應指標。</w:t>
                            </w:r>
                          </w:p>
                          <w:p w14:paraId="6B744B0D" w14:textId="77777777" w:rsidR="00CE57F9" w:rsidRPr="00743C5F" w:rsidRDefault="00CE57F9" w:rsidP="00EA6C1F">
                            <w:pPr>
                              <w:spacing w:line="240" w:lineRule="exact"/>
                              <w:ind w:leftChars="150" w:left="360"/>
                            </w:pPr>
                            <w:r w:rsidRPr="008076C0">
                              <w:rPr>
                                <w:rFonts w:ascii="標楷體" w:eastAsia="標楷體" w:hAnsi="標楷體" w:cs="新細明體" w:hint="eastAsia"/>
                                <w:bCs/>
                                <w:sz w:val="18"/>
                                <w:szCs w:val="18"/>
                              </w:rPr>
                              <w:t>2.資料來源：整理自2022國家自願檢視報告</w:t>
                            </w:r>
                            <w:r w:rsidRPr="008076C0">
                              <w:rPr>
                                <w:rFonts w:ascii="標楷體" w:eastAsia="標楷體" w:hAnsi="標楷體" w:cs="新細明體" w:hint="eastAsia"/>
                                <w:bCs/>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F2594D" id="_x0000_s1137" type="#_x0000_t202" style="position:absolute;left:0;text-align:left;margin-left:162.7pt;margin-top:249.1pt;width:340.8pt;height:393.75pt;z-index:2516741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" stroked="f">
                <v:textbox>
                  <w:txbxContent>
                    <w:p w14:paraId="028006C0" w14:textId="1A74B924" w:rsidR="00CE57F9" w:rsidRPr="005F2CFF" w:rsidRDefault="00CE57F9" w:rsidP="00EA6C1F">
                      <w:pPr>
                        <w:widowControl/>
                        <w:suppressOverlap/>
                        <w:jc w:val="center"/>
                        <w:rPr>
                          <w:rFonts w:ascii="標楷體" w:eastAsia="標楷體" w:hAnsi="標楷體" w:cs="新細明體"/>
                          <w:b/>
                        </w:rPr>
                      </w:pPr>
                      <w:r w:rsidRPr="005F2CFF">
                        <w:rPr>
                          <w:rFonts w:ascii="標楷體" w:eastAsia="標楷體" w:hAnsi="標楷體" w:cs="新細明體" w:hint="eastAsia"/>
                          <w:b/>
                        </w:rPr>
                        <w:t>表</w:t>
                      </w:r>
                      <w:r>
                        <w:rPr>
                          <w:rFonts w:ascii="標楷體" w:eastAsia="標楷體" w:hAnsi="標楷體" w:cs="新細明體"/>
                          <w:b/>
                        </w:rPr>
                        <w:t>20</w:t>
                      </w:r>
                      <w:r w:rsidRPr="005F2CFF">
                        <w:rPr>
                          <w:rFonts w:ascii="標楷體" w:eastAsia="標楷體" w:hAnsi="標楷體" w:cs="新細明體" w:hint="eastAsia"/>
                          <w:b/>
                        </w:rPr>
                        <w:t xml:space="preserve">　2022國家自願檢視報告之</w:t>
                      </w:r>
                      <w:r w:rsidRPr="00B30BFE">
                        <w:rPr>
                          <w:rFonts w:ascii="標楷體" w:eastAsia="標楷體" w:hAnsi="標楷體" w:cs="新細明體" w:hint="eastAsia"/>
                          <w:b/>
                        </w:rPr>
                        <w:t>臺灣永續發展目標</w:t>
                      </w:r>
                      <w:r w:rsidRPr="005F2CFF">
                        <w:rPr>
                          <w:rFonts w:ascii="標楷體" w:eastAsia="標楷體" w:hAnsi="標楷體" w:cs="新細明體" w:hint="eastAsia"/>
                          <w:b/>
                        </w:rPr>
                        <w:t>推動進展</w:t>
                      </w:r>
                    </w:p>
                    <w:p w14:paraId="048FA249" w14:textId="77777777" w:rsidR="00CE57F9" w:rsidRPr="00C87B8A" w:rsidRDefault="00CE57F9" w:rsidP="00EA6C1F">
                      <w:pPr>
                        <w:spacing w:line="240" w:lineRule="exact"/>
                        <w:ind w:rightChars="50" w:right="120"/>
                        <w:jc w:val="right"/>
                        <w:rPr>
                          <w:sz w:val="20"/>
                        </w:rPr>
                      </w:pPr>
                      <w:r w:rsidRPr="00C87B8A">
                        <w:rPr>
                          <w:rFonts w:ascii="標楷體" w:eastAsia="標楷體" w:hAnsi="標楷體" w:cs="新細明體" w:hint="eastAsia"/>
                          <w:sz w:val="20"/>
                        </w:rPr>
                        <w:t>單位：項、％</w:t>
                      </w:r>
                    </w:p>
                    <w:tbl>
                      <w:tblPr>
                        <w:tblStyle w:val="140"/>
                        <w:tblOverlap w:val="never"/>
                        <w:tblW w:w="6572" w:type="dxa"/>
                        <w:tblInd w:w="-5" w:type="dxa"/>
                        <w:tblLook w:val="04A0" w:firstRow="1" w:lastRow="0" w:firstColumn="1" w:lastColumn="0" w:noHBand="0" w:noVBand="1"/>
                      </w:tblPr>
                      <w:tblGrid>
                        <w:gridCol w:w="1843"/>
                        <w:gridCol w:w="935"/>
                        <w:gridCol w:w="638"/>
                        <w:gridCol w:w="883"/>
                        <w:gridCol w:w="708"/>
                        <w:gridCol w:w="749"/>
                        <w:gridCol w:w="816"/>
                      </w:tblGrid>
                      <w:tr w:rsidR="00CE57F9" w:rsidRPr="008076C0" w14:paraId="001BFF46" w14:textId="77777777" w:rsidTr="00F72E6D">
                        <w:trPr>
                          <w:trHeight w:val="283"/>
                        </w:trPr>
                        <w:tc>
                          <w:tcPr>
                            <w:tcW w:w="1843" w:type="dxa"/>
                            <w:vMerge w:val="restart"/>
                            <w:tcBorders>
                              <w:top w:val="single" w:sz="4" w:space="0" w:color="auto"/>
                              <w:tl2br w:val="nil"/>
                            </w:tcBorders>
                            <w:noWrap/>
                            <w:vAlign w:val="center"/>
                            <w:hideMark/>
                          </w:tcPr>
                          <w:p w14:paraId="15517648" w14:textId="0AEF4F6E" w:rsidR="00CE57F9" w:rsidRPr="00BF4006" w:rsidRDefault="00CE57F9" w:rsidP="00F72E6D">
                            <w:pPr>
                              <w:overflowPunct w:val="0"/>
                              <w:spacing w:line="220" w:lineRule="exact"/>
                              <w:suppressOverlap/>
                              <w:jc w:val="center"/>
                              <w:rPr>
                                <w:rFonts w:ascii="標楷體" w:eastAsia="標楷體" w:hAnsi="標楷體"/>
                                <w:sz w:val="20"/>
                              </w:rPr>
                            </w:pPr>
                            <w:r w:rsidRPr="00BF4006">
                              <w:rPr>
                                <w:rFonts w:ascii="標楷體" w:eastAsia="標楷體" w:hAnsi="標楷體"/>
                                <w:sz w:val="20"/>
                              </w:rPr>
                              <w:t>核心目標</w:t>
                            </w:r>
                          </w:p>
                        </w:tc>
                        <w:tc>
                          <w:tcPr>
                            <w:tcW w:w="935" w:type="dxa"/>
                            <w:vMerge w:val="restart"/>
                            <w:tcBorders>
                              <w:top w:val="single" w:sz="4" w:space="0" w:color="auto"/>
                            </w:tcBorders>
                            <w:noWrap/>
                            <w:vAlign w:val="center"/>
                            <w:hideMark/>
                          </w:tcPr>
                          <w:p w14:paraId="7133759F" w14:textId="19C6EF07" w:rsidR="00CE57F9" w:rsidRPr="00BF4006" w:rsidRDefault="00CE57F9" w:rsidP="00F72E6D">
                            <w:pPr>
                              <w:overflowPunct w:val="0"/>
                              <w:spacing w:line="220" w:lineRule="exact"/>
                              <w:ind w:leftChars="-47" w:left="-113" w:rightChars="-29" w:right="-70"/>
                              <w:suppressOverlap/>
                              <w:jc w:val="center"/>
                              <w:rPr>
                                <w:rFonts w:ascii="標楷體" w:eastAsia="標楷體" w:hAnsi="標楷體"/>
                                <w:bCs/>
                                <w:sz w:val="20"/>
                              </w:rPr>
                            </w:pPr>
                            <w:r w:rsidRPr="00BF4006">
                              <w:rPr>
                                <w:rFonts w:ascii="標楷體" w:eastAsia="標楷體" w:hAnsi="標楷體" w:hint="eastAsia"/>
                                <w:sz w:val="20"/>
                              </w:rPr>
                              <w:t>對應</w:t>
                            </w:r>
                            <w:r w:rsidRPr="00BF4006">
                              <w:rPr>
                                <w:rFonts w:ascii="標楷體" w:eastAsia="標楷體" w:hAnsi="標楷體"/>
                                <w:bCs/>
                                <w:sz w:val="20"/>
                              </w:rPr>
                              <w:t>指標</w:t>
                            </w:r>
                            <w:r w:rsidRPr="00BF4006">
                              <w:rPr>
                                <w:rFonts w:ascii="標楷體" w:eastAsia="標楷體" w:hAnsi="標楷體" w:hint="eastAsia"/>
                                <w:bCs/>
                                <w:sz w:val="20"/>
                              </w:rPr>
                              <w:t>項數</w:t>
                            </w:r>
                          </w:p>
                        </w:tc>
                        <w:tc>
                          <w:tcPr>
                            <w:tcW w:w="3794" w:type="dxa"/>
                            <w:gridSpan w:val="5"/>
                            <w:tcBorders>
                              <w:top w:val="single" w:sz="4" w:space="0" w:color="auto"/>
                            </w:tcBorders>
                            <w:vAlign w:val="center"/>
                          </w:tcPr>
                          <w:p w14:paraId="5E343EAC" w14:textId="77777777" w:rsidR="00CE57F9" w:rsidRPr="00B73509" w:rsidRDefault="00CE57F9" w:rsidP="00F72E6D">
                            <w:pPr>
                              <w:overflowPunct w:val="0"/>
                              <w:spacing w:line="220" w:lineRule="exact"/>
                              <w:suppressOverlap/>
                              <w:jc w:val="center"/>
                              <w:rPr>
                                <w:rFonts w:ascii="標楷體" w:eastAsia="標楷體" w:hAnsi="標楷體"/>
                                <w:sz w:val="20"/>
                              </w:rPr>
                            </w:pPr>
                            <w:r w:rsidRPr="00B73509">
                              <w:rPr>
                                <w:rFonts w:ascii="標楷體" w:eastAsia="標楷體" w:hAnsi="標楷體" w:hint="eastAsia"/>
                                <w:bCs/>
                                <w:sz w:val="20"/>
                              </w:rPr>
                              <w:t>第2次VNR檢視</w:t>
                            </w:r>
                            <w:r w:rsidRPr="00B73509">
                              <w:rPr>
                                <w:rFonts w:ascii="標楷體" w:eastAsia="標楷體" w:hAnsi="標楷體" w:hint="eastAsia"/>
                                <w:sz w:val="20"/>
                              </w:rPr>
                              <w:t>臺灣永續發展目標</w:t>
                            </w:r>
                          </w:p>
                          <w:p w14:paraId="15552FEB" w14:textId="77777777" w:rsidR="00CE57F9" w:rsidRPr="00B73509" w:rsidRDefault="00CE57F9" w:rsidP="00F72E6D">
                            <w:pPr>
                              <w:overflowPunct w:val="0"/>
                              <w:spacing w:line="220" w:lineRule="exact"/>
                              <w:suppressOverlap/>
                              <w:jc w:val="center"/>
                              <w:rPr>
                                <w:rFonts w:ascii="標楷體" w:eastAsia="標楷體" w:hAnsi="標楷體"/>
                                <w:bCs/>
                                <w:sz w:val="20"/>
                              </w:rPr>
                            </w:pPr>
                            <w:r w:rsidRPr="00B73509">
                              <w:rPr>
                                <w:rFonts w:ascii="標楷體" w:eastAsia="標楷體" w:hAnsi="標楷體" w:hint="eastAsia"/>
                                <w:sz w:val="20"/>
                              </w:rPr>
                              <w:t>對應</w:t>
                            </w:r>
                            <w:r w:rsidRPr="00B73509">
                              <w:rPr>
                                <w:rFonts w:ascii="標楷體" w:eastAsia="標楷體" w:hAnsi="標楷體"/>
                                <w:bCs/>
                                <w:sz w:val="20"/>
                              </w:rPr>
                              <w:t>指標</w:t>
                            </w:r>
                            <w:r w:rsidRPr="00B73509">
                              <w:rPr>
                                <w:rFonts w:ascii="標楷體" w:eastAsia="標楷體" w:hAnsi="標楷體" w:hint="eastAsia"/>
                                <w:bCs/>
                                <w:sz w:val="20"/>
                              </w:rPr>
                              <w:t>情形</w:t>
                            </w:r>
                          </w:p>
                        </w:tc>
                      </w:tr>
                      <w:tr w:rsidR="00CE57F9" w:rsidRPr="008076C0" w14:paraId="0D1D8791" w14:textId="77777777" w:rsidTr="00F72E6D">
                        <w:trPr>
                          <w:trHeight w:val="283"/>
                        </w:trPr>
                        <w:tc>
                          <w:tcPr>
                            <w:tcW w:w="1843" w:type="dxa"/>
                            <w:vMerge/>
                            <w:tcBorders>
                              <w:tl2br w:val="nil"/>
                            </w:tcBorders>
                            <w:noWrap/>
                            <w:vAlign w:val="center"/>
                          </w:tcPr>
                          <w:p w14:paraId="4D1CDD0C" w14:textId="77777777" w:rsidR="00CE57F9" w:rsidRPr="00B73509" w:rsidRDefault="00CE57F9" w:rsidP="00F72E6D">
                            <w:pPr>
                              <w:overflowPunct w:val="0"/>
                              <w:spacing w:line="220" w:lineRule="exact"/>
                              <w:suppressOverlap/>
                              <w:jc w:val="center"/>
                              <w:rPr>
                                <w:rFonts w:ascii="標楷體" w:eastAsia="標楷體" w:hAnsi="標楷體"/>
                                <w:sz w:val="20"/>
                              </w:rPr>
                            </w:pPr>
                          </w:p>
                        </w:tc>
                        <w:tc>
                          <w:tcPr>
                            <w:tcW w:w="935" w:type="dxa"/>
                            <w:vMerge/>
                            <w:noWrap/>
                            <w:vAlign w:val="center"/>
                          </w:tcPr>
                          <w:p w14:paraId="6758ED2D" w14:textId="77777777" w:rsidR="00CE57F9" w:rsidRPr="00B73509" w:rsidRDefault="00CE57F9" w:rsidP="00F72E6D">
                            <w:pPr>
                              <w:overflowPunct w:val="0"/>
                              <w:spacing w:line="220" w:lineRule="exact"/>
                              <w:suppressOverlap/>
                              <w:jc w:val="center"/>
                              <w:rPr>
                                <w:rFonts w:ascii="標楷體" w:eastAsia="標楷體" w:hAnsi="標楷體"/>
                                <w:bCs/>
                                <w:sz w:val="20"/>
                              </w:rPr>
                            </w:pPr>
                          </w:p>
                        </w:tc>
                        <w:tc>
                          <w:tcPr>
                            <w:tcW w:w="1521" w:type="dxa"/>
                            <w:gridSpan w:val="2"/>
                            <w:noWrap/>
                            <w:vAlign w:val="center"/>
                          </w:tcPr>
                          <w:p w14:paraId="598FBB13" w14:textId="77777777" w:rsidR="00CE57F9" w:rsidRPr="00B73509" w:rsidRDefault="00CE57F9" w:rsidP="00F72E6D">
                            <w:pPr>
                              <w:spacing w:line="220" w:lineRule="exact"/>
                              <w:suppressOverlap/>
                              <w:jc w:val="center"/>
                              <w:rPr>
                                <w:rFonts w:ascii="標楷體" w:eastAsia="標楷體" w:hAnsi="標楷體"/>
                                <w:sz w:val="20"/>
                              </w:rPr>
                            </w:pPr>
                            <w:r w:rsidRPr="00B73509">
                              <w:rPr>
                                <w:rFonts w:ascii="標楷體" w:eastAsia="標楷體" w:hAnsi="標楷體" w:hint="eastAsia"/>
                                <w:bCs/>
                                <w:sz w:val="20"/>
                              </w:rPr>
                              <w:t>合計</w:t>
                            </w:r>
                          </w:p>
                        </w:tc>
                        <w:tc>
                          <w:tcPr>
                            <w:tcW w:w="708" w:type="dxa"/>
                            <w:vMerge w:val="restart"/>
                            <w:vAlign w:val="center"/>
                          </w:tcPr>
                          <w:p w14:paraId="7A08BF09" w14:textId="77777777" w:rsidR="00CE57F9" w:rsidRPr="00B73509" w:rsidRDefault="00CE57F9" w:rsidP="00F72E6D">
                            <w:pPr>
                              <w:spacing w:line="220" w:lineRule="exact"/>
                              <w:suppressOverlap/>
                              <w:jc w:val="center"/>
                              <w:rPr>
                                <w:rFonts w:ascii="標楷體" w:eastAsia="標楷體" w:hAnsi="標楷體"/>
                                <w:sz w:val="20"/>
                              </w:rPr>
                            </w:pPr>
                            <w:r w:rsidRPr="00B73509">
                              <w:rPr>
                                <w:rFonts w:ascii="標楷體" w:eastAsia="標楷體" w:hAnsi="標楷體"/>
                                <w:sz w:val="20"/>
                              </w:rPr>
                              <w:t>達成</w:t>
                            </w:r>
                          </w:p>
                          <w:p w14:paraId="3C95B521" w14:textId="77777777" w:rsidR="00CE57F9" w:rsidRPr="00B73509" w:rsidRDefault="00CE57F9" w:rsidP="00F72E6D">
                            <w:pPr>
                              <w:spacing w:line="220" w:lineRule="exact"/>
                              <w:suppressOverlap/>
                              <w:jc w:val="center"/>
                              <w:rPr>
                                <w:rFonts w:ascii="標楷體" w:eastAsia="標楷體" w:hAnsi="標楷體"/>
                                <w:sz w:val="20"/>
                              </w:rPr>
                            </w:pPr>
                            <w:r w:rsidRPr="00B73509">
                              <w:rPr>
                                <w:rFonts w:ascii="標楷體" w:eastAsia="標楷體" w:hAnsi="標楷體"/>
                                <w:sz w:val="20"/>
                              </w:rPr>
                              <w:t>目標</w:t>
                            </w:r>
                          </w:p>
                        </w:tc>
                        <w:tc>
                          <w:tcPr>
                            <w:tcW w:w="749" w:type="dxa"/>
                            <w:vMerge w:val="restart"/>
                            <w:vAlign w:val="center"/>
                          </w:tcPr>
                          <w:p w14:paraId="56528C60" w14:textId="77777777" w:rsidR="00CE57F9" w:rsidRPr="00B73509" w:rsidRDefault="00CE57F9" w:rsidP="00F72E6D">
                            <w:pPr>
                              <w:spacing w:line="220" w:lineRule="exact"/>
                              <w:suppressOverlap/>
                              <w:jc w:val="center"/>
                              <w:rPr>
                                <w:rFonts w:ascii="標楷體" w:eastAsia="標楷體" w:hAnsi="標楷體"/>
                                <w:sz w:val="20"/>
                              </w:rPr>
                            </w:pPr>
                            <w:r w:rsidRPr="00B73509">
                              <w:rPr>
                                <w:rFonts w:ascii="標楷體" w:eastAsia="標楷體" w:hAnsi="標楷體"/>
                                <w:sz w:val="20"/>
                              </w:rPr>
                              <w:t>未達</w:t>
                            </w:r>
                          </w:p>
                          <w:p w14:paraId="37E03377" w14:textId="77777777" w:rsidR="00CE57F9" w:rsidRPr="00B73509" w:rsidRDefault="00CE57F9" w:rsidP="00F72E6D">
                            <w:pPr>
                              <w:spacing w:line="220" w:lineRule="exact"/>
                              <w:suppressOverlap/>
                              <w:jc w:val="center"/>
                              <w:rPr>
                                <w:rFonts w:ascii="標楷體" w:eastAsia="標楷體" w:hAnsi="標楷體"/>
                                <w:sz w:val="20"/>
                              </w:rPr>
                            </w:pPr>
                            <w:r w:rsidRPr="00B73509">
                              <w:rPr>
                                <w:rFonts w:ascii="標楷體" w:eastAsia="標楷體" w:hAnsi="標楷體"/>
                                <w:sz w:val="20"/>
                              </w:rPr>
                              <w:t>目標</w:t>
                            </w:r>
                          </w:p>
                        </w:tc>
                        <w:tc>
                          <w:tcPr>
                            <w:tcW w:w="816" w:type="dxa"/>
                            <w:vMerge w:val="restart"/>
                            <w:vAlign w:val="center"/>
                          </w:tcPr>
                          <w:p w14:paraId="2F2327FC" w14:textId="77777777" w:rsidR="00CE57F9" w:rsidRPr="00B73509" w:rsidRDefault="00CE57F9" w:rsidP="00F72E6D">
                            <w:pPr>
                              <w:spacing w:line="220" w:lineRule="exact"/>
                              <w:suppressOverlap/>
                              <w:jc w:val="center"/>
                              <w:rPr>
                                <w:rFonts w:ascii="標楷體" w:eastAsia="標楷體" w:hAnsi="標楷體"/>
                                <w:sz w:val="20"/>
                              </w:rPr>
                            </w:pPr>
                            <w:r w:rsidRPr="00B73509">
                              <w:rPr>
                                <w:rFonts w:ascii="標楷體" w:eastAsia="標楷體" w:hAnsi="標楷體" w:hint="eastAsia"/>
                                <w:sz w:val="20"/>
                              </w:rPr>
                              <w:t>未達統</w:t>
                            </w:r>
                          </w:p>
                          <w:p w14:paraId="72C1BA85" w14:textId="77777777" w:rsidR="00CE57F9" w:rsidRPr="00B73509" w:rsidRDefault="00CE57F9" w:rsidP="00F72E6D">
                            <w:pPr>
                              <w:spacing w:line="220" w:lineRule="exact"/>
                              <w:suppressOverlap/>
                              <w:jc w:val="center"/>
                              <w:rPr>
                                <w:rFonts w:ascii="標楷體" w:eastAsia="標楷體" w:hAnsi="標楷體"/>
                                <w:sz w:val="20"/>
                              </w:rPr>
                            </w:pPr>
                            <w:r w:rsidRPr="00B73509">
                              <w:rPr>
                                <w:rFonts w:ascii="標楷體" w:eastAsia="標楷體" w:hAnsi="標楷體" w:hint="eastAsia"/>
                                <w:sz w:val="20"/>
                              </w:rPr>
                              <w:t>計週期</w:t>
                            </w:r>
                          </w:p>
                        </w:tc>
                      </w:tr>
                      <w:tr w:rsidR="00CE57F9" w:rsidRPr="008076C0" w14:paraId="0D50E84A" w14:textId="77777777" w:rsidTr="00F72E6D">
                        <w:trPr>
                          <w:trHeight w:val="283"/>
                        </w:trPr>
                        <w:tc>
                          <w:tcPr>
                            <w:tcW w:w="1843" w:type="dxa"/>
                            <w:vMerge/>
                            <w:tcBorders>
                              <w:tl2br w:val="nil"/>
                            </w:tcBorders>
                            <w:noWrap/>
                            <w:vAlign w:val="center"/>
                          </w:tcPr>
                          <w:p w14:paraId="40E673E8" w14:textId="77777777" w:rsidR="00CE57F9" w:rsidRPr="00B73509" w:rsidRDefault="00CE57F9" w:rsidP="00F72E6D">
                            <w:pPr>
                              <w:overflowPunct w:val="0"/>
                              <w:spacing w:line="220" w:lineRule="exact"/>
                              <w:suppressOverlap/>
                              <w:jc w:val="center"/>
                              <w:rPr>
                                <w:rFonts w:ascii="標楷體" w:eastAsia="標楷體" w:hAnsi="標楷體"/>
                                <w:sz w:val="20"/>
                              </w:rPr>
                            </w:pPr>
                          </w:p>
                        </w:tc>
                        <w:tc>
                          <w:tcPr>
                            <w:tcW w:w="935" w:type="dxa"/>
                            <w:vMerge/>
                            <w:noWrap/>
                            <w:vAlign w:val="center"/>
                          </w:tcPr>
                          <w:p w14:paraId="63F967E4" w14:textId="77777777" w:rsidR="00CE57F9" w:rsidRPr="00B73509" w:rsidRDefault="00CE57F9" w:rsidP="00F72E6D">
                            <w:pPr>
                              <w:overflowPunct w:val="0"/>
                              <w:spacing w:line="220" w:lineRule="exact"/>
                              <w:suppressOverlap/>
                              <w:jc w:val="center"/>
                              <w:rPr>
                                <w:rFonts w:ascii="標楷體" w:eastAsia="標楷體" w:hAnsi="標楷體"/>
                                <w:bCs/>
                                <w:sz w:val="20"/>
                              </w:rPr>
                            </w:pPr>
                          </w:p>
                        </w:tc>
                        <w:tc>
                          <w:tcPr>
                            <w:tcW w:w="638" w:type="dxa"/>
                            <w:noWrap/>
                            <w:vAlign w:val="center"/>
                          </w:tcPr>
                          <w:p w14:paraId="72138325" w14:textId="77777777" w:rsidR="00CE57F9" w:rsidRPr="00B73509" w:rsidRDefault="00CE57F9" w:rsidP="00F72E6D">
                            <w:pPr>
                              <w:overflowPunct w:val="0"/>
                              <w:spacing w:line="220" w:lineRule="exact"/>
                              <w:ind w:leftChars="-44" w:left="-106" w:rightChars="-45" w:right="-108"/>
                              <w:suppressOverlap/>
                              <w:jc w:val="center"/>
                              <w:rPr>
                                <w:rFonts w:ascii="標楷體" w:eastAsia="標楷體" w:hAnsi="標楷體"/>
                                <w:bCs/>
                                <w:sz w:val="20"/>
                              </w:rPr>
                            </w:pPr>
                            <w:r w:rsidRPr="00B73509">
                              <w:rPr>
                                <w:rFonts w:ascii="標楷體" w:eastAsia="標楷體" w:hAnsi="標楷體" w:hint="eastAsia"/>
                                <w:bCs/>
                                <w:sz w:val="20"/>
                              </w:rPr>
                              <w:t>項數</w:t>
                            </w:r>
                          </w:p>
                        </w:tc>
                        <w:tc>
                          <w:tcPr>
                            <w:tcW w:w="883" w:type="dxa"/>
                            <w:vAlign w:val="center"/>
                          </w:tcPr>
                          <w:p w14:paraId="719B232A" w14:textId="77777777" w:rsidR="00CE57F9" w:rsidRPr="00B73509" w:rsidRDefault="00CE57F9" w:rsidP="00F72E6D">
                            <w:pPr>
                              <w:spacing w:line="220" w:lineRule="exact"/>
                              <w:suppressOverlap/>
                              <w:jc w:val="center"/>
                              <w:rPr>
                                <w:rFonts w:ascii="標楷體" w:eastAsia="標楷體" w:hAnsi="標楷體"/>
                                <w:sz w:val="20"/>
                              </w:rPr>
                            </w:pPr>
                            <w:r w:rsidRPr="00B73509">
                              <w:rPr>
                                <w:rFonts w:ascii="標楷體" w:eastAsia="標楷體" w:hAnsi="標楷體" w:hint="eastAsia"/>
                                <w:sz w:val="20"/>
                              </w:rPr>
                              <w:t>檢視率</w:t>
                            </w:r>
                          </w:p>
                        </w:tc>
                        <w:tc>
                          <w:tcPr>
                            <w:tcW w:w="708" w:type="dxa"/>
                            <w:vMerge/>
                            <w:vAlign w:val="center"/>
                          </w:tcPr>
                          <w:p w14:paraId="67A104DB" w14:textId="77777777" w:rsidR="00CE57F9" w:rsidRPr="00B73509" w:rsidRDefault="00CE57F9" w:rsidP="00F72E6D">
                            <w:pPr>
                              <w:spacing w:line="220" w:lineRule="exact"/>
                              <w:suppressOverlap/>
                              <w:jc w:val="center"/>
                              <w:rPr>
                                <w:rFonts w:ascii="標楷體" w:eastAsia="標楷體" w:hAnsi="標楷體"/>
                                <w:sz w:val="20"/>
                              </w:rPr>
                            </w:pPr>
                          </w:p>
                        </w:tc>
                        <w:tc>
                          <w:tcPr>
                            <w:tcW w:w="749" w:type="dxa"/>
                            <w:vMerge/>
                            <w:vAlign w:val="center"/>
                          </w:tcPr>
                          <w:p w14:paraId="2744367A" w14:textId="77777777" w:rsidR="00CE57F9" w:rsidRPr="00B73509" w:rsidRDefault="00CE57F9" w:rsidP="00F72E6D">
                            <w:pPr>
                              <w:spacing w:line="220" w:lineRule="exact"/>
                              <w:suppressOverlap/>
                              <w:jc w:val="center"/>
                              <w:rPr>
                                <w:rFonts w:ascii="標楷體" w:eastAsia="標楷體" w:hAnsi="標楷體"/>
                                <w:sz w:val="20"/>
                              </w:rPr>
                            </w:pPr>
                          </w:p>
                        </w:tc>
                        <w:tc>
                          <w:tcPr>
                            <w:tcW w:w="816" w:type="dxa"/>
                            <w:vMerge/>
                            <w:vAlign w:val="center"/>
                          </w:tcPr>
                          <w:p w14:paraId="7EEAB5E4" w14:textId="77777777" w:rsidR="00CE57F9" w:rsidRPr="00B73509" w:rsidRDefault="00CE57F9" w:rsidP="00F72E6D">
                            <w:pPr>
                              <w:spacing w:line="220" w:lineRule="exact"/>
                              <w:suppressOverlap/>
                              <w:jc w:val="center"/>
                              <w:rPr>
                                <w:rFonts w:ascii="標楷體" w:eastAsia="標楷體" w:hAnsi="標楷體"/>
                                <w:sz w:val="20"/>
                              </w:rPr>
                            </w:pPr>
                          </w:p>
                        </w:tc>
                      </w:tr>
                      <w:tr w:rsidR="00CE57F9" w:rsidRPr="008076C0" w14:paraId="24C8C090" w14:textId="77777777" w:rsidTr="00F72E6D">
                        <w:trPr>
                          <w:trHeight w:val="283"/>
                        </w:trPr>
                        <w:tc>
                          <w:tcPr>
                            <w:tcW w:w="1843" w:type="dxa"/>
                            <w:noWrap/>
                            <w:vAlign w:val="center"/>
                            <w:hideMark/>
                          </w:tcPr>
                          <w:p w14:paraId="73EC071E" w14:textId="77777777" w:rsidR="00CE57F9" w:rsidRPr="00B73509" w:rsidRDefault="00CE57F9" w:rsidP="00F72E6D">
                            <w:pPr>
                              <w:overflowPunct w:val="0"/>
                              <w:spacing w:line="220" w:lineRule="exact"/>
                              <w:suppressOverlap/>
                              <w:jc w:val="center"/>
                              <w:rPr>
                                <w:rFonts w:ascii="標楷體" w:eastAsia="標楷體" w:hAnsi="標楷體"/>
                                <w:b/>
                                <w:sz w:val="20"/>
                              </w:rPr>
                            </w:pPr>
                            <w:r w:rsidRPr="00B73509">
                              <w:rPr>
                                <w:rFonts w:ascii="標楷體" w:eastAsia="標楷體" w:hAnsi="標楷體" w:hint="eastAsia"/>
                                <w:b/>
                                <w:sz w:val="20"/>
                              </w:rPr>
                              <w:t>合計</w:t>
                            </w:r>
                          </w:p>
                        </w:tc>
                        <w:tc>
                          <w:tcPr>
                            <w:tcW w:w="935" w:type="dxa"/>
                            <w:noWrap/>
                            <w:vAlign w:val="center"/>
                            <w:hideMark/>
                          </w:tcPr>
                          <w:p w14:paraId="40D9F87E"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336</w:t>
                            </w:r>
                          </w:p>
                        </w:tc>
                        <w:tc>
                          <w:tcPr>
                            <w:tcW w:w="638" w:type="dxa"/>
                            <w:noWrap/>
                            <w:vAlign w:val="center"/>
                            <w:hideMark/>
                          </w:tcPr>
                          <w:p w14:paraId="051ED783"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71</w:t>
                            </w:r>
                          </w:p>
                        </w:tc>
                        <w:tc>
                          <w:tcPr>
                            <w:tcW w:w="883" w:type="dxa"/>
                            <w:vAlign w:val="center"/>
                          </w:tcPr>
                          <w:p w14:paraId="0B3E78FC"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21.13</w:t>
                            </w:r>
                          </w:p>
                        </w:tc>
                        <w:tc>
                          <w:tcPr>
                            <w:tcW w:w="708" w:type="dxa"/>
                            <w:vAlign w:val="center"/>
                          </w:tcPr>
                          <w:p w14:paraId="76B41E74"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59</w:t>
                            </w:r>
                          </w:p>
                        </w:tc>
                        <w:tc>
                          <w:tcPr>
                            <w:tcW w:w="749" w:type="dxa"/>
                            <w:vAlign w:val="center"/>
                          </w:tcPr>
                          <w:p w14:paraId="77015035"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11</w:t>
                            </w:r>
                          </w:p>
                        </w:tc>
                        <w:tc>
                          <w:tcPr>
                            <w:tcW w:w="816" w:type="dxa"/>
                            <w:vAlign w:val="center"/>
                          </w:tcPr>
                          <w:p w14:paraId="086EFC11"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1</w:t>
                            </w:r>
                          </w:p>
                        </w:tc>
                      </w:tr>
                      <w:tr w:rsidR="00CE57F9" w:rsidRPr="008076C0" w14:paraId="6C81E65F" w14:textId="77777777" w:rsidTr="00F72E6D">
                        <w:trPr>
                          <w:trHeight w:val="283"/>
                        </w:trPr>
                        <w:tc>
                          <w:tcPr>
                            <w:tcW w:w="1843" w:type="dxa"/>
                            <w:noWrap/>
                            <w:vAlign w:val="center"/>
                            <w:hideMark/>
                          </w:tcPr>
                          <w:p w14:paraId="44902A7B"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1.消除貧窮</w:t>
                            </w:r>
                          </w:p>
                        </w:tc>
                        <w:tc>
                          <w:tcPr>
                            <w:tcW w:w="935" w:type="dxa"/>
                            <w:noWrap/>
                            <w:vAlign w:val="center"/>
                            <w:hideMark/>
                          </w:tcPr>
                          <w:p w14:paraId="69BA862D"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25</w:t>
                            </w:r>
                          </w:p>
                        </w:tc>
                        <w:tc>
                          <w:tcPr>
                            <w:tcW w:w="638" w:type="dxa"/>
                            <w:noWrap/>
                            <w:vAlign w:val="center"/>
                            <w:hideMark/>
                          </w:tcPr>
                          <w:p w14:paraId="33BA4FDA"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w:t>
                            </w:r>
                          </w:p>
                        </w:tc>
                        <w:tc>
                          <w:tcPr>
                            <w:tcW w:w="883" w:type="dxa"/>
                            <w:vAlign w:val="center"/>
                          </w:tcPr>
                          <w:p w14:paraId="0D96406E"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8.00</w:t>
                            </w:r>
                          </w:p>
                        </w:tc>
                        <w:tc>
                          <w:tcPr>
                            <w:tcW w:w="708" w:type="dxa"/>
                            <w:vAlign w:val="center"/>
                          </w:tcPr>
                          <w:p w14:paraId="58327475"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749" w:type="dxa"/>
                            <w:vAlign w:val="center"/>
                          </w:tcPr>
                          <w:p w14:paraId="22AA84B2"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816" w:type="dxa"/>
                            <w:vAlign w:val="center"/>
                          </w:tcPr>
                          <w:p w14:paraId="02B1727D"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54E7765E" w14:textId="77777777" w:rsidTr="00F72E6D">
                        <w:trPr>
                          <w:trHeight w:val="283"/>
                        </w:trPr>
                        <w:tc>
                          <w:tcPr>
                            <w:tcW w:w="1843" w:type="dxa"/>
                            <w:noWrap/>
                            <w:vAlign w:val="center"/>
                            <w:hideMark/>
                          </w:tcPr>
                          <w:p w14:paraId="4E6FB6DC"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2.消除飢餓</w:t>
                            </w:r>
                          </w:p>
                        </w:tc>
                        <w:tc>
                          <w:tcPr>
                            <w:tcW w:w="935" w:type="dxa"/>
                            <w:noWrap/>
                            <w:vAlign w:val="center"/>
                            <w:hideMark/>
                          </w:tcPr>
                          <w:p w14:paraId="2EC6F981"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24</w:t>
                            </w:r>
                          </w:p>
                        </w:tc>
                        <w:tc>
                          <w:tcPr>
                            <w:tcW w:w="638" w:type="dxa"/>
                            <w:noWrap/>
                            <w:vAlign w:val="center"/>
                            <w:hideMark/>
                          </w:tcPr>
                          <w:p w14:paraId="225E8CB4"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3</w:t>
                            </w:r>
                          </w:p>
                        </w:tc>
                        <w:tc>
                          <w:tcPr>
                            <w:tcW w:w="883" w:type="dxa"/>
                            <w:vAlign w:val="center"/>
                          </w:tcPr>
                          <w:p w14:paraId="204889C5"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12.50</w:t>
                            </w:r>
                          </w:p>
                        </w:tc>
                        <w:tc>
                          <w:tcPr>
                            <w:tcW w:w="708" w:type="dxa"/>
                            <w:vAlign w:val="center"/>
                          </w:tcPr>
                          <w:p w14:paraId="19D9FCC5"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3</w:t>
                            </w:r>
                          </w:p>
                        </w:tc>
                        <w:tc>
                          <w:tcPr>
                            <w:tcW w:w="749" w:type="dxa"/>
                            <w:vAlign w:val="center"/>
                          </w:tcPr>
                          <w:p w14:paraId="5AC2DFDD"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c>
                          <w:tcPr>
                            <w:tcW w:w="816" w:type="dxa"/>
                            <w:vAlign w:val="center"/>
                          </w:tcPr>
                          <w:p w14:paraId="01131A60"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22934712" w14:textId="77777777" w:rsidTr="00F72E6D">
                        <w:trPr>
                          <w:trHeight w:val="283"/>
                        </w:trPr>
                        <w:tc>
                          <w:tcPr>
                            <w:tcW w:w="1843" w:type="dxa"/>
                            <w:noWrap/>
                            <w:vAlign w:val="center"/>
                            <w:hideMark/>
                          </w:tcPr>
                          <w:p w14:paraId="4EB4D568"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3.健康福祉</w:t>
                            </w:r>
                          </w:p>
                        </w:tc>
                        <w:tc>
                          <w:tcPr>
                            <w:tcW w:w="935" w:type="dxa"/>
                            <w:noWrap/>
                            <w:vAlign w:val="center"/>
                            <w:hideMark/>
                          </w:tcPr>
                          <w:p w14:paraId="0A6BD33F"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39</w:t>
                            </w:r>
                          </w:p>
                        </w:tc>
                        <w:tc>
                          <w:tcPr>
                            <w:tcW w:w="638" w:type="dxa"/>
                            <w:noWrap/>
                            <w:vAlign w:val="center"/>
                            <w:hideMark/>
                          </w:tcPr>
                          <w:p w14:paraId="6593D0E8"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8</w:t>
                            </w:r>
                          </w:p>
                        </w:tc>
                        <w:tc>
                          <w:tcPr>
                            <w:tcW w:w="883" w:type="dxa"/>
                            <w:vAlign w:val="center"/>
                          </w:tcPr>
                          <w:p w14:paraId="72C236E2"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20.51</w:t>
                            </w:r>
                          </w:p>
                        </w:tc>
                        <w:tc>
                          <w:tcPr>
                            <w:tcW w:w="708" w:type="dxa"/>
                            <w:vAlign w:val="center"/>
                          </w:tcPr>
                          <w:p w14:paraId="1FC07DCE"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6</w:t>
                            </w:r>
                          </w:p>
                        </w:tc>
                        <w:tc>
                          <w:tcPr>
                            <w:tcW w:w="749" w:type="dxa"/>
                            <w:vAlign w:val="center"/>
                          </w:tcPr>
                          <w:p w14:paraId="36A70B7F"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2</w:t>
                            </w:r>
                          </w:p>
                        </w:tc>
                        <w:tc>
                          <w:tcPr>
                            <w:tcW w:w="816" w:type="dxa"/>
                            <w:vAlign w:val="center"/>
                          </w:tcPr>
                          <w:p w14:paraId="4170E1CD"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428067FA" w14:textId="77777777" w:rsidTr="00F72E6D">
                        <w:trPr>
                          <w:trHeight w:val="283"/>
                        </w:trPr>
                        <w:tc>
                          <w:tcPr>
                            <w:tcW w:w="1843" w:type="dxa"/>
                            <w:noWrap/>
                            <w:vAlign w:val="center"/>
                            <w:hideMark/>
                          </w:tcPr>
                          <w:p w14:paraId="071A4FF7"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4.教育品質</w:t>
                            </w:r>
                          </w:p>
                        </w:tc>
                        <w:tc>
                          <w:tcPr>
                            <w:tcW w:w="935" w:type="dxa"/>
                            <w:noWrap/>
                            <w:vAlign w:val="center"/>
                            <w:hideMark/>
                          </w:tcPr>
                          <w:p w14:paraId="177A62B7"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30</w:t>
                            </w:r>
                          </w:p>
                        </w:tc>
                        <w:tc>
                          <w:tcPr>
                            <w:tcW w:w="638" w:type="dxa"/>
                            <w:noWrap/>
                            <w:vAlign w:val="center"/>
                            <w:hideMark/>
                          </w:tcPr>
                          <w:p w14:paraId="4D29D1DC"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6</w:t>
                            </w:r>
                          </w:p>
                        </w:tc>
                        <w:tc>
                          <w:tcPr>
                            <w:tcW w:w="883" w:type="dxa"/>
                            <w:vAlign w:val="center"/>
                          </w:tcPr>
                          <w:p w14:paraId="5864B46B"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20.00</w:t>
                            </w:r>
                          </w:p>
                        </w:tc>
                        <w:tc>
                          <w:tcPr>
                            <w:tcW w:w="708" w:type="dxa"/>
                            <w:vAlign w:val="center"/>
                          </w:tcPr>
                          <w:p w14:paraId="2A6A625C"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5</w:t>
                            </w:r>
                          </w:p>
                        </w:tc>
                        <w:tc>
                          <w:tcPr>
                            <w:tcW w:w="749" w:type="dxa"/>
                            <w:vAlign w:val="center"/>
                          </w:tcPr>
                          <w:p w14:paraId="4E4C3611"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c>
                          <w:tcPr>
                            <w:tcW w:w="816" w:type="dxa"/>
                            <w:vAlign w:val="center"/>
                          </w:tcPr>
                          <w:p w14:paraId="5CC3116D"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r>
                      <w:tr w:rsidR="00CE57F9" w:rsidRPr="008076C0" w14:paraId="6995A3BA" w14:textId="77777777" w:rsidTr="00F72E6D">
                        <w:trPr>
                          <w:trHeight w:val="283"/>
                        </w:trPr>
                        <w:tc>
                          <w:tcPr>
                            <w:tcW w:w="1843" w:type="dxa"/>
                            <w:noWrap/>
                            <w:vAlign w:val="center"/>
                            <w:hideMark/>
                          </w:tcPr>
                          <w:p w14:paraId="5321B271"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5.性別平等</w:t>
                            </w:r>
                          </w:p>
                        </w:tc>
                        <w:tc>
                          <w:tcPr>
                            <w:tcW w:w="935" w:type="dxa"/>
                            <w:noWrap/>
                            <w:vAlign w:val="center"/>
                            <w:hideMark/>
                          </w:tcPr>
                          <w:p w14:paraId="4EC783F9"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13</w:t>
                            </w:r>
                          </w:p>
                        </w:tc>
                        <w:tc>
                          <w:tcPr>
                            <w:tcW w:w="638" w:type="dxa"/>
                            <w:noWrap/>
                            <w:vAlign w:val="center"/>
                            <w:hideMark/>
                          </w:tcPr>
                          <w:p w14:paraId="571EC903"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3</w:t>
                            </w:r>
                          </w:p>
                        </w:tc>
                        <w:tc>
                          <w:tcPr>
                            <w:tcW w:w="883" w:type="dxa"/>
                            <w:vAlign w:val="center"/>
                          </w:tcPr>
                          <w:p w14:paraId="531264F6"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23.08</w:t>
                            </w:r>
                          </w:p>
                        </w:tc>
                        <w:tc>
                          <w:tcPr>
                            <w:tcW w:w="708" w:type="dxa"/>
                            <w:vAlign w:val="center"/>
                          </w:tcPr>
                          <w:p w14:paraId="03B8084A"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2</w:t>
                            </w:r>
                          </w:p>
                        </w:tc>
                        <w:tc>
                          <w:tcPr>
                            <w:tcW w:w="749" w:type="dxa"/>
                            <w:vAlign w:val="center"/>
                          </w:tcPr>
                          <w:p w14:paraId="4622A6F8"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816" w:type="dxa"/>
                            <w:vAlign w:val="center"/>
                          </w:tcPr>
                          <w:p w14:paraId="3A6C58C0"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68D31BE3" w14:textId="77777777" w:rsidTr="00F72E6D">
                        <w:trPr>
                          <w:trHeight w:val="283"/>
                        </w:trPr>
                        <w:tc>
                          <w:tcPr>
                            <w:tcW w:w="1843" w:type="dxa"/>
                            <w:noWrap/>
                            <w:vAlign w:val="center"/>
                            <w:hideMark/>
                          </w:tcPr>
                          <w:p w14:paraId="2CB6F894"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6.環境品質</w:t>
                            </w:r>
                          </w:p>
                        </w:tc>
                        <w:tc>
                          <w:tcPr>
                            <w:tcW w:w="935" w:type="dxa"/>
                            <w:noWrap/>
                            <w:vAlign w:val="center"/>
                            <w:hideMark/>
                          </w:tcPr>
                          <w:p w14:paraId="026B0FB9"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29</w:t>
                            </w:r>
                          </w:p>
                        </w:tc>
                        <w:tc>
                          <w:tcPr>
                            <w:tcW w:w="638" w:type="dxa"/>
                            <w:noWrap/>
                            <w:vAlign w:val="center"/>
                            <w:hideMark/>
                          </w:tcPr>
                          <w:p w14:paraId="6046EA65"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5</w:t>
                            </w:r>
                          </w:p>
                        </w:tc>
                        <w:tc>
                          <w:tcPr>
                            <w:tcW w:w="883" w:type="dxa"/>
                            <w:vAlign w:val="center"/>
                          </w:tcPr>
                          <w:p w14:paraId="1B9B1BC2"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17.24</w:t>
                            </w:r>
                          </w:p>
                        </w:tc>
                        <w:tc>
                          <w:tcPr>
                            <w:tcW w:w="708" w:type="dxa"/>
                            <w:vAlign w:val="center"/>
                          </w:tcPr>
                          <w:p w14:paraId="28849DA5"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5</w:t>
                            </w:r>
                          </w:p>
                        </w:tc>
                        <w:tc>
                          <w:tcPr>
                            <w:tcW w:w="749" w:type="dxa"/>
                            <w:vAlign w:val="center"/>
                          </w:tcPr>
                          <w:p w14:paraId="02A09751"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c>
                          <w:tcPr>
                            <w:tcW w:w="816" w:type="dxa"/>
                            <w:vAlign w:val="center"/>
                          </w:tcPr>
                          <w:p w14:paraId="65D99FC4"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4A3D6ED0" w14:textId="77777777" w:rsidTr="00F72E6D">
                        <w:trPr>
                          <w:trHeight w:val="283"/>
                        </w:trPr>
                        <w:tc>
                          <w:tcPr>
                            <w:tcW w:w="1843" w:type="dxa"/>
                            <w:noWrap/>
                            <w:vAlign w:val="center"/>
                            <w:hideMark/>
                          </w:tcPr>
                          <w:p w14:paraId="05E1C3B6"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7.可負擔能源</w:t>
                            </w:r>
                          </w:p>
                        </w:tc>
                        <w:tc>
                          <w:tcPr>
                            <w:tcW w:w="935" w:type="dxa"/>
                            <w:noWrap/>
                            <w:vAlign w:val="center"/>
                            <w:hideMark/>
                          </w:tcPr>
                          <w:p w14:paraId="411DD457"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5</w:t>
                            </w:r>
                          </w:p>
                        </w:tc>
                        <w:tc>
                          <w:tcPr>
                            <w:tcW w:w="638" w:type="dxa"/>
                            <w:noWrap/>
                            <w:vAlign w:val="center"/>
                            <w:hideMark/>
                          </w:tcPr>
                          <w:p w14:paraId="3067E26D"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3</w:t>
                            </w:r>
                          </w:p>
                        </w:tc>
                        <w:tc>
                          <w:tcPr>
                            <w:tcW w:w="883" w:type="dxa"/>
                            <w:vAlign w:val="center"/>
                          </w:tcPr>
                          <w:p w14:paraId="1C663AC1"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60.00</w:t>
                            </w:r>
                          </w:p>
                        </w:tc>
                        <w:tc>
                          <w:tcPr>
                            <w:tcW w:w="708" w:type="dxa"/>
                            <w:vAlign w:val="center"/>
                          </w:tcPr>
                          <w:p w14:paraId="18E8B8B6"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2</w:t>
                            </w:r>
                          </w:p>
                        </w:tc>
                        <w:tc>
                          <w:tcPr>
                            <w:tcW w:w="749" w:type="dxa"/>
                            <w:vAlign w:val="center"/>
                          </w:tcPr>
                          <w:p w14:paraId="3302D33E"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816" w:type="dxa"/>
                            <w:vAlign w:val="center"/>
                          </w:tcPr>
                          <w:p w14:paraId="0E6EC30C"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71BA4042" w14:textId="77777777" w:rsidTr="00F72E6D">
                        <w:trPr>
                          <w:trHeight w:val="283"/>
                        </w:trPr>
                        <w:tc>
                          <w:tcPr>
                            <w:tcW w:w="1843" w:type="dxa"/>
                            <w:noWrap/>
                            <w:vAlign w:val="center"/>
                            <w:hideMark/>
                          </w:tcPr>
                          <w:p w14:paraId="31D0F808" w14:textId="77777777" w:rsidR="00CE57F9" w:rsidRPr="00B73509" w:rsidRDefault="00CE57F9" w:rsidP="00F72E6D">
                            <w:pPr>
                              <w:overflowPunct w:val="0"/>
                              <w:spacing w:line="220" w:lineRule="exact"/>
                              <w:ind w:rightChars="-62" w:right="-149"/>
                              <w:suppressOverlap/>
                              <w:jc w:val="both"/>
                              <w:rPr>
                                <w:rFonts w:ascii="標楷體" w:eastAsia="標楷體" w:hAnsi="標楷體"/>
                                <w:sz w:val="20"/>
                              </w:rPr>
                            </w:pPr>
                            <w:r w:rsidRPr="00B73509">
                              <w:rPr>
                                <w:rFonts w:ascii="標楷體" w:eastAsia="標楷體" w:hAnsi="標楷體" w:hint="eastAsia"/>
                                <w:sz w:val="20"/>
                              </w:rPr>
                              <w:t>8.就業與經濟成長</w:t>
                            </w:r>
                          </w:p>
                        </w:tc>
                        <w:tc>
                          <w:tcPr>
                            <w:tcW w:w="935" w:type="dxa"/>
                            <w:noWrap/>
                            <w:vAlign w:val="center"/>
                            <w:hideMark/>
                          </w:tcPr>
                          <w:p w14:paraId="38C815E9"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34</w:t>
                            </w:r>
                          </w:p>
                        </w:tc>
                        <w:tc>
                          <w:tcPr>
                            <w:tcW w:w="638" w:type="dxa"/>
                            <w:noWrap/>
                            <w:vAlign w:val="center"/>
                            <w:hideMark/>
                          </w:tcPr>
                          <w:p w14:paraId="6EFD5EAA"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6</w:t>
                            </w:r>
                          </w:p>
                        </w:tc>
                        <w:tc>
                          <w:tcPr>
                            <w:tcW w:w="883" w:type="dxa"/>
                            <w:vAlign w:val="center"/>
                          </w:tcPr>
                          <w:p w14:paraId="0925837E"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17.65</w:t>
                            </w:r>
                          </w:p>
                        </w:tc>
                        <w:tc>
                          <w:tcPr>
                            <w:tcW w:w="708" w:type="dxa"/>
                            <w:vAlign w:val="center"/>
                          </w:tcPr>
                          <w:p w14:paraId="7F322341"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5</w:t>
                            </w:r>
                          </w:p>
                        </w:tc>
                        <w:tc>
                          <w:tcPr>
                            <w:tcW w:w="749" w:type="dxa"/>
                            <w:vAlign w:val="center"/>
                          </w:tcPr>
                          <w:p w14:paraId="417F7471"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816" w:type="dxa"/>
                            <w:vAlign w:val="center"/>
                          </w:tcPr>
                          <w:p w14:paraId="51A2E865"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543FE749" w14:textId="77777777" w:rsidTr="00F72E6D">
                        <w:trPr>
                          <w:trHeight w:val="283"/>
                        </w:trPr>
                        <w:tc>
                          <w:tcPr>
                            <w:tcW w:w="1843" w:type="dxa"/>
                            <w:noWrap/>
                            <w:vAlign w:val="center"/>
                            <w:hideMark/>
                          </w:tcPr>
                          <w:p w14:paraId="11400E74"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9.永續運輸</w:t>
                            </w:r>
                          </w:p>
                        </w:tc>
                        <w:tc>
                          <w:tcPr>
                            <w:tcW w:w="935" w:type="dxa"/>
                            <w:noWrap/>
                            <w:vAlign w:val="center"/>
                            <w:hideMark/>
                          </w:tcPr>
                          <w:p w14:paraId="61772FF6"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10</w:t>
                            </w:r>
                          </w:p>
                        </w:tc>
                        <w:tc>
                          <w:tcPr>
                            <w:tcW w:w="638" w:type="dxa"/>
                            <w:noWrap/>
                            <w:vAlign w:val="center"/>
                            <w:hideMark/>
                          </w:tcPr>
                          <w:p w14:paraId="3477D692"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w:t>
                            </w:r>
                          </w:p>
                        </w:tc>
                        <w:tc>
                          <w:tcPr>
                            <w:tcW w:w="883" w:type="dxa"/>
                            <w:vAlign w:val="center"/>
                          </w:tcPr>
                          <w:p w14:paraId="746F6F96"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20.00</w:t>
                            </w:r>
                          </w:p>
                        </w:tc>
                        <w:tc>
                          <w:tcPr>
                            <w:tcW w:w="708" w:type="dxa"/>
                            <w:vAlign w:val="center"/>
                          </w:tcPr>
                          <w:p w14:paraId="7218B172"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749" w:type="dxa"/>
                            <w:vAlign w:val="center"/>
                          </w:tcPr>
                          <w:p w14:paraId="385C483E"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816" w:type="dxa"/>
                            <w:vAlign w:val="center"/>
                          </w:tcPr>
                          <w:p w14:paraId="474C46AB"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27A61E64" w14:textId="77777777" w:rsidTr="00F72E6D">
                        <w:trPr>
                          <w:trHeight w:val="283"/>
                        </w:trPr>
                        <w:tc>
                          <w:tcPr>
                            <w:tcW w:w="1843" w:type="dxa"/>
                            <w:noWrap/>
                            <w:vAlign w:val="center"/>
                            <w:hideMark/>
                          </w:tcPr>
                          <w:p w14:paraId="3298BB34"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10.減少不平等</w:t>
                            </w:r>
                          </w:p>
                        </w:tc>
                        <w:tc>
                          <w:tcPr>
                            <w:tcW w:w="935" w:type="dxa"/>
                            <w:noWrap/>
                            <w:vAlign w:val="center"/>
                            <w:hideMark/>
                          </w:tcPr>
                          <w:p w14:paraId="28529202"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15</w:t>
                            </w:r>
                          </w:p>
                        </w:tc>
                        <w:tc>
                          <w:tcPr>
                            <w:tcW w:w="638" w:type="dxa"/>
                            <w:noWrap/>
                            <w:vAlign w:val="center"/>
                            <w:hideMark/>
                          </w:tcPr>
                          <w:p w14:paraId="02B82196"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3</w:t>
                            </w:r>
                          </w:p>
                        </w:tc>
                        <w:tc>
                          <w:tcPr>
                            <w:tcW w:w="883" w:type="dxa"/>
                            <w:vAlign w:val="center"/>
                          </w:tcPr>
                          <w:p w14:paraId="6CED1636"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20.00</w:t>
                            </w:r>
                          </w:p>
                        </w:tc>
                        <w:tc>
                          <w:tcPr>
                            <w:tcW w:w="708" w:type="dxa"/>
                            <w:vAlign w:val="center"/>
                          </w:tcPr>
                          <w:p w14:paraId="5E7A0197"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2</w:t>
                            </w:r>
                          </w:p>
                        </w:tc>
                        <w:tc>
                          <w:tcPr>
                            <w:tcW w:w="749" w:type="dxa"/>
                            <w:vAlign w:val="center"/>
                          </w:tcPr>
                          <w:p w14:paraId="099BE4E3"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816" w:type="dxa"/>
                            <w:vAlign w:val="center"/>
                          </w:tcPr>
                          <w:p w14:paraId="3CA88293"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7E49E9EC" w14:textId="77777777" w:rsidTr="00F72E6D">
                        <w:trPr>
                          <w:trHeight w:val="283"/>
                        </w:trPr>
                        <w:tc>
                          <w:tcPr>
                            <w:tcW w:w="1843" w:type="dxa"/>
                            <w:noWrap/>
                            <w:vAlign w:val="center"/>
                            <w:hideMark/>
                          </w:tcPr>
                          <w:p w14:paraId="2AE8A5C4"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11.永續城市</w:t>
                            </w:r>
                          </w:p>
                        </w:tc>
                        <w:tc>
                          <w:tcPr>
                            <w:tcW w:w="935" w:type="dxa"/>
                            <w:noWrap/>
                            <w:vAlign w:val="center"/>
                            <w:hideMark/>
                          </w:tcPr>
                          <w:p w14:paraId="3A2C15F6"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28</w:t>
                            </w:r>
                          </w:p>
                        </w:tc>
                        <w:tc>
                          <w:tcPr>
                            <w:tcW w:w="638" w:type="dxa"/>
                            <w:noWrap/>
                            <w:vAlign w:val="center"/>
                            <w:hideMark/>
                          </w:tcPr>
                          <w:p w14:paraId="48535C54"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7</w:t>
                            </w:r>
                          </w:p>
                        </w:tc>
                        <w:tc>
                          <w:tcPr>
                            <w:tcW w:w="883" w:type="dxa"/>
                            <w:vAlign w:val="center"/>
                          </w:tcPr>
                          <w:p w14:paraId="4109D3D0"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25.00</w:t>
                            </w:r>
                          </w:p>
                        </w:tc>
                        <w:tc>
                          <w:tcPr>
                            <w:tcW w:w="708" w:type="dxa"/>
                            <w:vAlign w:val="center"/>
                          </w:tcPr>
                          <w:p w14:paraId="310FAF7A"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7</w:t>
                            </w:r>
                          </w:p>
                        </w:tc>
                        <w:tc>
                          <w:tcPr>
                            <w:tcW w:w="749" w:type="dxa"/>
                            <w:vAlign w:val="center"/>
                          </w:tcPr>
                          <w:p w14:paraId="41CB97CA"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c>
                          <w:tcPr>
                            <w:tcW w:w="816" w:type="dxa"/>
                            <w:vAlign w:val="center"/>
                          </w:tcPr>
                          <w:p w14:paraId="3A8AEA43"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458AE60B" w14:textId="77777777" w:rsidTr="00F72E6D">
                        <w:trPr>
                          <w:trHeight w:val="283"/>
                        </w:trPr>
                        <w:tc>
                          <w:tcPr>
                            <w:tcW w:w="1843" w:type="dxa"/>
                            <w:noWrap/>
                            <w:vAlign w:val="center"/>
                            <w:hideMark/>
                          </w:tcPr>
                          <w:p w14:paraId="749FFDEA" w14:textId="77777777" w:rsidR="00CE57F9" w:rsidRPr="00B73509" w:rsidRDefault="00CE57F9" w:rsidP="00F72E6D">
                            <w:pPr>
                              <w:overflowPunct w:val="0"/>
                              <w:spacing w:line="220" w:lineRule="exact"/>
                              <w:ind w:rightChars="-62" w:right="-149"/>
                              <w:suppressOverlap/>
                              <w:jc w:val="both"/>
                              <w:rPr>
                                <w:rFonts w:ascii="標楷體" w:eastAsia="標楷體" w:hAnsi="標楷體"/>
                                <w:sz w:val="20"/>
                              </w:rPr>
                            </w:pPr>
                            <w:r w:rsidRPr="00B73509">
                              <w:rPr>
                                <w:rFonts w:ascii="標楷體" w:eastAsia="標楷體" w:hAnsi="標楷體" w:hint="eastAsia"/>
                                <w:sz w:val="20"/>
                              </w:rPr>
                              <w:t>12.責任生產及消費</w:t>
                            </w:r>
                          </w:p>
                        </w:tc>
                        <w:tc>
                          <w:tcPr>
                            <w:tcW w:w="935" w:type="dxa"/>
                            <w:noWrap/>
                            <w:vAlign w:val="center"/>
                            <w:hideMark/>
                          </w:tcPr>
                          <w:p w14:paraId="38DCEB86"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29</w:t>
                            </w:r>
                          </w:p>
                        </w:tc>
                        <w:tc>
                          <w:tcPr>
                            <w:tcW w:w="638" w:type="dxa"/>
                            <w:noWrap/>
                            <w:vAlign w:val="center"/>
                            <w:hideMark/>
                          </w:tcPr>
                          <w:p w14:paraId="0E4454B7"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6</w:t>
                            </w:r>
                          </w:p>
                        </w:tc>
                        <w:tc>
                          <w:tcPr>
                            <w:tcW w:w="883" w:type="dxa"/>
                            <w:vAlign w:val="center"/>
                          </w:tcPr>
                          <w:p w14:paraId="6E72AC92"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20.69</w:t>
                            </w:r>
                          </w:p>
                        </w:tc>
                        <w:tc>
                          <w:tcPr>
                            <w:tcW w:w="708" w:type="dxa"/>
                            <w:vAlign w:val="center"/>
                          </w:tcPr>
                          <w:p w14:paraId="405350CE"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6</w:t>
                            </w:r>
                          </w:p>
                        </w:tc>
                        <w:tc>
                          <w:tcPr>
                            <w:tcW w:w="749" w:type="dxa"/>
                            <w:vAlign w:val="center"/>
                          </w:tcPr>
                          <w:p w14:paraId="574FBABD"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c>
                          <w:tcPr>
                            <w:tcW w:w="816" w:type="dxa"/>
                            <w:vAlign w:val="center"/>
                          </w:tcPr>
                          <w:p w14:paraId="28BBBE93"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451964FE" w14:textId="77777777" w:rsidTr="00F72E6D">
                        <w:trPr>
                          <w:trHeight w:val="283"/>
                        </w:trPr>
                        <w:tc>
                          <w:tcPr>
                            <w:tcW w:w="1843" w:type="dxa"/>
                            <w:noWrap/>
                            <w:vAlign w:val="center"/>
                            <w:hideMark/>
                          </w:tcPr>
                          <w:p w14:paraId="7CA80943"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13.氣候行動</w:t>
                            </w:r>
                          </w:p>
                        </w:tc>
                        <w:tc>
                          <w:tcPr>
                            <w:tcW w:w="935" w:type="dxa"/>
                            <w:noWrap/>
                            <w:vAlign w:val="center"/>
                            <w:hideMark/>
                          </w:tcPr>
                          <w:p w14:paraId="5578444D"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5</w:t>
                            </w:r>
                          </w:p>
                        </w:tc>
                        <w:tc>
                          <w:tcPr>
                            <w:tcW w:w="638" w:type="dxa"/>
                            <w:noWrap/>
                            <w:vAlign w:val="center"/>
                            <w:hideMark/>
                          </w:tcPr>
                          <w:p w14:paraId="01E12CA5"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w:t>
                            </w:r>
                          </w:p>
                        </w:tc>
                        <w:tc>
                          <w:tcPr>
                            <w:tcW w:w="883" w:type="dxa"/>
                            <w:vAlign w:val="center"/>
                          </w:tcPr>
                          <w:p w14:paraId="367A7448"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40.00</w:t>
                            </w:r>
                          </w:p>
                        </w:tc>
                        <w:tc>
                          <w:tcPr>
                            <w:tcW w:w="708" w:type="dxa"/>
                            <w:vAlign w:val="center"/>
                          </w:tcPr>
                          <w:p w14:paraId="12CBCCCC"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749" w:type="dxa"/>
                            <w:vAlign w:val="center"/>
                          </w:tcPr>
                          <w:p w14:paraId="2F7C6209"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816" w:type="dxa"/>
                            <w:vAlign w:val="center"/>
                          </w:tcPr>
                          <w:p w14:paraId="51C9C863"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34397632" w14:textId="77777777" w:rsidTr="00F72E6D">
                        <w:trPr>
                          <w:trHeight w:val="283"/>
                        </w:trPr>
                        <w:tc>
                          <w:tcPr>
                            <w:tcW w:w="1843" w:type="dxa"/>
                            <w:noWrap/>
                            <w:vAlign w:val="center"/>
                            <w:hideMark/>
                          </w:tcPr>
                          <w:p w14:paraId="7A4434BE"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14.海洋生態</w:t>
                            </w:r>
                          </w:p>
                        </w:tc>
                        <w:tc>
                          <w:tcPr>
                            <w:tcW w:w="935" w:type="dxa"/>
                            <w:noWrap/>
                            <w:vAlign w:val="center"/>
                            <w:hideMark/>
                          </w:tcPr>
                          <w:p w14:paraId="25A86060"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14</w:t>
                            </w:r>
                          </w:p>
                        </w:tc>
                        <w:tc>
                          <w:tcPr>
                            <w:tcW w:w="638" w:type="dxa"/>
                            <w:noWrap/>
                            <w:vAlign w:val="center"/>
                            <w:hideMark/>
                          </w:tcPr>
                          <w:p w14:paraId="47860663"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5</w:t>
                            </w:r>
                          </w:p>
                        </w:tc>
                        <w:tc>
                          <w:tcPr>
                            <w:tcW w:w="883" w:type="dxa"/>
                            <w:vAlign w:val="center"/>
                          </w:tcPr>
                          <w:p w14:paraId="7BAFD0B0"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35.71</w:t>
                            </w:r>
                          </w:p>
                        </w:tc>
                        <w:tc>
                          <w:tcPr>
                            <w:tcW w:w="708" w:type="dxa"/>
                            <w:vAlign w:val="center"/>
                          </w:tcPr>
                          <w:p w14:paraId="22E5F024"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5</w:t>
                            </w:r>
                          </w:p>
                        </w:tc>
                        <w:tc>
                          <w:tcPr>
                            <w:tcW w:w="749" w:type="dxa"/>
                            <w:vAlign w:val="center"/>
                          </w:tcPr>
                          <w:p w14:paraId="6A3A66D3"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c>
                          <w:tcPr>
                            <w:tcW w:w="816" w:type="dxa"/>
                            <w:vAlign w:val="center"/>
                          </w:tcPr>
                          <w:p w14:paraId="5D878D02"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1E90D015" w14:textId="77777777" w:rsidTr="00F72E6D">
                        <w:trPr>
                          <w:trHeight w:val="283"/>
                        </w:trPr>
                        <w:tc>
                          <w:tcPr>
                            <w:tcW w:w="1843" w:type="dxa"/>
                            <w:noWrap/>
                            <w:vAlign w:val="center"/>
                            <w:hideMark/>
                          </w:tcPr>
                          <w:p w14:paraId="1B78284B"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15.陸地生態</w:t>
                            </w:r>
                          </w:p>
                        </w:tc>
                        <w:tc>
                          <w:tcPr>
                            <w:tcW w:w="935" w:type="dxa"/>
                            <w:noWrap/>
                            <w:vAlign w:val="center"/>
                            <w:hideMark/>
                          </w:tcPr>
                          <w:p w14:paraId="6BAE8DB3"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13</w:t>
                            </w:r>
                          </w:p>
                        </w:tc>
                        <w:tc>
                          <w:tcPr>
                            <w:tcW w:w="638" w:type="dxa"/>
                            <w:noWrap/>
                            <w:vAlign w:val="center"/>
                            <w:hideMark/>
                          </w:tcPr>
                          <w:p w14:paraId="227EFEAB"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4</w:t>
                            </w:r>
                          </w:p>
                        </w:tc>
                        <w:tc>
                          <w:tcPr>
                            <w:tcW w:w="883" w:type="dxa"/>
                            <w:vAlign w:val="center"/>
                          </w:tcPr>
                          <w:p w14:paraId="7CFCBCA9"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30.77</w:t>
                            </w:r>
                          </w:p>
                        </w:tc>
                        <w:tc>
                          <w:tcPr>
                            <w:tcW w:w="708" w:type="dxa"/>
                            <w:vAlign w:val="center"/>
                          </w:tcPr>
                          <w:p w14:paraId="06DE97BC"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4</w:t>
                            </w:r>
                          </w:p>
                        </w:tc>
                        <w:tc>
                          <w:tcPr>
                            <w:tcW w:w="749" w:type="dxa"/>
                            <w:vAlign w:val="center"/>
                          </w:tcPr>
                          <w:p w14:paraId="246FAFFC"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c>
                          <w:tcPr>
                            <w:tcW w:w="816" w:type="dxa"/>
                            <w:vAlign w:val="center"/>
                          </w:tcPr>
                          <w:p w14:paraId="6BBF2239"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0A7E7417" w14:textId="77777777" w:rsidTr="00F72E6D">
                        <w:trPr>
                          <w:trHeight w:val="283"/>
                        </w:trPr>
                        <w:tc>
                          <w:tcPr>
                            <w:tcW w:w="1843" w:type="dxa"/>
                            <w:noWrap/>
                            <w:vAlign w:val="center"/>
                            <w:hideMark/>
                          </w:tcPr>
                          <w:p w14:paraId="348B7458" w14:textId="77777777" w:rsidR="00CE57F9" w:rsidRPr="00B73509" w:rsidRDefault="00CE57F9" w:rsidP="00F72E6D">
                            <w:pPr>
                              <w:overflowPunct w:val="0"/>
                              <w:spacing w:line="220" w:lineRule="exact"/>
                              <w:ind w:rightChars="-62" w:right="-149"/>
                              <w:suppressOverlap/>
                              <w:jc w:val="both"/>
                              <w:rPr>
                                <w:rFonts w:ascii="標楷體" w:eastAsia="標楷體" w:hAnsi="標楷體"/>
                                <w:sz w:val="20"/>
                              </w:rPr>
                            </w:pPr>
                            <w:r w:rsidRPr="00B73509">
                              <w:rPr>
                                <w:rFonts w:ascii="標楷體" w:eastAsia="標楷體" w:hAnsi="標楷體" w:hint="eastAsia"/>
                                <w:sz w:val="20"/>
                              </w:rPr>
                              <w:t>16.和平與正義制度</w:t>
                            </w:r>
                          </w:p>
                        </w:tc>
                        <w:tc>
                          <w:tcPr>
                            <w:tcW w:w="935" w:type="dxa"/>
                            <w:noWrap/>
                            <w:vAlign w:val="center"/>
                            <w:hideMark/>
                          </w:tcPr>
                          <w:p w14:paraId="64FB2F14"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10</w:t>
                            </w:r>
                          </w:p>
                        </w:tc>
                        <w:tc>
                          <w:tcPr>
                            <w:tcW w:w="638" w:type="dxa"/>
                            <w:noWrap/>
                            <w:vAlign w:val="center"/>
                            <w:hideMark/>
                          </w:tcPr>
                          <w:p w14:paraId="134A0DAD"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3</w:t>
                            </w:r>
                          </w:p>
                        </w:tc>
                        <w:tc>
                          <w:tcPr>
                            <w:tcW w:w="883" w:type="dxa"/>
                            <w:vAlign w:val="center"/>
                          </w:tcPr>
                          <w:p w14:paraId="1AFB5F8C"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30.00</w:t>
                            </w:r>
                          </w:p>
                        </w:tc>
                        <w:tc>
                          <w:tcPr>
                            <w:tcW w:w="708" w:type="dxa"/>
                            <w:vAlign w:val="center"/>
                          </w:tcPr>
                          <w:p w14:paraId="388D2C17"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2</w:t>
                            </w:r>
                          </w:p>
                        </w:tc>
                        <w:tc>
                          <w:tcPr>
                            <w:tcW w:w="749" w:type="dxa"/>
                            <w:vAlign w:val="center"/>
                          </w:tcPr>
                          <w:p w14:paraId="1AE14AF8"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816" w:type="dxa"/>
                            <w:vAlign w:val="center"/>
                          </w:tcPr>
                          <w:p w14:paraId="5005D30D"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78E0CC08" w14:textId="77777777" w:rsidTr="00F72E6D">
                        <w:trPr>
                          <w:trHeight w:val="283"/>
                        </w:trPr>
                        <w:tc>
                          <w:tcPr>
                            <w:tcW w:w="1843" w:type="dxa"/>
                            <w:noWrap/>
                            <w:vAlign w:val="center"/>
                            <w:hideMark/>
                          </w:tcPr>
                          <w:p w14:paraId="30384C15"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17.全球夥伴</w:t>
                            </w:r>
                          </w:p>
                        </w:tc>
                        <w:tc>
                          <w:tcPr>
                            <w:tcW w:w="935" w:type="dxa"/>
                            <w:noWrap/>
                            <w:vAlign w:val="center"/>
                            <w:hideMark/>
                          </w:tcPr>
                          <w:p w14:paraId="7ACB7E2B"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13</w:t>
                            </w:r>
                          </w:p>
                        </w:tc>
                        <w:tc>
                          <w:tcPr>
                            <w:tcW w:w="638" w:type="dxa"/>
                            <w:tcBorders>
                              <w:bottom w:val="single" w:sz="4" w:space="0" w:color="auto"/>
                            </w:tcBorders>
                            <w:noWrap/>
                            <w:vAlign w:val="center"/>
                            <w:hideMark/>
                          </w:tcPr>
                          <w:p w14:paraId="6BB42ED4"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3</w:t>
                            </w:r>
                          </w:p>
                        </w:tc>
                        <w:tc>
                          <w:tcPr>
                            <w:tcW w:w="883" w:type="dxa"/>
                            <w:tcBorders>
                              <w:bottom w:val="single" w:sz="4" w:space="0" w:color="auto"/>
                            </w:tcBorders>
                            <w:vAlign w:val="center"/>
                          </w:tcPr>
                          <w:p w14:paraId="7A757AEA" w14:textId="77777777" w:rsidR="00CE57F9" w:rsidRPr="00B73509" w:rsidRDefault="00CE57F9" w:rsidP="00F72E6D">
                            <w:pPr>
                              <w:overflowPunct w:val="0"/>
                              <w:spacing w:line="220" w:lineRule="exact"/>
                              <w:suppressOverlap/>
                              <w:jc w:val="right"/>
                              <w:rPr>
                                <w:rFonts w:ascii="標楷體" w:eastAsia="標楷體" w:hAnsi="標楷體"/>
                                <w:b/>
                                <w:sz w:val="20"/>
                              </w:rPr>
                            </w:pPr>
                            <w:r w:rsidRPr="00B73509">
                              <w:rPr>
                                <w:rFonts w:ascii="標楷體" w:eastAsia="標楷體" w:hAnsi="標楷體" w:hint="eastAsia"/>
                                <w:b/>
                                <w:sz w:val="20"/>
                              </w:rPr>
                              <w:t>23.08</w:t>
                            </w:r>
                          </w:p>
                        </w:tc>
                        <w:tc>
                          <w:tcPr>
                            <w:tcW w:w="708" w:type="dxa"/>
                            <w:tcBorders>
                              <w:bottom w:val="single" w:sz="4" w:space="0" w:color="auto"/>
                            </w:tcBorders>
                            <w:vAlign w:val="center"/>
                          </w:tcPr>
                          <w:p w14:paraId="07F9659D"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2</w:t>
                            </w:r>
                          </w:p>
                        </w:tc>
                        <w:tc>
                          <w:tcPr>
                            <w:tcW w:w="749" w:type="dxa"/>
                            <w:tcBorders>
                              <w:bottom w:val="single" w:sz="4" w:space="0" w:color="auto"/>
                            </w:tcBorders>
                            <w:vAlign w:val="center"/>
                          </w:tcPr>
                          <w:p w14:paraId="05BBDC3B" w14:textId="77777777" w:rsidR="00CE57F9" w:rsidRPr="00B73509" w:rsidRDefault="00CE57F9" w:rsidP="00F72E6D">
                            <w:pPr>
                              <w:overflowPunct w:val="0"/>
                              <w:spacing w:line="220" w:lineRule="exact"/>
                              <w:suppressOverlap/>
                              <w:jc w:val="right"/>
                              <w:rPr>
                                <w:rFonts w:ascii="標楷體" w:eastAsia="標楷體" w:hAnsi="標楷體"/>
                                <w:sz w:val="20"/>
                              </w:rPr>
                            </w:pPr>
                            <w:r w:rsidRPr="00B73509">
                              <w:rPr>
                                <w:rFonts w:ascii="標楷體" w:eastAsia="標楷體" w:hAnsi="標楷體" w:hint="eastAsia"/>
                                <w:sz w:val="20"/>
                              </w:rPr>
                              <w:t>1</w:t>
                            </w:r>
                          </w:p>
                        </w:tc>
                        <w:tc>
                          <w:tcPr>
                            <w:tcW w:w="816" w:type="dxa"/>
                            <w:tcBorders>
                              <w:bottom w:val="single" w:sz="4" w:space="0" w:color="auto"/>
                            </w:tcBorders>
                            <w:vAlign w:val="center"/>
                          </w:tcPr>
                          <w:p w14:paraId="12FC6CA6" w14:textId="77777777" w:rsidR="00CE57F9" w:rsidRPr="00B73509" w:rsidRDefault="00CE57F9" w:rsidP="00F72E6D">
                            <w:pPr>
                              <w:spacing w:line="220" w:lineRule="exact"/>
                              <w:suppressOverlap/>
                              <w:jc w:val="right"/>
                              <w:rPr>
                                <w:rFonts w:ascii="標楷體" w:eastAsia="標楷體" w:hAnsi="標楷體"/>
                                <w:sz w:val="20"/>
                              </w:rPr>
                            </w:pPr>
                            <w:r w:rsidRPr="00B73509">
                              <w:rPr>
                                <w:rFonts w:ascii="標楷體" w:eastAsia="標楷體" w:hAnsi="標楷體" w:hint="eastAsia"/>
                                <w:sz w:val="20"/>
                              </w:rPr>
                              <w:t>－</w:t>
                            </w:r>
                          </w:p>
                        </w:tc>
                      </w:tr>
                      <w:tr w:rsidR="00CE57F9" w:rsidRPr="008076C0" w14:paraId="150D5888" w14:textId="77777777" w:rsidTr="00F72E6D">
                        <w:trPr>
                          <w:trHeight w:val="283"/>
                        </w:trPr>
                        <w:tc>
                          <w:tcPr>
                            <w:tcW w:w="1843" w:type="dxa"/>
                            <w:tcBorders>
                              <w:bottom w:val="single" w:sz="4" w:space="0" w:color="auto"/>
                            </w:tcBorders>
                            <w:noWrap/>
                            <w:vAlign w:val="center"/>
                            <w:hideMark/>
                          </w:tcPr>
                          <w:p w14:paraId="630043CB" w14:textId="77777777" w:rsidR="00CE57F9" w:rsidRPr="00B73509" w:rsidRDefault="00CE57F9" w:rsidP="00F72E6D">
                            <w:pPr>
                              <w:overflowPunct w:val="0"/>
                              <w:spacing w:line="220" w:lineRule="exact"/>
                              <w:suppressOverlap/>
                              <w:jc w:val="both"/>
                              <w:rPr>
                                <w:rFonts w:ascii="標楷體" w:eastAsia="標楷體" w:hAnsi="標楷體"/>
                                <w:sz w:val="20"/>
                              </w:rPr>
                            </w:pPr>
                            <w:r w:rsidRPr="00B73509">
                              <w:rPr>
                                <w:rFonts w:ascii="標楷體" w:eastAsia="標楷體" w:hAnsi="標楷體" w:hint="eastAsia"/>
                                <w:sz w:val="20"/>
                              </w:rPr>
                              <w:t>18.非核家園</w:t>
                            </w:r>
                          </w:p>
                        </w:tc>
                        <w:tc>
                          <w:tcPr>
                            <w:tcW w:w="935" w:type="dxa"/>
                            <w:tcBorders>
                              <w:bottom w:val="single" w:sz="4" w:space="0" w:color="auto"/>
                            </w:tcBorders>
                            <w:noWrap/>
                            <w:vAlign w:val="center"/>
                            <w:hideMark/>
                          </w:tcPr>
                          <w:p w14:paraId="1C35AA60" w14:textId="77777777" w:rsidR="00CE57F9" w:rsidRPr="00B73509" w:rsidRDefault="00CE57F9" w:rsidP="00F72E6D">
                            <w:pPr>
                              <w:widowControl/>
                              <w:spacing w:line="220" w:lineRule="exact"/>
                              <w:ind w:leftChars="-47" w:left="5" w:rightChars="-16" w:right="-38" w:hangingChars="74" w:hanging="118"/>
                              <w:suppressOverlap/>
                              <w:jc w:val="right"/>
                              <w:rPr>
                                <w:rFonts w:ascii="標楷體" w:eastAsia="標楷體" w:hAnsi="標楷體" w:cs="新細明體"/>
                                <w:spacing w:val="-20"/>
                                <w:sz w:val="20"/>
                              </w:rPr>
                            </w:pPr>
                            <w:r w:rsidRPr="00B73509">
                              <w:rPr>
                                <w:rFonts w:ascii="標楷體" w:eastAsia="標楷體" w:hAnsi="標楷體" w:hint="eastAsia"/>
                                <w:spacing w:val="-20"/>
                                <w:sz w:val="20"/>
                              </w:rPr>
                              <w:t>－</w:t>
                            </w:r>
                            <w:r w:rsidRPr="00B73509">
                              <w:rPr>
                                <w:rFonts w:ascii="標楷體" w:eastAsia="標楷體" w:hAnsi="標楷體" w:cs="新細明體" w:hint="eastAsia"/>
                                <w:spacing w:val="-20"/>
                                <w:sz w:val="20"/>
                              </w:rPr>
                              <w:t>（註1）</w:t>
                            </w:r>
                          </w:p>
                        </w:tc>
                        <w:tc>
                          <w:tcPr>
                            <w:tcW w:w="3794" w:type="dxa"/>
                            <w:gridSpan w:val="5"/>
                            <w:tcBorders>
                              <w:bottom w:val="single" w:sz="4" w:space="0" w:color="auto"/>
                              <w:tl2br w:val="single" w:sz="4" w:space="0" w:color="auto"/>
                            </w:tcBorders>
                            <w:noWrap/>
                            <w:vAlign w:val="center"/>
                            <w:hideMark/>
                          </w:tcPr>
                          <w:p w14:paraId="51D5E05E" w14:textId="77777777" w:rsidR="00CE57F9" w:rsidRPr="00B73509" w:rsidRDefault="00CE57F9" w:rsidP="00F72E6D">
                            <w:pPr>
                              <w:overflowPunct w:val="0"/>
                              <w:spacing w:line="220" w:lineRule="exact"/>
                              <w:suppressOverlap/>
                              <w:jc w:val="right"/>
                              <w:rPr>
                                <w:rFonts w:ascii="標楷體" w:eastAsia="標楷體" w:hAnsi="標楷體"/>
                                <w:sz w:val="20"/>
                              </w:rPr>
                            </w:pPr>
                          </w:p>
                        </w:tc>
                      </w:tr>
                    </w:tbl>
                    <w:p w14:paraId="3C0A1FD7" w14:textId="77777777" w:rsidR="00CE57F9" w:rsidRPr="008076C0" w:rsidRDefault="00CE57F9" w:rsidP="00EA6C1F">
                      <w:pPr>
                        <w:widowControl/>
                        <w:spacing w:line="240" w:lineRule="exact"/>
                        <w:ind w:left="540" w:hangingChars="300" w:hanging="540"/>
                        <w:suppressOverlap/>
                        <w:jc w:val="both"/>
                        <w:rPr>
                          <w:rFonts w:ascii="標楷體" w:eastAsia="標楷體" w:hAnsi="標楷體" w:cs="新細明體"/>
                          <w:bCs/>
                          <w:sz w:val="18"/>
                          <w:szCs w:val="18"/>
                        </w:rPr>
                      </w:pPr>
                      <w:r w:rsidRPr="008076C0">
                        <w:rPr>
                          <w:rFonts w:ascii="標楷體" w:eastAsia="標楷體" w:hAnsi="標楷體" w:cs="新細明體" w:hint="eastAsia"/>
                          <w:bCs/>
                          <w:sz w:val="18"/>
                          <w:szCs w:val="18"/>
                        </w:rPr>
                        <w:t>註：1.</w:t>
                      </w:r>
                      <w:r w:rsidRPr="00B30BFE">
                        <w:rPr>
                          <w:rFonts w:ascii="標楷體" w:eastAsia="標楷體" w:hAnsi="標楷體" w:cs="新細明體" w:hint="eastAsia"/>
                          <w:bCs/>
                          <w:sz w:val="18"/>
                          <w:szCs w:val="18"/>
                        </w:rPr>
                        <w:t>臺灣永續發展目標</w:t>
                      </w:r>
                      <w:r w:rsidRPr="008076C0">
                        <w:rPr>
                          <w:rFonts w:ascii="標楷體" w:eastAsia="標楷體" w:hAnsi="標楷體" w:cs="新細明體" w:hint="eastAsia"/>
                          <w:bCs/>
                          <w:sz w:val="18"/>
                          <w:szCs w:val="18"/>
                        </w:rPr>
                        <w:t>18非核家園僅有質化目標，未訂定對應指標。</w:t>
                      </w:r>
                    </w:p>
                    <w:p w14:paraId="6B744B0D" w14:textId="77777777" w:rsidR="00CE57F9" w:rsidRPr="00743C5F" w:rsidRDefault="00CE57F9" w:rsidP="00EA6C1F">
                      <w:pPr>
                        <w:spacing w:line="240" w:lineRule="exact"/>
                        <w:ind w:leftChars="150" w:left="360"/>
                      </w:pPr>
                      <w:r w:rsidRPr="008076C0">
                        <w:rPr>
                          <w:rFonts w:ascii="標楷體" w:eastAsia="標楷體" w:hAnsi="標楷體" w:cs="新細明體" w:hint="eastAsia"/>
                          <w:bCs/>
                          <w:sz w:val="18"/>
                          <w:szCs w:val="18"/>
                        </w:rPr>
                        <w:t>2.資料來源：整理自2022國家自願檢視報告</w:t>
                      </w:r>
                      <w:r w:rsidRPr="008076C0">
                        <w:rPr>
                          <w:rFonts w:ascii="標楷體" w:eastAsia="標楷體" w:hAnsi="標楷體" w:cs="新細明體" w:hint="eastAsia"/>
                          <w:bCs/>
                        </w:rPr>
                        <w:t>。</w:t>
                      </w:r>
                    </w:p>
                  </w:txbxContent>
                </v:textbox>
                <w10:wrap type="square" anchorx="margin"/>
              </v:shape>
            </w:pict>
          </mc:Fallback>
        </mc:AlternateContent>
      </w:r>
      <w:r w:rsidRPr="009D11AD">
        <w:rPr>
          <w:rFonts w:ascii="標楷體" w:eastAsia="標楷體" w:hAnsi="標楷體" w:hint="eastAsia"/>
          <w:szCs w:val="24"/>
        </w:rPr>
        <w:t>及參考國際關注性加入4項國際關注之補充指標。上開71項對應指標，</w:t>
      </w:r>
      <w:r w:rsidRPr="009D11AD">
        <w:rPr>
          <w:rFonts w:ascii="標楷體" w:eastAsia="標楷體" w:hAnsi="標楷體" w:hint="eastAsia"/>
          <w:kern w:val="0"/>
          <w:szCs w:val="24"/>
        </w:rPr>
        <w:t>59項對應指標達成目標</w:t>
      </w:r>
      <w:r w:rsidRPr="00CC14CA">
        <w:rPr>
          <w:rFonts w:ascii="標楷體" w:eastAsia="標楷體" w:hAnsi="標楷體" w:hint="eastAsia"/>
          <w:spacing w:val="-2"/>
          <w:kern w:val="0"/>
          <w:szCs w:val="24"/>
        </w:rPr>
        <w:t>（83.10％）、11項未達目標</w:t>
      </w:r>
      <w:r w:rsidRPr="00CC14CA">
        <w:rPr>
          <w:rFonts w:ascii="標楷體" w:eastAsia="標楷體" w:hAnsi="標楷體" w:hint="eastAsia"/>
          <w:spacing w:val="-2"/>
          <w:szCs w:val="24"/>
        </w:rPr>
        <w:t>（15.49％）、1項則未達統計週期（1.41％），另4項補充指標均表現良好，政府推動永續發展已獲得相當程度進展及具階段性成果。惟查第2次VNR重點檢視之71項對應指標僅占</w:t>
      </w:r>
      <w:r w:rsidRPr="00CC14CA">
        <w:rPr>
          <w:rFonts w:ascii="標楷體" w:eastAsia="標楷體" w:hAnsi="標楷體" w:hint="eastAsia"/>
          <w:spacing w:val="-2"/>
          <w:kern w:val="0"/>
          <w:szCs w:val="24"/>
        </w:rPr>
        <w:t>所有336項之2成餘（21.13％）</w:t>
      </w:r>
      <w:r w:rsidRPr="009D11AD">
        <w:rPr>
          <w:rFonts w:ascii="標楷體" w:eastAsia="標楷體" w:hAnsi="標楷體" w:hint="eastAsia"/>
          <w:kern w:val="0"/>
          <w:szCs w:val="24"/>
        </w:rPr>
        <w:t>，且永續會考量原訂336項對應</w:t>
      </w:r>
      <w:r w:rsidRPr="009D11AD">
        <w:rPr>
          <w:rFonts w:ascii="標楷體" w:eastAsia="標楷體" w:hAnsi="標楷體" w:hint="eastAsia"/>
          <w:szCs w:val="24"/>
        </w:rPr>
        <w:t>指標無法協助國際瞭解我國永續發展進程之執行成果，致須再新增4項國際關注之補充指標以為呈現，顯示高達7成餘之對應指標，或因未符前開3項指標篩選原則，或尚</w:t>
      </w:r>
      <w:r w:rsidRPr="005256F2">
        <w:rPr>
          <w:rFonts w:ascii="標楷體" w:eastAsia="標楷體" w:hAnsi="標楷體" w:hint="eastAsia"/>
          <w:szCs w:val="24"/>
        </w:rPr>
        <w:t>難以與國際指標對應及進行比較，均未能列入第2次VNR檢視執行成果。另經就臺灣永續發展</w:t>
      </w:r>
      <w:r w:rsidRPr="00AD67F6">
        <w:rPr>
          <w:rFonts w:ascii="標楷體" w:eastAsia="標楷體" w:hAnsi="標楷體" w:hint="eastAsia"/>
          <w:szCs w:val="24"/>
        </w:rPr>
        <w:lastRenderedPageBreak/>
        <w:t>目標</w:t>
      </w:r>
      <w:r w:rsidRPr="00AD67F6">
        <w:rPr>
          <w:rFonts w:ascii="標楷體" w:eastAsia="標楷體" w:hAnsi="標楷體"/>
          <w:szCs w:val="24"/>
        </w:rPr>
        <w:t>18</w:t>
      </w:r>
      <w:r w:rsidRPr="00AD67F6">
        <w:rPr>
          <w:rFonts w:ascii="標楷體" w:eastAsia="標楷體" w:hAnsi="標楷體" w:hint="eastAsia"/>
          <w:szCs w:val="24"/>
        </w:rPr>
        <w:t>項核心目標之對應指標分析</w:t>
      </w:r>
      <w:r w:rsidRPr="009D11AD">
        <w:rPr>
          <w:rFonts w:ascii="標楷體" w:eastAsia="標楷體" w:hAnsi="標楷體"/>
          <w:szCs w:val="24"/>
        </w:rPr>
        <w:t>（</w:t>
      </w:r>
      <w:r w:rsidRPr="00346BDD">
        <w:rPr>
          <w:rFonts w:ascii="標楷體" w:eastAsia="標楷體" w:hAnsi="標楷體"/>
          <w:szCs w:val="24"/>
        </w:rPr>
        <w:t>表</w:t>
      </w:r>
      <w:r w:rsidRPr="00346BDD">
        <w:rPr>
          <w:rFonts w:ascii="標楷體" w:eastAsia="標楷體" w:hAnsi="標楷體" w:hint="eastAsia"/>
          <w:szCs w:val="24"/>
        </w:rPr>
        <w:t>2</w:t>
      </w:r>
      <w:r w:rsidR="00B729E6" w:rsidRPr="00346BDD">
        <w:rPr>
          <w:rFonts w:ascii="標楷體" w:eastAsia="標楷體" w:hAnsi="標楷體" w:hint="eastAsia"/>
          <w:szCs w:val="24"/>
        </w:rPr>
        <w:t>0</w:t>
      </w:r>
      <w:r w:rsidRPr="009D11AD">
        <w:rPr>
          <w:rFonts w:ascii="標楷體" w:eastAsia="標楷體" w:hAnsi="標楷體"/>
          <w:szCs w:val="24"/>
        </w:rPr>
        <w:t>）</w:t>
      </w:r>
      <w:r w:rsidRPr="009D11AD">
        <w:rPr>
          <w:rFonts w:ascii="標楷體" w:eastAsia="標楷體" w:hAnsi="標楷體" w:hint="eastAsia"/>
          <w:szCs w:val="24"/>
        </w:rPr>
        <w:t>，</w:t>
      </w:r>
      <w:r w:rsidRPr="00AD67F6">
        <w:rPr>
          <w:rFonts w:ascii="標楷體" w:eastAsia="標楷體" w:hAnsi="標楷體" w:hint="eastAsia"/>
          <w:szCs w:val="24"/>
        </w:rPr>
        <w:t>除核心目標7「可負擔能源」檢視率達6成、</w:t>
      </w:r>
      <w:r w:rsidR="001A3346" w:rsidRPr="00AD67F6">
        <w:rPr>
          <w:rFonts w:ascii="標楷體" w:eastAsia="標楷體" w:hAnsi="標楷體" w:hint="eastAsia"/>
          <w:szCs w:val="24"/>
        </w:rPr>
        <w:t>核</w:t>
      </w:r>
      <w:r w:rsidR="001A3346" w:rsidRPr="009D11AD">
        <w:rPr>
          <w:rFonts w:ascii="標楷體" w:eastAsia="標楷體" w:hAnsi="標楷體" w:hint="eastAsia"/>
          <w:szCs w:val="24"/>
        </w:rPr>
        <w:t>心指標</w:t>
      </w:r>
      <w:r w:rsidRPr="009D11AD">
        <w:rPr>
          <w:rFonts w:ascii="標楷體" w:eastAsia="標楷體" w:hAnsi="標楷體" w:hint="eastAsia"/>
          <w:szCs w:val="24"/>
        </w:rPr>
        <w:t>13「氣候行動」檢視率為4成及</w:t>
      </w:r>
      <w:r w:rsidR="001A3346" w:rsidRPr="009D11AD">
        <w:rPr>
          <w:rFonts w:ascii="標楷體" w:eastAsia="標楷體" w:hAnsi="標楷體" w:hint="eastAsia"/>
          <w:szCs w:val="24"/>
        </w:rPr>
        <w:t>核心指標</w:t>
      </w:r>
      <w:r w:rsidRPr="009D11AD">
        <w:rPr>
          <w:rFonts w:ascii="標楷體" w:eastAsia="標楷體" w:hAnsi="標楷體" w:hint="eastAsia"/>
          <w:szCs w:val="24"/>
        </w:rPr>
        <w:t>18「非核家園」未訂定對應指標之外，其餘15項核心目標檢視率均未及4成，其中以核心目標</w:t>
      </w:r>
      <w:r w:rsidRPr="009D11AD">
        <w:rPr>
          <w:rFonts w:ascii="標楷體" w:eastAsia="標楷體" w:hAnsi="標楷體"/>
          <w:szCs w:val="24"/>
        </w:rPr>
        <w:t>1</w:t>
      </w:r>
      <w:r w:rsidRPr="009D11AD">
        <w:rPr>
          <w:rFonts w:ascii="標楷體" w:eastAsia="標楷體" w:hAnsi="標楷體" w:hint="eastAsia"/>
          <w:szCs w:val="24"/>
        </w:rPr>
        <w:t>「消除貧窮」之8％為最低、核心目標2「消除飢餓」之12.50％次之，顯示各項核心目標檢視率差異頗巨（52個百分點），逾8成核心目標</w:t>
      </w:r>
      <w:r w:rsidR="00D441FD" w:rsidRPr="009D11AD">
        <w:rPr>
          <w:rFonts w:ascii="標楷體" w:eastAsia="標楷體" w:hAnsi="標楷體" w:hint="eastAsia"/>
          <w:szCs w:val="24"/>
        </w:rPr>
        <w:t>（</w:t>
      </w:r>
      <w:r w:rsidRPr="009D11AD">
        <w:rPr>
          <w:rFonts w:ascii="標楷體" w:eastAsia="標楷體" w:hAnsi="標楷體" w:hint="eastAsia"/>
          <w:szCs w:val="24"/>
        </w:rPr>
        <w:t>15項</w:t>
      </w:r>
      <w:r w:rsidR="00D441FD" w:rsidRPr="009D11AD">
        <w:rPr>
          <w:rFonts w:ascii="標楷體" w:eastAsia="標楷體" w:hAnsi="標楷體" w:hint="eastAsia"/>
          <w:szCs w:val="24"/>
        </w:rPr>
        <w:t>）</w:t>
      </w:r>
      <w:r w:rsidRPr="009D11AD">
        <w:rPr>
          <w:rFonts w:ascii="標楷體" w:eastAsia="標楷體" w:hAnsi="標楷體" w:hint="eastAsia"/>
          <w:szCs w:val="24"/>
        </w:rPr>
        <w:t>之對應指標檢視率未及4成，多數核心目標及對應指標排除於第2次</w:t>
      </w:r>
      <w:r w:rsidRPr="009D11AD">
        <w:rPr>
          <w:rFonts w:ascii="標楷體" w:eastAsia="標楷體" w:hAnsi="標楷體"/>
          <w:szCs w:val="24"/>
        </w:rPr>
        <w:t>VNR</w:t>
      </w:r>
      <w:r w:rsidRPr="009D11AD">
        <w:rPr>
          <w:rFonts w:ascii="標楷體" w:eastAsia="標楷體" w:hAnsi="標楷體" w:hint="eastAsia"/>
          <w:szCs w:val="24"/>
        </w:rPr>
        <w:t>之檢視範圍，與施政政策之連結程度尚待強化。鑑於聯合國鼓勵各國提交國家自願檢視報告，旨在促進經驗分享，同時透過政</w:t>
      </w:r>
      <w:r w:rsidRPr="009D11AD">
        <w:rPr>
          <w:rFonts w:ascii="標楷體" w:eastAsia="標楷體" w:hAnsi="標楷體" w:hint="eastAsia"/>
          <w:kern w:val="0"/>
          <w:szCs w:val="24"/>
        </w:rPr>
        <w:t>府公部門作</w:t>
      </w:r>
      <w:r w:rsidRPr="009D11AD">
        <w:rPr>
          <w:rFonts w:ascii="標楷體" w:eastAsia="標楷體" w:hAnsi="標楷體" w:hint="eastAsia"/>
          <w:szCs w:val="24"/>
        </w:rPr>
        <w:t>為政策推動者，帶動各界資源投入之驅動力，將</w:t>
      </w:r>
      <w:r w:rsidRPr="009D11AD">
        <w:rPr>
          <w:rFonts w:ascii="標楷體" w:eastAsia="標楷體" w:hAnsi="標楷體"/>
          <w:szCs w:val="24"/>
        </w:rPr>
        <w:t>SDGs</w:t>
      </w:r>
      <w:r w:rsidRPr="009D11AD">
        <w:rPr>
          <w:rFonts w:ascii="標楷體" w:eastAsia="標楷體" w:hAnsi="標楷體" w:hint="eastAsia"/>
          <w:szCs w:val="24"/>
        </w:rPr>
        <w:t>納入各項短、中、長期施政策略，成為實踐整體永續發展之重要關鍵政策，為期持續精進永續發展之推動，經函請國家發展委員會研析先進國家多次提交VNR之內涵，強化與施政政策連結程度，借鑑優良實務作法，以作為業務推動及編撰第3次VNR之參考。</w:t>
      </w:r>
      <w:r w:rsidRPr="00DA2751">
        <w:rPr>
          <w:rFonts w:ascii="標楷體" w:eastAsia="標楷體" w:hAnsi="標楷體" w:hint="eastAsia"/>
          <w:szCs w:val="24"/>
        </w:rPr>
        <w:t>據復</w:t>
      </w:r>
      <w:r w:rsidRPr="00EA6C1F">
        <w:rPr>
          <w:rFonts w:ascii="標楷體" w:eastAsia="標楷體" w:hAnsi="標楷體" w:hint="eastAsia"/>
          <w:szCs w:val="24"/>
        </w:rPr>
        <w:t>：</w:t>
      </w:r>
      <w:r w:rsidR="00EA6C1F" w:rsidRPr="00346BDD">
        <w:rPr>
          <w:rFonts w:ascii="標楷體" w:eastAsia="標楷體" w:hAnsi="標楷體" w:hint="eastAsia"/>
          <w:szCs w:val="24"/>
        </w:rPr>
        <w:t>我國第</w:t>
      </w:r>
      <w:r w:rsidR="00EA6C1F" w:rsidRPr="00346BDD">
        <w:rPr>
          <w:rFonts w:ascii="標楷體" w:eastAsia="標楷體" w:hAnsi="標楷體"/>
          <w:szCs w:val="24"/>
        </w:rPr>
        <w:t>2次VNR係參考聯合國、德國和日本等國之VNR架構，訂出指標篩選原則；根據聯合國環境規劃署2022年12月「STRENGTHENING THE ENVIRONMENTAL DIMENSION OF THE VOLUNTARY NATIONAL REVIEWS in Asia-Pacific」報告審查2016至2021年36個亞太國家所發布之50</w:t>
      </w:r>
      <w:r w:rsidR="00355750" w:rsidRPr="00346BDD">
        <w:rPr>
          <w:rFonts w:ascii="標楷體" w:eastAsia="標楷體" w:hAnsi="標楷體" w:hint="eastAsia"/>
          <w:szCs w:val="24"/>
        </w:rPr>
        <w:t>份</w:t>
      </w:r>
      <w:r w:rsidR="00EA6C1F" w:rsidRPr="00346BDD">
        <w:rPr>
          <w:rFonts w:ascii="標楷體" w:eastAsia="標楷體" w:hAnsi="標楷體"/>
          <w:szCs w:val="24"/>
        </w:rPr>
        <w:t>VNR，指出有46％對SDG1至SDG17全部核心目標進行自願審查，且檢視之對應指標並非全為聯合國SDG</w:t>
      </w:r>
      <w:r w:rsidR="009D4704">
        <w:rPr>
          <w:rFonts w:ascii="標楷體" w:eastAsia="標楷體" w:hAnsi="標楷體" w:hint="eastAsia"/>
          <w:szCs w:val="24"/>
        </w:rPr>
        <w:t>s</w:t>
      </w:r>
      <w:r w:rsidR="00EA6C1F" w:rsidRPr="00346BDD">
        <w:rPr>
          <w:rFonts w:ascii="標楷體" w:eastAsia="標楷體" w:hAnsi="標楷體"/>
          <w:szCs w:val="24"/>
        </w:rPr>
        <w:t>對應指標，其中日本2017及2021年VNR報告本文僅列出17項SDG</w:t>
      </w:r>
      <w:r w:rsidR="009D4704">
        <w:rPr>
          <w:rFonts w:ascii="標楷體" w:eastAsia="標楷體" w:hAnsi="標楷體"/>
          <w:szCs w:val="24"/>
        </w:rPr>
        <w:t>s</w:t>
      </w:r>
      <w:r w:rsidR="00EA6C1F" w:rsidRPr="00346BDD">
        <w:rPr>
          <w:rFonts w:ascii="標楷體" w:eastAsia="標楷體" w:hAnsi="標楷體"/>
          <w:szCs w:val="24"/>
        </w:rPr>
        <w:t>核心目標之少數對應指標推動之檢視進行說明，全部對應指標之推動情形係置於附錄中；德國及挪威2021年VNR，雖均檢視17項SDG</w:t>
      </w:r>
      <w:r w:rsidR="009D4704">
        <w:rPr>
          <w:rFonts w:ascii="標楷體" w:eastAsia="標楷體" w:hAnsi="標楷體"/>
          <w:szCs w:val="24"/>
        </w:rPr>
        <w:t>s</w:t>
      </w:r>
      <w:r w:rsidR="00EA6C1F" w:rsidRPr="00346BDD">
        <w:rPr>
          <w:rFonts w:ascii="標楷體" w:eastAsia="標楷體" w:hAnsi="標楷體"/>
          <w:szCs w:val="24"/>
        </w:rPr>
        <w:t>推動進展，但均未呈現全部對應指標的推動現況。我國2022年VNR在整體SDG</w:t>
      </w:r>
      <w:r w:rsidR="009D4704">
        <w:rPr>
          <w:rFonts w:ascii="標楷體" w:eastAsia="標楷體" w:hAnsi="標楷體"/>
          <w:szCs w:val="24"/>
        </w:rPr>
        <w:t>s</w:t>
      </w:r>
      <w:r w:rsidR="00EA6C1F" w:rsidRPr="00346BDD">
        <w:rPr>
          <w:rFonts w:ascii="標楷體" w:eastAsia="標楷體" w:hAnsi="標楷體"/>
          <w:szCs w:val="24"/>
        </w:rPr>
        <w:t>表現方面已納有推動相關政策之說明，個別指標</w:t>
      </w:r>
      <w:r w:rsidR="0083754B" w:rsidRPr="00346BDD">
        <w:rPr>
          <w:rFonts w:ascii="標楷體" w:eastAsia="標楷體" w:hAnsi="標楷體" w:hint="eastAsia"/>
          <w:szCs w:val="24"/>
        </w:rPr>
        <w:t>之</w:t>
      </w:r>
      <w:r w:rsidR="00EA6C1F" w:rsidRPr="00346BDD">
        <w:rPr>
          <w:rFonts w:ascii="標楷體" w:eastAsia="標楷體" w:hAnsi="標楷體"/>
          <w:szCs w:val="24"/>
        </w:rPr>
        <w:t>表現方面，除呈現本土性指標</w:t>
      </w:r>
      <w:r w:rsidR="0083754B" w:rsidRPr="00346BDD">
        <w:rPr>
          <w:rFonts w:ascii="標楷體" w:eastAsia="標楷體" w:hAnsi="標楷體" w:hint="eastAsia"/>
          <w:szCs w:val="24"/>
        </w:rPr>
        <w:t>之</w:t>
      </w:r>
      <w:r w:rsidR="00EA6C1F" w:rsidRPr="00346BDD">
        <w:rPr>
          <w:rFonts w:ascii="標楷體" w:eastAsia="標楷體" w:hAnsi="標楷體"/>
          <w:szCs w:val="24"/>
        </w:rPr>
        <w:t>推動進展外，亦加入國際間關注指標</w:t>
      </w:r>
      <w:r w:rsidR="0083754B" w:rsidRPr="00346BDD">
        <w:rPr>
          <w:rFonts w:ascii="標楷體" w:eastAsia="標楷體" w:hAnsi="標楷體" w:hint="eastAsia"/>
          <w:szCs w:val="24"/>
        </w:rPr>
        <w:t>以</w:t>
      </w:r>
      <w:r w:rsidR="0083754B" w:rsidRPr="00346BDD">
        <w:rPr>
          <w:rFonts w:ascii="標楷體" w:eastAsia="標楷體" w:hAnsi="標楷體"/>
          <w:szCs w:val="24"/>
        </w:rPr>
        <w:t>利國際比較</w:t>
      </w:r>
      <w:r w:rsidR="00EA6C1F" w:rsidRPr="00346BDD">
        <w:rPr>
          <w:rFonts w:ascii="標楷體" w:eastAsia="標楷體" w:hAnsi="標楷體"/>
          <w:szCs w:val="24"/>
        </w:rPr>
        <w:t>，另VNR相關文宣中亦列出QR code可連結永續會官網，俾外界瞭解我國SDGs對應指標之推動狀況。永續會秘書處未來撰擬VNR仍將參考先進國家VNR內涵，並強化與施政政策連結程度。</w:t>
      </w:r>
    </w:p>
    <w:p w14:paraId="5314671D" w14:textId="50BC243D" w:rsidR="008A7682" w:rsidRPr="009D11AD" w:rsidRDefault="008A7682" w:rsidP="00A31550">
      <w:pPr>
        <w:overflowPunct w:val="0"/>
        <w:snapToGrid w:val="0"/>
        <w:spacing w:line="440" w:lineRule="exact"/>
        <w:ind w:firstLineChars="450" w:firstLine="1081"/>
        <w:jc w:val="both"/>
        <w:outlineLvl w:val="2"/>
        <w:rPr>
          <w:rFonts w:ascii="標楷體" w:eastAsia="標楷體" w:hAnsi="標楷體"/>
          <w:szCs w:val="24"/>
        </w:rPr>
      </w:pPr>
      <w:r w:rsidRPr="009D11AD">
        <w:rPr>
          <w:rFonts w:ascii="標楷體" w:eastAsia="標楷體" w:hAnsi="標楷體" w:hint="eastAsia"/>
          <w:b/>
          <w:szCs w:val="24"/>
        </w:rPr>
        <w:t>2.　政府為落實推動臺灣永續發展目標及提升對應指標達成率與挑戰性，已完成近5成對應指標修正，惟仍未將對應指標與聯合國SDGs</w:t>
      </w:r>
      <w:r w:rsidR="005256F2">
        <w:rPr>
          <w:rFonts w:ascii="標楷體" w:eastAsia="標楷體" w:hAnsi="標楷體" w:hint="eastAsia"/>
          <w:b/>
          <w:szCs w:val="24"/>
        </w:rPr>
        <w:t>接軌情形納入修正重點，允宜適時滾動檢討</w:t>
      </w:r>
      <w:r w:rsidRPr="009D11AD">
        <w:rPr>
          <w:rFonts w:ascii="標楷體" w:eastAsia="標楷體" w:hAnsi="標楷體" w:hint="eastAsia"/>
          <w:b/>
          <w:szCs w:val="24"/>
        </w:rPr>
        <w:t>，以利後續揭露成果數據之國際比較：</w:t>
      </w:r>
      <w:r w:rsidRPr="009D11AD">
        <w:rPr>
          <w:rFonts w:ascii="標楷體" w:eastAsia="標楷體" w:hAnsi="標楷體" w:hint="eastAsia"/>
          <w:szCs w:val="24"/>
        </w:rPr>
        <w:t>據永續會統計，336項對應指標中參採聯合國</w:t>
      </w:r>
      <w:r w:rsidRPr="009D11AD">
        <w:rPr>
          <w:rFonts w:ascii="標楷體" w:eastAsia="標楷體" w:hAnsi="標楷體"/>
          <w:szCs w:val="24"/>
        </w:rPr>
        <w:t>SDGs</w:t>
      </w:r>
      <w:r w:rsidRPr="009D11AD">
        <w:rPr>
          <w:rFonts w:ascii="標楷體" w:eastAsia="標楷體" w:hAnsi="標楷體" w:hint="eastAsia"/>
          <w:szCs w:val="24"/>
        </w:rPr>
        <w:t>計38項（11.31％），屬於我國自行提出之在地化指標計298項（88.69％），永續會為因應相關法規或制度變革，並落實推動及提升指標達成率與挑戰性，依永續會第33次委員會議（110年8月30日）決議辦理臺灣永續發展目標修正檢討，並於</w:t>
      </w:r>
      <w:r w:rsidRPr="009D11AD">
        <w:rPr>
          <w:rFonts w:ascii="標楷體" w:eastAsia="標楷體" w:hAnsi="標楷體"/>
          <w:szCs w:val="24"/>
        </w:rPr>
        <w:t>111</w:t>
      </w:r>
      <w:r w:rsidRPr="009D11AD">
        <w:rPr>
          <w:rFonts w:ascii="標楷體" w:eastAsia="標楷體" w:hAnsi="標楷體" w:hint="eastAsia"/>
          <w:szCs w:val="24"/>
        </w:rPr>
        <w:t>年12月29日核定「臺灣永續發展目標修正本」，原訂之18項核心目標、143項具體目標均未修正，另336項對應指標中，經刪除已達標之5.3.1</w:t>
      </w:r>
      <w:r w:rsidRPr="005256F2">
        <w:rPr>
          <w:rFonts w:ascii="標楷體" w:eastAsia="標楷體" w:hAnsi="標楷體" w:hint="eastAsia"/>
          <w:spacing w:val="2"/>
          <w:szCs w:val="24"/>
        </w:rPr>
        <w:t>「女性法定結婚年齡」1項，及新增1.3.12「國民年金保險原住民給付」及14.1.3「沿岸區域漂流塑膠數量」</w:t>
      </w:r>
      <w:r w:rsidRPr="009D11AD">
        <w:rPr>
          <w:rFonts w:ascii="標楷體" w:eastAsia="標楷體" w:hAnsi="標楷體" w:hint="eastAsia"/>
          <w:szCs w:val="24"/>
        </w:rPr>
        <w:t>等2項，修正後計有337項對應指標，並就其中161項修正指標定</w:t>
      </w:r>
      <w:r w:rsidRPr="007953E4">
        <w:rPr>
          <w:rFonts w:ascii="標楷體" w:eastAsia="標楷體" w:hAnsi="標楷體" w:hint="eastAsia"/>
          <w:szCs w:val="24"/>
        </w:rPr>
        <w:t>義，上開修正側重對應指標之目標達成與未成情形等檢討，並未同步檢視臺灣永續發展目標對</w:t>
      </w:r>
      <w:r w:rsidRPr="00355750">
        <w:rPr>
          <w:rFonts w:ascii="標楷體" w:eastAsia="標楷體" w:hAnsi="標楷體" w:hint="eastAsia"/>
          <w:szCs w:val="24"/>
        </w:rPr>
        <w:lastRenderedPageBreak/>
        <w:t>應指標接軌聯合國</w:t>
      </w:r>
      <w:r w:rsidRPr="009D11AD">
        <w:rPr>
          <w:rFonts w:ascii="標楷體" w:eastAsia="標楷體" w:hAnsi="標楷體" w:hint="eastAsia"/>
          <w:szCs w:val="24"/>
        </w:rPr>
        <w:t>SDGs指標情形，致修正後對應指標無助提高與國際間一致性標準衡量。經函請國家發展委員會適時滾動檢討臺灣永續發展目標對應指標之國際接軌情形，以利後續第3次VNR揭露相關指標執行成果及達成進度之國際對照程度，並利2030年永續發展最終成果檢視之國際比較性。</w:t>
      </w:r>
      <w:r w:rsidRPr="00DA2751">
        <w:rPr>
          <w:rFonts w:ascii="標楷體" w:eastAsia="標楷體" w:hAnsi="標楷體" w:hint="eastAsia"/>
          <w:szCs w:val="24"/>
        </w:rPr>
        <w:t>據復</w:t>
      </w:r>
      <w:r w:rsidRPr="00EA6C1F">
        <w:rPr>
          <w:rFonts w:ascii="標楷體" w:eastAsia="標楷體" w:hAnsi="標楷體" w:hint="eastAsia"/>
          <w:szCs w:val="24"/>
        </w:rPr>
        <w:t>：</w:t>
      </w:r>
      <w:r w:rsidR="00EA6C1F" w:rsidRPr="00346BDD">
        <w:rPr>
          <w:rFonts w:ascii="標楷體" w:eastAsia="標楷體" w:hAnsi="標楷體" w:hint="eastAsia"/>
          <w:szCs w:val="24"/>
        </w:rPr>
        <w:t>依據</w:t>
      </w:r>
      <w:r w:rsidR="00EA6C1F" w:rsidRPr="00346BDD">
        <w:rPr>
          <w:rFonts w:ascii="標楷體" w:eastAsia="標楷體" w:hAnsi="標楷體"/>
          <w:spacing w:val="2"/>
          <w:szCs w:val="24"/>
        </w:rPr>
        <w:t>UN「2022 Voluntary National Reviews Synthesis Report」</w:t>
      </w:r>
      <w:r w:rsidR="00EA6C1F" w:rsidRPr="00346BDD">
        <w:rPr>
          <w:rFonts w:ascii="標楷體" w:eastAsia="標楷體" w:hAnsi="標楷體"/>
          <w:szCs w:val="24"/>
        </w:rPr>
        <w:t>報告指出，2022年提交VNR之44個國家中有四分之三國家將聯合國永續發展目標予以本土化並進行監測，以應國家背景及國家優先事項之需，</w:t>
      </w:r>
      <w:r w:rsidR="00EA6C1F" w:rsidRPr="00346BDD">
        <w:rPr>
          <w:rFonts w:ascii="標楷體" w:eastAsia="標楷體" w:hAnsi="標楷體"/>
          <w:spacing w:val="2"/>
          <w:szCs w:val="24"/>
        </w:rPr>
        <w:t>顯示SDGs本土化有其必要性，國內永續發展除推動本土化SDGs</w:t>
      </w:r>
      <w:r w:rsidR="00EA6C1F" w:rsidRPr="00346BDD">
        <w:rPr>
          <w:rFonts w:ascii="標楷體" w:eastAsia="標楷體" w:hAnsi="標楷體"/>
          <w:szCs w:val="24"/>
        </w:rPr>
        <w:t>，未來亦將適時滾動檢討臺灣永續發展目標對應指標，進行國際接軌，以利國際比較等</w:t>
      </w:r>
      <w:r w:rsidRPr="00346BDD">
        <w:rPr>
          <w:rFonts w:ascii="標楷體" w:eastAsia="標楷體" w:hAnsi="標楷體" w:hint="eastAsia"/>
          <w:szCs w:val="24"/>
        </w:rPr>
        <w:t>。</w:t>
      </w:r>
    </w:p>
    <w:p w14:paraId="50C4A085" w14:textId="11849640" w:rsidR="008A7682" w:rsidRPr="009D11AD" w:rsidRDefault="004E24CB" w:rsidP="00D71230">
      <w:pPr>
        <w:overflowPunct w:val="0"/>
        <w:snapToGrid w:val="0"/>
        <w:spacing w:line="434" w:lineRule="exact"/>
        <w:ind w:firstLineChars="450" w:firstLine="1080"/>
        <w:jc w:val="both"/>
        <w:outlineLvl w:val="2"/>
        <w:rPr>
          <w:rFonts w:ascii="標楷體" w:eastAsia="標楷體" w:hAnsi="標楷體"/>
          <w:szCs w:val="24"/>
        </w:rPr>
      </w:pPr>
      <w:r w:rsidRPr="009D11AD">
        <w:rPr>
          <w:rFonts w:ascii="標楷體" w:eastAsia="標楷體" w:hAnsi="標楷體"/>
          <w:noProof/>
          <w:szCs w:val="24"/>
        </w:rPr>
        <mc:AlternateContent>
          <mc:Choice Requires="wps">
            <w:drawing>
              <wp:anchor distT="45720" distB="45720" distL="114300" distR="114300" simplePos="0" relativeHeight="251639296" behindDoc="0" locked="0" layoutInCell="1" allowOverlap="1" wp14:anchorId="7B2BF5B3" wp14:editId="12E16246">
                <wp:simplePos x="0" y="0"/>
                <wp:positionH relativeFrom="margin">
                  <wp:posOffset>2090106</wp:posOffset>
                </wp:positionH>
                <wp:positionV relativeFrom="paragraph">
                  <wp:posOffset>2564872</wp:posOffset>
                </wp:positionV>
                <wp:extent cx="4258310" cy="2295525"/>
                <wp:effectExtent l="0" t="0" r="8890" b="9525"/>
                <wp:wrapSquare wrapText="bothSides"/>
                <wp:docPr id="4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8310" cy="2295525"/>
                        </a:xfrm>
                        <a:prstGeom prst="rect">
                          <a:avLst/>
                        </a:prstGeom>
                        <a:solidFill>
                          <a:srgbClr val="FFFFFF"/>
                        </a:solidFill>
                        <a:ln w="9525">
                          <a:noFill/>
                          <a:miter lim="800000"/>
                          <a:headEnd/>
                          <a:tailEnd/>
                        </a:ln>
                      </wps:spPr>
                      <wps:txbx>
                        <w:txbxContent>
                          <w:p w14:paraId="31AB9CF6" w14:textId="67EE8471" w:rsidR="00CE57F9" w:rsidRPr="00262DDA" w:rsidRDefault="00CE57F9" w:rsidP="008A7682">
                            <w:pPr>
                              <w:widowControl/>
                              <w:jc w:val="center"/>
                              <w:rPr>
                                <w:rFonts w:ascii="標楷體" w:eastAsia="標楷體" w:hAnsi="標楷體" w:cs="新細明體"/>
                                <w:b/>
                                <w:color w:val="000000"/>
                              </w:rPr>
                            </w:pPr>
                            <w:r w:rsidRPr="00262DDA">
                              <w:rPr>
                                <w:rFonts w:ascii="標楷體" w:eastAsia="標楷體" w:hAnsi="標楷體" w:cs="新細明體" w:hint="eastAsia"/>
                                <w:b/>
                                <w:color w:val="000000"/>
                              </w:rPr>
                              <w:t>表</w:t>
                            </w:r>
                            <w:r>
                              <w:rPr>
                                <w:rFonts w:ascii="標楷體" w:eastAsia="標楷體" w:hAnsi="標楷體" w:cs="新細明體"/>
                                <w:b/>
                                <w:color w:val="000000"/>
                              </w:rPr>
                              <w:t>21</w:t>
                            </w:r>
                            <w:r w:rsidRPr="00262DDA">
                              <w:rPr>
                                <w:rFonts w:ascii="標楷體" w:eastAsia="標楷體" w:hAnsi="標楷體" w:cs="新細明體" w:hint="eastAsia"/>
                                <w:b/>
                                <w:color w:val="000000"/>
                              </w:rPr>
                              <w:t xml:space="preserve">　臺灣永續發展目標之對應指標執行情形</w:t>
                            </w:r>
                          </w:p>
                          <w:p w14:paraId="1FB156EC" w14:textId="77777777" w:rsidR="00CE57F9" w:rsidRPr="00C87B8A" w:rsidRDefault="00CE57F9" w:rsidP="008A7682">
                            <w:pPr>
                              <w:spacing w:line="240" w:lineRule="exact"/>
                              <w:jc w:val="right"/>
                              <w:rPr>
                                <w:sz w:val="20"/>
                              </w:rPr>
                            </w:pPr>
                            <w:r w:rsidRPr="00C87B8A">
                              <w:rPr>
                                <w:rFonts w:ascii="標楷體" w:eastAsia="標楷體" w:hAnsi="標楷體" w:cs="新細明體" w:hint="eastAsia"/>
                                <w:color w:val="000000"/>
                                <w:sz w:val="20"/>
                              </w:rPr>
                              <w:t>單位：項、％</w:t>
                            </w:r>
                          </w:p>
                          <w:tbl>
                            <w:tblPr>
                              <w:tblStyle w:val="140"/>
                              <w:tblW w:w="6520" w:type="dxa"/>
                              <w:jc w:val="center"/>
                              <w:tblLayout w:type="fixed"/>
                              <w:tblLook w:val="04A0" w:firstRow="1" w:lastRow="0" w:firstColumn="1" w:lastColumn="0" w:noHBand="0" w:noVBand="1"/>
                            </w:tblPr>
                            <w:tblGrid>
                              <w:gridCol w:w="1417"/>
                              <w:gridCol w:w="850"/>
                              <w:gridCol w:w="851"/>
                              <w:gridCol w:w="850"/>
                              <w:gridCol w:w="851"/>
                              <w:gridCol w:w="850"/>
                              <w:gridCol w:w="851"/>
                            </w:tblGrid>
                            <w:tr w:rsidR="00CE57F9" w:rsidRPr="00B73509" w14:paraId="554AFF4B" w14:textId="77777777" w:rsidTr="00F72E6D">
                              <w:trPr>
                                <w:trHeight w:val="283"/>
                                <w:jc w:val="center"/>
                              </w:trPr>
                              <w:tc>
                                <w:tcPr>
                                  <w:tcW w:w="1417" w:type="dxa"/>
                                  <w:vMerge w:val="restart"/>
                                  <w:tcBorders>
                                    <w:top w:val="single" w:sz="4" w:space="0" w:color="auto"/>
                                    <w:tl2br w:val="nil"/>
                                  </w:tcBorders>
                                  <w:vAlign w:val="center"/>
                                </w:tcPr>
                                <w:p w14:paraId="71604F22" w14:textId="77777777" w:rsidR="00CE57F9" w:rsidRPr="00B73509" w:rsidRDefault="00CE57F9" w:rsidP="00F72E6D">
                                  <w:pPr>
                                    <w:overflowPunct w:val="0"/>
                                    <w:spacing w:line="220" w:lineRule="exact"/>
                                    <w:jc w:val="center"/>
                                    <w:rPr>
                                      <w:rFonts w:ascii="標楷體" w:eastAsia="標楷體" w:hAnsi="標楷體"/>
                                      <w:bCs/>
                                      <w:sz w:val="20"/>
                                    </w:rPr>
                                  </w:pPr>
                                  <w:r w:rsidRPr="00B73509">
                                    <w:rPr>
                                      <w:rFonts w:ascii="標楷體" w:eastAsia="標楷體" w:hAnsi="標楷體" w:hint="eastAsia"/>
                                      <w:sz w:val="20"/>
                                    </w:rPr>
                                    <w:t>對應</w:t>
                                  </w:r>
                                  <w:r w:rsidRPr="00B73509">
                                    <w:rPr>
                                      <w:rFonts w:ascii="標楷體" w:eastAsia="標楷體" w:hAnsi="標楷體"/>
                                      <w:bCs/>
                                      <w:sz w:val="20"/>
                                    </w:rPr>
                                    <w:t>指標</w:t>
                                  </w:r>
                                </w:p>
                                <w:p w14:paraId="16C8BC6C" w14:textId="77777777" w:rsidR="00CE57F9" w:rsidRPr="00B73509" w:rsidRDefault="00CE57F9" w:rsidP="00F72E6D">
                                  <w:pPr>
                                    <w:overflowPunct w:val="0"/>
                                    <w:spacing w:line="220" w:lineRule="exact"/>
                                    <w:jc w:val="center"/>
                                    <w:rPr>
                                      <w:rFonts w:ascii="標楷體" w:eastAsia="標楷體" w:hAnsi="標楷體" w:cs="新細明體"/>
                                      <w:color w:val="000000"/>
                                      <w:sz w:val="20"/>
                                    </w:rPr>
                                  </w:pPr>
                                  <w:r w:rsidRPr="00B73509">
                                    <w:rPr>
                                      <w:rFonts w:ascii="標楷體" w:eastAsia="標楷體" w:hAnsi="標楷體" w:cs="新細明體"/>
                                      <w:color w:val="000000"/>
                                      <w:sz w:val="20"/>
                                    </w:rPr>
                                    <w:t>執行情形</w:t>
                                  </w:r>
                                </w:p>
                              </w:tc>
                              <w:tc>
                                <w:tcPr>
                                  <w:tcW w:w="1701" w:type="dxa"/>
                                  <w:gridSpan w:val="2"/>
                                  <w:tcBorders>
                                    <w:top w:val="single" w:sz="4" w:space="0" w:color="auto"/>
                                  </w:tcBorders>
                                  <w:noWrap/>
                                  <w:vAlign w:val="center"/>
                                  <w:hideMark/>
                                </w:tcPr>
                                <w:p w14:paraId="2DF13275" w14:textId="77777777" w:rsidR="00CE57F9" w:rsidRPr="00B73509" w:rsidRDefault="00CE57F9" w:rsidP="00F72E6D">
                                  <w:pPr>
                                    <w:widowControl/>
                                    <w:spacing w:line="220" w:lineRule="exact"/>
                                    <w:jc w:val="center"/>
                                    <w:rPr>
                                      <w:rFonts w:ascii="標楷體" w:eastAsia="標楷體" w:hAnsi="標楷體" w:cs="新細明體"/>
                                      <w:bCs/>
                                      <w:color w:val="000000"/>
                                      <w:sz w:val="20"/>
                                    </w:rPr>
                                  </w:pPr>
                                  <w:r w:rsidRPr="00B73509">
                                    <w:rPr>
                                      <w:rFonts w:ascii="標楷體" w:eastAsia="標楷體" w:hAnsi="標楷體" w:cs="新細明體" w:hint="eastAsia"/>
                                      <w:color w:val="000000"/>
                                      <w:sz w:val="20"/>
                                    </w:rPr>
                                    <w:t>108年度</w:t>
                                  </w:r>
                                </w:p>
                              </w:tc>
                              <w:tc>
                                <w:tcPr>
                                  <w:tcW w:w="1701" w:type="dxa"/>
                                  <w:gridSpan w:val="2"/>
                                  <w:tcBorders>
                                    <w:top w:val="single" w:sz="4" w:space="0" w:color="auto"/>
                                  </w:tcBorders>
                                  <w:noWrap/>
                                  <w:vAlign w:val="center"/>
                                  <w:hideMark/>
                                </w:tcPr>
                                <w:p w14:paraId="19298753" w14:textId="77777777" w:rsidR="00CE57F9" w:rsidRPr="00B73509" w:rsidRDefault="00CE57F9" w:rsidP="00F72E6D">
                                  <w:pPr>
                                    <w:widowControl/>
                                    <w:spacing w:line="220" w:lineRule="exact"/>
                                    <w:jc w:val="center"/>
                                    <w:rPr>
                                      <w:rFonts w:ascii="標楷體" w:eastAsia="標楷體" w:hAnsi="標楷體" w:cs="新細明體"/>
                                      <w:color w:val="000000"/>
                                      <w:sz w:val="20"/>
                                    </w:rPr>
                                  </w:pPr>
                                  <w:r w:rsidRPr="00B73509">
                                    <w:rPr>
                                      <w:rFonts w:ascii="標楷體" w:eastAsia="標楷體" w:hAnsi="標楷體" w:cs="新細明體" w:hint="eastAsia"/>
                                      <w:bCs/>
                                      <w:color w:val="000000"/>
                                      <w:sz w:val="20"/>
                                    </w:rPr>
                                    <w:t>109</w:t>
                                  </w:r>
                                  <w:r w:rsidRPr="00B73509">
                                    <w:rPr>
                                      <w:rFonts w:ascii="標楷體" w:eastAsia="標楷體" w:hAnsi="標楷體" w:cs="新細明體" w:hint="eastAsia"/>
                                      <w:color w:val="000000"/>
                                      <w:sz w:val="20"/>
                                    </w:rPr>
                                    <w:t>年度</w:t>
                                  </w:r>
                                </w:p>
                              </w:tc>
                              <w:tc>
                                <w:tcPr>
                                  <w:tcW w:w="1701" w:type="dxa"/>
                                  <w:gridSpan w:val="2"/>
                                  <w:tcBorders>
                                    <w:top w:val="single" w:sz="4" w:space="0" w:color="auto"/>
                                  </w:tcBorders>
                                  <w:noWrap/>
                                  <w:vAlign w:val="center"/>
                                  <w:hideMark/>
                                </w:tcPr>
                                <w:p w14:paraId="6939464E" w14:textId="77777777" w:rsidR="00CE57F9" w:rsidRPr="00B73509" w:rsidRDefault="00CE57F9" w:rsidP="00F72E6D">
                                  <w:pPr>
                                    <w:widowControl/>
                                    <w:spacing w:line="220" w:lineRule="exact"/>
                                    <w:jc w:val="center"/>
                                    <w:rPr>
                                      <w:rFonts w:ascii="標楷體" w:eastAsia="標楷體" w:hAnsi="標楷體" w:cs="新細明體"/>
                                      <w:color w:val="000000"/>
                                      <w:sz w:val="20"/>
                                    </w:rPr>
                                  </w:pPr>
                                  <w:r w:rsidRPr="00B73509">
                                    <w:rPr>
                                      <w:rFonts w:ascii="標楷體" w:eastAsia="標楷體" w:hAnsi="標楷體" w:cs="新細明體" w:hint="eastAsia"/>
                                      <w:color w:val="000000"/>
                                      <w:sz w:val="20"/>
                                    </w:rPr>
                                    <w:t>110年度</w:t>
                                  </w:r>
                                </w:p>
                              </w:tc>
                            </w:tr>
                            <w:tr w:rsidR="00CE57F9" w:rsidRPr="00B73509" w14:paraId="1F4DB7ED" w14:textId="77777777" w:rsidTr="00F72E6D">
                              <w:trPr>
                                <w:trHeight w:val="283"/>
                                <w:jc w:val="center"/>
                              </w:trPr>
                              <w:tc>
                                <w:tcPr>
                                  <w:tcW w:w="1417" w:type="dxa"/>
                                  <w:vMerge/>
                                  <w:tcBorders>
                                    <w:tl2br w:val="nil"/>
                                  </w:tcBorders>
                                  <w:vAlign w:val="center"/>
                                </w:tcPr>
                                <w:p w14:paraId="3930BBBC" w14:textId="77777777" w:rsidR="00CE57F9" w:rsidRPr="00B73509" w:rsidRDefault="00CE57F9" w:rsidP="00F72E6D">
                                  <w:pPr>
                                    <w:widowControl/>
                                    <w:spacing w:line="220" w:lineRule="exact"/>
                                    <w:jc w:val="center"/>
                                    <w:rPr>
                                      <w:rFonts w:ascii="標楷體" w:eastAsia="標楷體" w:hAnsi="標楷體" w:cs="新細明體"/>
                                      <w:color w:val="000000"/>
                                      <w:sz w:val="20"/>
                                    </w:rPr>
                                  </w:pPr>
                                </w:p>
                              </w:tc>
                              <w:tc>
                                <w:tcPr>
                                  <w:tcW w:w="850" w:type="dxa"/>
                                  <w:noWrap/>
                                  <w:vAlign w:val="center"/>
                                </w:tcPr>
                                <w:p w14:paraId="1D9EECD2" w14:textId="77777777" w:rsidR="00CE57F9" w:rsidRPr="00B73509" w:rsidRDefault="00CE57F9" w:rsidP="00F72E6D">
                                  <w:pPr>
                                    <w:widowControl/>
                                    <w:spacing w:line="220" w:lineRule="exact"/>
                                    <w:jc w:val="center"/>
                                    <w:rPr>
                                      <w:rFonts w:ascii="標楷體" w:eastAsia="標楷體" w:hAnsi="標楷體" w:cs="新細明體"/>
                                      <w:color w:val="000000"/>
                                      <w:sz w:val="20"/>
                                    </w:rPr>
                                  </w:pPr>
                                  <w:r w:rsidRPr="00B73509">
                                    <w:rPr>
                                      <w:rFonts w:ascii="標楷體" w:eastAsia="標楷體" w:hAnsi="標楷體" w:cs="新細明體" w:hint="eastAsia"/>
                                      <w:color w:val="000000"/>
                                      <w:sz w:val="20"/>
                                    </w:rPr>
                                    <w:t>項數</w:t>
                                  </w:r>
                                </w:p>
                              </w:tc>
                              <w:tc>
                                <w:tcPr>
                                  <w:tcW w:w="851" w:type="dxa"/>
                                  <w:vAlign w:val="center"/>
                                </w:tcPr>
                                <w:p w14:paraId="74EFFFBD" w14:textId="77777777" w:rsidR="00CE57F9" w:rsidRPr="00B73509" w:rsidRDefault="00CE57F9" w:rsidP="00F72E6D">
                                  <w:pPr>
                                    <w:widowControl/>
                                    <w:spacing w:line="220" w:lineRule="exact"/>
                                    <w:jc w:val="center"/>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占比</w:t>
                                  </w:r>
                                </w:p>
                              </w:tc>
                              <w:tc>
                                <w:tcPr>
                                  <w:tcW w:w="850" w:type="dxa"/>
                                  <w:noWrap/>
                                  <w:vAlign w:val="center"/>
                                </w:tcPr>
                                <w:p w14:paraId="3632F27E" w14:textId="77777777" w:rsidR="00CE57F9" w:rsidRPr="00B73509" w:rsidRDefault="00CE57F9" w:rsidP="00F72E6D">
                                  <w:pPr>
                                    <w:widowControl/>
                                    <w:spacing w:line="220" w:lineRule="exact"/>
                                    <w:jc w:val="center"/>
                                    <w:rPr>
                                      <w:rFonts w:ascii="標楷體" w:eastAsia="標楷體" w:hAnsi="標楷體" w:cs="新細明體"/>
                                      <w:color w:val="000000"/>
                                      <w:sz w:val="20"/>
                                    </w:rPr>
                                  </w:pPr>
                                  <w:r w:rsidRPr="00B73509">
                                    <w:rPr>
                                      <w:rFonts w:ascii="標楷體" w:eastAsia="標楷體" w:hAnsi="標楷體" w:cs="新細明體" w:hint="eastAsia"/>
                                      <w:color w:val="000000"/>
                                      <w:sz w:val="20"/>
                                    </w:rPr>
                                    <w:t>項數</w:t>
                                  </w:r>
                                </w:p>
                              </w:tc>
                              <w:tc>
                                <w:tcPr>
                                  <w:tcW w:w="851" w:type="dxa"/>
                                  <w:vAlign w:val="center"/>
                                </w:tcPr>
                                <w:p w14:paraId="5B8D96ED" w14:textId="77777777" w:rsidR="00CE57F9" w:rsidRPr="00B73509" w:rsidRDefault="00CE57F9" w:rsidP="00F72E6D">
                                  <w:pPr>
                                    <w:widowControl/>
                                    <w:spacing w:line="220" w:lineRule="exact"/>
                                    <w:jc w:val="center"/>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占比</w:t>
                                  </w:r>
                                </w:p>
                              </w:tc>
                              <w:tc>
                                <w:tcPr>
                                  <w:tcW w:w="850" w:type="dxa"/>
                                  <w:noWrap/>
                                  <w:vAlign w:val="center"/>
                                </w:tcPr>
                                <w:p w14:paraId="61E3E30E" w14:textId="77777777" w:rsidR="00CE57F9" w:rsidRPr="00B73509" w:rsidRDefault="00CE57F9" w:rsidP="00F72E6D">
                                  <w:pPr>
                                    <w:widowControl/>
                                    <w:spacing w:line="220" w:lineRule="exact"/>
                                    <w:jc w:val="center"/>
                                    <w:rPr>
                                      <w:rFonts w:ascii="標楷體" w:eastAsia="標楷體" w:hAnsi="標楷體" w:cs="新細明體"/>
                                      <w:color w:val="000000"/>
                                      <w:sz w:val="20"/>
                                    </w:rPr>
                                  </w:pPr>
                                  <w:r w:rsidRPr="00B73509">
                                    <w:rPr>
                                      <w:rFonts w:ascii="標楷體" w:eastAsia="標楷體" w:hAnsi="標楷體" w:cs="新細明體" w:hint="eastAsia"/>
                                      <w:color w:val="000000"/>
                                      <w:sz w:val="20"/>
                                    </w:rPr>
                                    <w:t>項數</w:t>
                                  </w:r>
                                </w:p>
                              </w:tc>
                              <w:tc>
                                <w:tcPr>
                                  <w:tcW w:w="851" w:type="dxa"/>
                                  <w:vAlign w:val="center"/>
                                </w:tcPr>
                                <w:p w14:paraId="7E8A6B92" w14:textId="77777777" w:rsidR="00CE57F9" w:rsidRPr="00B73509" w:rsidRDefault="00CE57F9" w:rsidP="00F72E6D">
                                  <w:pPr>
                                    <w:widowControl/>
                                    <w:spacing w:line="220" w:lineRule="exact"/>
                                    <w:jc w:val="center"/>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占比</w:t>
                                  </w:r>
                                </w:p>
                              </w:tc>
                            </w:tr>
                            <w:tr w:rsidR="00CE57F9" w:rsidRPr="00B73509" w14:paraId="30A32E1C" w14:textId="77777777" w:rsidTr="00F72E6D">
                              <w:trPr>
                                <w:trHeight w:val="283"/>
                                <w:jc w:val="center"/>
                              </w:trPr>
                              <w:tc>
                                <w:tcPr>
                                  <w:tcW w:w="1417" w:type="dxa"/>
                                  <w:noWrap/>
                                  <w:vAlign w:val="center"/>
                                  <w:hideMark/>
                                </w:tcPr>
                                <w:p w14:paraId="0395CA8E" w14:textId="77777777" w:rsidR="00CE57F9" w:rsidRPr="00B73509" w:rsidRDefault="00CE57F9" w:rsidP="00F72E6D">
                                  <w:pPr>
                                    <w:widowControl/>
                                    <w:spacing w:line="220" w:lineRule="exact"/>
                                    <w:jc w:val="center"/>
                                    <w:rPr>
                                      <w:rFonts w:ascii="標楷體" w:eastAsia="標楷體" w:hAnsi="標楷體" w:cs="新細明體"/>
                                      <w:b/>
                                      <w:color w:val="000000"/>
                                      <w:sz w:val="20"/>
                                    </w:rPr>
                                  </w:pPr>
                                  <w:r w:rsidRPr="00B73509">
                                    <w:rPr>
                                      <w:rFonts w:ascii="標楷體" w:eastAsia="標楷體" w:hAnsi="標楷體" w:cs="新細明體" w:hint="eastAsia"/>
                                      <w:b/>
                                      <w:color w:val="000000"/>
                                      <w:sz w:val="20"/>
                                    </w:rPr>
                                    <w:t>合計</w:t>
                                  </w:r>
                                </w:p>
                              </w:tc>
                              <w:tc>
                                <w:tcPr>
                                  <w:tcW w:w="850" w:type="dxa"/>
                                  <w:noWrap/>
                                  <w:vAlign w:val="center"/>
                                  <w:hideMark/>
                                </w:tcPr>
                                <w:p w14:paraId="248859B1" w14:textId="77777777" w:rsidR="00CE57F9" w:rsidRPr="00B73509" w:rsidRDefault="00CE57F9" w:rsidP="00F72E6D">
                                  <w:pPr>
                                    <w:widowControl/>
                                    <w:spacing w:line="220" w:lineRule="exact"/>
                                    <w:jc w:val="right"/>
                                    <w:rPr>
                                      <w:rFonts w:ascii="標楷體" w:eastAsia="標楷體" w:hAnsi="標楷體" w:cs="新細明體"/>
                                      <w:b/>
                                      <w:color w:val="000000"/>
                                      <w:sz w:val="20"/>
                                    </w:rPr>
                                  </w:pPr>
                                  <w:r w:rsidRPr="00B73509">
                                    <w:rPr>
                                      <w:rFonts w:ascii="標楷體" w:eastAsia="標楷體" w:hAnsi="標楷體" w:cs="新細明體" w:hint="eastAsia"/>
                                      <w:b/>
                                      <w:color w:val="000000"/>
                                      <w:sz w:val="20"/>
                                    </w:rPr>
                                    <w:t>336</w:t>
                                  </w:r>
                                </w:p>
                              </w:tc>
                              <w:tc>
                                <w:tcPr>
                                  <w:tcW w:w="851" w:type="dxa"/>
                                  <w:vAlign w:val="center"/>
                                </w:tcPr>
                                <w:p w14:paraId="1DE5A64E" w14:textId="77777777" w:rsidR="00CE57F9" w:rsidRPr="00B73509" w:rsidRDefault="00CE57F9" w:rsidP="00F72E6D">
                                  <w:pPr>
                                    <w:widowControl/>
                                    <w:spacing w:line="220" w:lineRule="exact"/>
                                    <w:jc w:val="right"/>
                                    <w:rPr>
                                      <w:rFonts w:ascii="標楷體" w:eastAsia="標楷體" w:hAnsi="標楷體" w:cs="新細明體"/>
                                      <w:b/>
                                      <w:bCs/>
                                      <w:color w:val="000000"/>
                                      <w:sz w:val="20"/>
                                    </w:rPr>
                                  </w:pPr>
                                  <w:r w:rsidRPr="00B73509">
                                    <w:rPr>
                                      <w:rFonts w:ascii="標楷體" w:eastAsia="標楷體" w:hAnsi="標楷體" w:cs="新細明體" w:hint="eastAsia"/>
                                      <w:b/>
                                      <w:bCs/>
                                      <w:color w:val="000000"/>
                                      <w:sz w:val="20"/>
                                    </w:rPr>
                                    <w:t>100.00</w:t>
                                  </w:r>
                                </w:p>
                              </w:tc>
                              <w:tc>
                                <w:tcPr>
                                  <w:tcW w:w="850" w:type="dxa"/>
                                  <w:noWrap/>
                                  <w:vAlign w:val="center"/>
                                  <w:hideMark/>
                                </w:tcPr>
                                <w:p w14:paraId="0E29D15C" w14:textId="77777777" w:rsidR="00CE57F9" w:rsidRPr="00B73509" w:rsidRDefault="00CE57F9" w:rsidP="00F72E6D">
                                  <w:pPr>
                                    <w:widowControl/>
                                    <w:spacing w:line="220" w:lineRule="exact"/>
                                    <w:jc w:val="right"/>
                                    <w:rPr>
                                      <w:rFonts w:ascii="標楷體" w:eastAsia="標楷體" w:hAnsi="標楷體" w:cs="新細明體"/>
                                      <w:b/>
                                      <w:bCs/>
                                      <w:color w:val="000000"/>
                                      <w:sz w:val="20"/>
                                    </w:rPr>
                                  </w:pPr>
                                  <w:r w:rsidRPr="00B73509">
                                    <w:rPr>
                                      <w:rFonts w:ascii="標楷體" w:eastAsia="標楷體" w:hAnsi="標楷體" w:cs="新細明體" w:hint="eastAsia"/>
                                      <w:b/>
                                      <w:bCs/>
                                      <w:color w:val="000000"/>
                                      <w:sz w:val="20"/>
                                    </w:rPr>
                                    <w:t>336</w:t>
                                  </w:r>
                                </w:p>
                              </w:tc>
                              <w:tc>
                                <w:tcPr>
                                  <w:tcW w:w="851" w:type="dxa"/>
                                  <w:vAlign w:val="center"/>
                                </w:tcPr>
                                <w:p w14:paraId="755173C9" w14:textId="77777777" w:rsidR="00CE57F9" w:rsidRPr="00B73509" w:rsidRDefault="00CE57F9" w:rsidP="00F72E6D">
                                  <w:pPr>
                                    <w:widowControl/>
                                    <w:spacing w:line="220" w:lineRule="exact"/>
                                    <w:jc w:val="right"/>
                                    <w:rPr>
                                      <w:rFonts w:ascii="標楷體" w:eastAsia="標楷體" w:hAnsi="標楷體" w:cs="新細明體"/>
                                      <w:b/>
                                      <w:color w:val="000000"/>
                                      <w:sz w:val="20"/>
                                    </w:rPr>
                                  </w:pPr>
                                  <w:r w:rsidRPr="00B73509">
                                    <w:rPr>
                                      <w:rFonts w:ascii="標楷體" w:eastAsia="標楷體" w:hAnsi="標楷體" w:cs="新細明體" w:hint="eastAsia"/>
                                      <w:b/>
                                      <w:color w:val="000000"/>
                                      <w:sz w:val="20"/>
                                    </w:rPr>
                                    <w:t>100.00</w:t>
                                  </w:r>
                                </w:p>
                              </w:tc>
                              <w:tc>
                                <w:tcPr>
                                  <w:tcW w:w="850" w:type="dxa"/>
                                  <w:noWrap/>
                                  <w:vAlign w:val="center"/>
                                  <w:hideMark/>
                                </w:tcPr>
                                <w:p w14:paraId="50D3DD28" w14:textId="77777777" w:rsidR="00CE57F9" w:rsidRPr="00B73509" w:rsidRDefault="00CE57F9" w:rsidP="00F72E6D">
                                  <w:pPr>
                                    <w:widowControl/>
                                    <w:spacing w:line="220" w:lineRule="exact"/>
                                    <w:jc w:val="right"/>
                                    <w:rPr>
                                      <w:rFonts w:ascii="標楷體" w:eastAsia="標楷體" w:hAnsi="標楷體" w:cs="新細明體"/>
                                      <w:color w:val="000000"/>
                                      <w:sz w:val="20"/>
                                    </w:rPr>
                                  </w:pPr>
                                  <w:r w:rsidRPr="00B73509">
                                    <w:rPr>
                                      <w:rFonts w:ascii="標楷體" w:eastAsia="標楷體" w:hAnsi="標楷體" w:cs="新細明體" w:hint="eastAsia"/>
                                      <w:b/>
                                      <w:color w:val="000000"/>
                                      <w:sz w:val="20"/>
                                    </w:rPr>
                                    <w:t>335</w:t>
                                  </w:r>
                                </w:p>
                                <w:p w14:paraId="6AD81A2D" w14:textId="77777777" w:rsidR="00CE57F9" w:rsidRPr="00B73509" w:rsidRDefault="00CE57F9" w:rsidP="00F72E6D">
                                  <w:pPr>
                                    <w:widowControl/>
                                    <w:spacing w:line="220" w:lineRule="exact"/>
                                    <w:ind w:leftChars="-50" w:left="-120" w:rightChars="-50" w:right="-120"/>
                                    <w:jc w:val="right"/>
                                    <w:rPr>
                                      <w:rFonts w:ascii="標楷體" w:eastAsia="標楷體" w:hAnsi="標楷體" w:cs="新細明體"/>
                                      <w:b/>
                                      <w:color w:val="000000"/>
                                      <w:sz w:val="20"/>
                                    </w:rPr>
                                  </w:pPr>
                                  <w:r w:rsidRPr="00B73509">
                                    <w:rPr>
                                      <w:rFonts w:ascii="標楷體" w:eastAsia="標楷體" w:hAnsi="標楷體" w:cs="新細明體" w:hint="eastAsia"/>
                                      <w:color w:val="000000"/>
                                      <w:sz w:val="20"/>
                                    </w:rPr>
                                    <w:t>（註1）</w:t>
                                  </w:r>
                                </w:p>
                              </w:tc>
                              <w:tc>
                                <w:tcPr>
                                  <w:tcW w:w="851" w:type="dxa"/>
                                  <w:vAlign w:val="center"/>
                                </w:tcPr>
                                <w:p w14:paraId="7F711798" w14:textId="77777777" w:rsidR="00CE57F9" w:rsidRPr="00B73509" w:rsidRDefault="00CE57F9" w:rsidP="00F72E6D">
                                  <w:pPr>
                                    <w:widowControl/>
                                    <w:spacing w:line="220" w:lineRule="exact"/>
                                    <w:jc w:val="right"/>
                                    <w:rPr>
                                      <w:rFonts w:ascii="標楷體" w:eastAsia="標楷體" w:hAnsi="標楷體" w:cs="新細明體"/>
                                      <w:b/>
                                      <w:color w:val="000000"/>
                                      <w:sz w:val="20"/>
                                    </w:rPr>
                                  </w:pPr>
                                  <w:r w:rsidRPr="00B73509">
                                    <w:rPr>
                                      <w:rFonts w:ascii="標楷體" w:eastAsia="標楷體" w:hAnsi="標楷體" w:cs="新細明體" w:hint="eastAsia"/>
                                      <w:b/>
                                      <w:color w:val="000000"/>
                                      <w:sz w:val="20"/>
                                    </w:rPr>
                                    <w:t>100.00</w:t>
                                  </w:r>
                                </w:p>
                              </w:tc>
                            </w:tr>
                            <w:tr w:rsidR="00CE57F9" w:rsidRPr="00B73509" w14:paraId="70539CE9" w14:textId="77777777" w:rsidTr="00F72E6D">
                              <w:trPr>
                                <w:trHeight w:val="283"/>
                                <w:jc w:val="center"/>
                              </w:trPr>
                              <w:tc>
                                <w:tcPr>
                                  <w:tcW w:w="1417" w:type="dxa"/>
                                  <w:noWrap/>
                                  <w:vAlign w:val="center"/>
                                  <w:hideMark/>
                                </w:tcPr>
                                <w:p w14:paraId="7F2CC6CE" w14:textId="77777777" w:rsidR="00CE57F9" w:rsidRPr="00B73509" w:rsidRDefault="00CE57F9" w:rsidP="00F72E6D">
                                  <w:pPr>
                                    <w:widowControl/>
                                    <w:spacing w:line="220" w:lineRule="exact"/>
                                    <w:jc w:val="center"/>
                                    <w:rPr>
                                      <w:rFonts w:ascii="標楷體" w:eastAsia="標楷體" w:hAnsi="標楷體" w:cs="新細明體"/>
                                      <w:color w:val="000000"/>
                                      <w:sz w:val="20"/>
                                    </w:rPr>
                                  </w:pPr>
                                  <w:r w:rsidRPr="00B73509">
                                    <w:rPr>
                                      <w:rFonts w:ascii="標楷體" w:eastAsia="標楷體" w:hAnsi="標楷體" w:cs="新細明體" w:hint="eastAsia"/>
                                      <w:color w:val="000000"/>
                                      <w:sz w:val="20"/>
                                    </w:rPr>
                                    <w:t>達成年度目標</w:t>
                                  </w:r>
                                </w:p>
                              </w:tc>
                              <w:tc>
                                <w:tcPr>
                                  <w:tcW w:w="850" w:type="dxa"/>
                                  <w:noWrap/>
                                  <w:vAlign w:val="center"/>
                                  <w:hideMark/>
                                </w:tcPr>
                                <w:p w14:paraId="73D3B67B" w14:textId="77777777" w:rsidR="00CE57F9" w:rsidRPr="00B73509" w:rsidRDefault="00CE57F9" w:rsidP="00F72E6D">
                                  <w:pPr>
                                    <w:widowControl/>
                                    <w:spacing w:line="220" w:lineRule="exact"/>
                                    <w:jc w:val="right"/>
                                    <w:rPr>
                                      <w:rFonts w:ascii="標楷體" w:eastAsia="標楷體" w:hAnsi="標楷體" w:cs="新細明體"/>
                                      <w:color w:val="000000"/>
                                      <w:sz w:val="20"/>
                                    </w:rPr>
                                  </w:pPr>
                                  <w:r w:rsidRPr="00B73509">
                                    <w:rPr>
                                      <w:rFonts w:ascii="標楷體" w:eastAsia="標楷體" w:hAnsi="標楷體" w:cs="新細明體" w:hint="eastAsia"/>
                                      <w:color w:val="000000"/>
                                      <w:sz w:val="20"/>
                                    </w:rPr>
                                    <w:t>266</w:t>
                                  </w:r>
                                </w:p>
                              </w:tc>
                              <w:tc>
                                <w:tcPr>
                                  <w:tcW w:w="851" w:type="dxa"/>
                                  <w:vAlign w:val="center"/>
                                </w:tcPr>
                                <w:p w14:paraId="1C0C9162" w14:textId="77777777" w:rsidR="00CE57F9" w:rsidRPr="00B73509" w:rsidRDefault="00CE57F9" w:rsidP="00F72E6D">
                                  <w:pPr>
                                    <w:widowControl/>
                                    <w:spacing w:line="220" w:lineRule="exact"/>
                                    <w:jc w:val="right"/>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79.17</w:t>
                                  </w:r>
                                </w:p>
                              </w:tc>
                              <w:tc>
                                <w:tcPr>
                                  <w:tcW w:w="850" w:type="dxa"/>
                                  <w:noWrap/>
                                  <w:vAlign w:val="center"/>
                                  <w:hideMark/>
                                </w:tcPr>
                                <w:p w14:paraId="29322A74" w14:textId="77777777" w:rsidR="00CE57F9" w:rsidRPr="00B73509" w:rsidRDefault="00CE57F9" w:rsidP="00F72E6D">
                                  <w:pPr>
                                    <w:widowControl/>
                                    <w:spacing w:line="220" w:lineRule="exact"/>
                                    <w:jc w:val="right"/>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242</w:t>
                                  </w:r>
                                </w:p>
                              </w:tc>
                              <w:tc>
                                <w:tcPr>
                                  <w:tcW w:w="851" w:type="dxa"/>
                                  <w:vAlign w:val="center"/>
                                </w:tcPr>
                                <w:p w14:paraId="0493736B" w14:textId="77777777" w:rsidR="00CE57F9" w:rsidRPr="00B73509" w:rsidRDefault="00CE57F9" w:rsidP="00F72E6D">
                                  <w:pPr>
                                    <w:widowControl/>
                                    <w:spacing w:line="220" w:lineRule="exact"/>
                                    <w:jc w:val="right"/>
                                    <w:rPr>
                                      <w:rFonts w:ascii="標楷體" w:eastAsia="標楷體" w:hAnsi="標楷體" w:cs="新細明體"/>
                                      <w:color w:val="000000"/>
                                      <w:sz w:val="20"/>
                                    </w:rPr>
                                  </w:pPr>
                                  <w:r w:rsidRPr="00B73509">
                                    <w:rPr>
                                      <w:rFonts w:ascii="標楷體" w:eastAsia="標楷體" w:hAnsi="標楷體" w:cs="新細明體" w:hint="eastAsia"/>
                                      <w:color w:val="000000"/>
                                      <w:sz w:val="20"/>
                                    </w:rPr>
                                    <w:t>72.02</w:t>
                                  </w:r>
                                </w:p>
                              </w:tc>
                              <w:tc>
                                <w:tcPr>
                                  <w:tcW w:w="850" w:type="dxa"/>
                                  <w:noWrap/>
                                  <w:vAlign w:val="center"/>
                                  <w:hideMark/>
                                </w:tcPr>
                                <w:p w14:paraId="27BF8A18" w14:textId="77777777" w:rsidR="00CE57F9" w:rsidRPr="00B73509" w:rsidRDefault="00CE57F9" w:rsidP="00F72E6D">
                                  <w:pPr>
                                    <w:widowControl/>
                                    <w:spacing w:line="220" w:lineRule="exact"/>
                                    <w:jc w:val="right"/>
                                    <w:rPr>
                                      <w:rFonts w:ascii="標楷體" w:eastAsia="標楷體" w:hAnsi="標楷體" w:cs="新細明體"/>
                                      <w:color w:val="000000"/>
                                      <w:sz w:val="20"/>
                                    </w:rPr>
                                  </w:pPr>
                                  <w:r w:rsidRPr="00B73509">
                                    <w:rPr>
                                      <w:rFonts w:ascii="標楷體" w:eastAsia="標楷體" w:hAnsi="標楷體" w:cs="新細明體" w:hint="eastAsia"/>
                                      <w:color w:val="000000"/>
                                      <w:sz w:val="20"/>
                                    </w:rPr>
                                    <w:t>252</w:t>
                                  </w:r>
                                </w:p>
                              </w:tc>
                              <w:tc>
                                <w:tcPr>
                                  <w:tcW w:w="851" w:type="dxa"/>
                                  <w:vAlign w:val="center"/>
                                </w:tcPr>
                                <w:p w14:paraId="7A21735C" w14:textId="77777777" w:rsidR="00CE57F9" w:rsidRPr="00B73509" w:rsidRDefault="00CE57F9" w:rsidP="00F72E6D">
                                  <w:pPr>
                                    <w:widowControl/>
                                    <w:spacing w:line="220" w:lineRule="exact"/>
                                    <w:jc w:val="right"/>
                                    <w:rPr>
                                      <w:rFonts w:ascii="標楷體" w:eastAsia="標楷體" w:hAnsi="標楷體" w:cs="新細明體"/>
                                      <w:color w:val="000000"/>
                                      <w:sz w:val="20"/>
                                    </w:rPr>
                                  </w:pPr>
                                  <w:r w:rsidRPr="00B73509">
                                    <w:rPr>
                                      <w:rFonts w:ascii="標楷體" w:eastAsia="標楷體" w:hAnsi="標楷體" w:cs="新細明體" w:hint="eastAsia"/>
                                      <w:color w:val="000000"/>
                                      <w:sz w:val="20"/>
                                    </w:rPr>
                                    <w:t>75.22</w:t>
                                  </w:r>
                                </w:p>
                              </w:tc>
                            </w:tr>
                            <w:tr w:rsidR="00CE57F9" w:rsidRPr="00B73509" w14:paraId="1DE75CF9" w14:textId="77777777" w:rsidTr="00F72E6D">
                              <w:trPr>
                                <w:trHeight w:val="283"/>
                                <w:jc w:val="center"/>
                              </w:trPr>
                              <w:tc>
                                <w:tcPr>
                                  <w:tcW w:w="1417" w:type="dxa"/>
                                  <w:noWrap/>
                                  <w:vAlign w:val="center"/>
                                  <w:hideMark/>
                                </w:tcPr>
                                <w:p w14:paraId="52B786A9" w14:textId="77777777" w:rsidR="00CE57F9" w:rsidRPr="00B73509" w:rsidRDefault="00CE57F9" w:rsidP="00F72E6D">
                                  <w:pPr>
                                    <w:widowControl/>
                                    <w:spacing w:line="220" w:lineRule="exact"/>
                                    <w:jc w:val="center"/>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未達年度目標</w:t>
                                  </w:r>
                                </w:p>
                              </w:tc>
                              <w:tc>
                                <w:tcPr>
                                  <w:tcW w:w="850" w:type="dxa"/>
                                  <w:noWrap/>
                                  <w:vAlign w:val="center"/>
                                  <w:hideMark/>
                                </w:tcPr>
                                <w:p w14:paraId="65B5F083" w14:textId="77777777" w:rsidR="00CE57F9" w:rsidRPr="00B73509" w:rsidRDefault="00CE57F9" w:rsidP="00F72E6D">
                                  <w:pPr>
                                    <w:widowControl/>
                                    <w:spacing w:line="220" w:lineRule="exact"/>
                                    <w:jc w:val="right"/>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26</w:t>
                                  </w:r>
                                </w:p>
                              </w:tc>
                              <w:tc>
                                <w:tcPr>
                                  <w:tcW w:w="851" w:type="dxa"/>
                                  <w:vAlign w:val="center"/>
                                </w:tcPr>
                                <w:p w14:paraId="0FD8B9BE" w14:textId="77777777" w:rsidR="00CE57F9" w:rsidRPr="00B73509" w:rsidRDefault="00CE57F9" w:rsidP="00F72E6D">
                                  <w:pPr>
                                    <w:widowControl/>
                                    <w:spacing w:line="220" w:lineRule="exact"/>
                                    <w:jc w:val="right"/>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7.74</w:t>
                                  </w:r>
                                </w:p>
                              </w:tc>
                              <w:tc>
                                <w:tcPr>
                                  <w:tcW w:w="850" w:type="dxa"/>
                                  <w:noWrap/>
                                  <w:vAlign w:val="center"/>
                                  <w:hideMark/>
                                </w:tcPr>
                                <w:p w14:paraId="085A73EF" w14:textId="77777777" w:rsidR="00CE57F9" w:rsidRPr="00B73509" w:rsidRDefault="00CE57F9" w:rsidP="00F72E6D">
                                  <w:pPr>
                                    <w:widowControl/>
                                    <w:spacing w:line="220" w:lineRule="exact"/>
                                    <w:jc w:val="right"/>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45</w:t>
                                  </w:r>
                                </w:p>
                              </w:tc>
                              <w:tc>
                                <w:tcPr>
                                  <w:tcW w:w="851" w:type="dxa"/>
                                  <w:vAlign w:val="center"/>
                                </w:tcPr>
                                <w:p w14:paraId="111E5D5C" w14:textId="77777777" w:rsidR="00CE57F9" w:rsidRPr="00B73509" w:rsidRDefault="00CE57F9" w:rsidP="00F72E6D">
                                  <w:pPr>
                                    <w:widowControl/>
                                    <w:spacing w:line="220" w:lineRule="exact"/>
                                    <w:jc w:val="right"/>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13.39</w:t>
                                  </w:r>
                                </w:p>
                              </w:tc>
                              <w:tc>
                                <w:tcPr>
                                  <w:tcW w:w="850" w:type="dxa"/>
                                  <w:noWrap/>
                                  <w:vAlign w:val="center"/>
                                  <w:hideMark/>
                                </w:tcPr>
                                <w:p w14:paraId="54F05B7A" w14:textId="77777777" w:rsidR="00CE57F9" w:rsidRPr="00B73509" w:rsidRDefault="00CE57F9" w:rsidP="00F72E6D">
                                  <w:pPr>
                                    <w:widowControl/>
                                    <w:spacing w:line="220" w:lineRule="exact"/>
                                    <w:jc w:val="right"/>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44</w:t>
                                  </w:r>
                                </w:p>
                              </w:tc>
                              <w:tc>
                                <w:tcPr>
                                  <w:tcW w:w="851" w:type="dxa"/>
                                  <w:vAlign w:val="center"/>
                                </w:tcPr>
                                <w:p w14:paraId="23F234FC" w14:textId="77777777" w:rsidR="00CE57F9" w:rsidRPr="00B73509" w:rsidRDefault="00CE57F9" w:rsidP="00F72E6D">
                                  <w:pPr>
                                    <w:widowControl/>
                                    <w:spacing w:line="220" w:lineRule="exact"/>
                                    <w:jc w:val="right"/>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13.13</w:t>
                                  </w:r>
                                </w:p>
                              </w:tc>
                            </w:tr>
                            <w:tr w:rsidR="00CE57F9" w:rsidRPr="00B73509" w14:paraId="49DD69F1" w14:textId="77777777" w:rsidTr="00F72E6D">
                              <w:trPr>
                                <w:trHeight w:val="283"/>
                                <w:jc w:val="center"/>
                              </w:trPr>
                              <w:tc>
                                <w:tcPr>
                                  <w:tcW w:w="1417" w:type="dxa"/>
                                  <w:tcBorders>
                                    <w:bottom w:val="single" w:sz="4" w:space="0" w:color="auto"/>
                                  </w:tcBorders>
                                  <w:noWrap/>
                                  <w:vAlign w:val="center"/>
                                  <w:hideMark/>
                                </w:tcPr>
                                <w:p w14:paraId="4FE6837D" w14:textId="77777777" w:rsidR="00CE57F9" w:rsidRPr="00B73509" w:rsidRDefault="00CE57F9" w:rsidP="00F72E6D">
                                  <w:pPr>
                                    <w:widowControl/>
                                    <w:spacing w:line="220" w:lineRule="exact"/>
                                    <w:jc w:val="center"/>
                                    <w:rPr>
                                      <w:rFonts w:ascii="標楷體" w:eastAsia="標楷體" w:hAnsi="標楷體" w:cs="新細明體"/>
                                      <w:color w:val="000000"/>
                                      <w:sz w:val="20"/>
                                    </w:rPr>
                                  </w:pPr>
                                  <w:r w:rsidRPr="00B73509">
                                    <w:rPr>
                                      <w:rFonts w:ascii="標楷體" w:eastAsia="標楷體" w:hAnsi="標楷體" w:cs="新細明體" w:hint="eastAsia"/>
                                      <w:color w:val="000000"/>
                                      <w:sz w:val="20"/>
                                    </w:rPr>
                                    <w:t>未達統計週期</w:t>
                                  </w:r>
                                </w:p>
                              </w:tc>
                              <w:tc>
                                <w:tcPr>
                                  <w:tcW w:w="850" w:type="dxa"/>
                                  <w:tcBorders>
                                    <w:bottom w:val="single" w:sz="4" w:space="0" w:color="auto"/>
                                  </w:tcBorders>
                                  <w:noWrap/>
                                  <w:vAlign w:val="center"/>
                                  <w:hideMark/>
                                </w:tcPr>
                                <w:p w14:paraId="594F33BE" w14:textId="77777777" w:rsidR="00CE57F9" w:rsidRPr="00B73509" w:rsidRDefault="00CE57F9" w:rsidP="00F72E6D">
                                  <w:pPr>
                                    <w:widowControl/>
                                    <w:spacing w:line="220" w:lineRule="exact"/>
                                    <w:jc w:val="right"/>
                                    <w:rPr>
                                      <w:rFonts w:ascii="標楷體" w:eastAsia="標楷體" w:hAnsi="標楷體" w:cs="新細明體"/>
                                      <w:color w:val="000000"/>
                                      <w:sz w:val="20"/>
                                    </w:rPr>
                                  </w:pPr>
                                  <w:r w:rsidRPr="00B73509">
                                    <w:rPr>
                                      <w:rFonts w:ascii="標楷體" w:eastAsia="標楷體" w:hAnsi="標楷體" w:cs="新細明體" w:hint="eastAsia"/>
                                      <w:color w:val="000000"/>
                                      <w:sz w:val="20"/>
                                    </w:rPr>
                                    <w:t>44</w:t>
                                  </w:r>
                                </w:p>
                              </w:tc>
                              <w:tc>
                                <w:tcPr>
                                  <w:tcW w:w="851" w:type="dxa"/>
                                  <w:tcBorders>
                                    <w:bottom w:val="single" w:sz="4" w:space="0" w:color="auto"/>
                                  </w:tcBorders>
                                  <w:vAlign w:val="center"/>
                                </w:tcPr>
                                <w:p w14:paraId="4E80D7FD" w14:textId="77777777" w:rsidR="00CE57F9" w:rsidRPr="00B73509" w:rsidRDefault="00CE57F9" w:rsidP="00F72E6D">
                                  <w:pPr>
                                    <w:widowControl/>
                                    <w:spacing w:line="220" w:lineRule="exact"/>
                                    <w:jc w:val="right"/>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13.10</w:t>
                                  </w:r>
                                </w:p>
                              </w:tc>
                              <w:tc>
                                <w:tcPr>
                                  <w:tcW w:w="850" w:type="dxa"/>
                                  <w:tcBorders>
                                    <w:bottom w:val="single" w:sz="4" w:space="0" w:color="auto"/>
                                  </w:tcBorders>
                                  <w:noWrap/>
                                  <w:vAlign w:val="center"/>
                                  <w:hideMark/>
                                </w:tcPr>
                                <w:p w14:paraId="3FEAE831" w14:textId="77777777" w:rsidR="00CE57F9" w:rsidRPr="00B73509" w:rsidRDefault="00CE57F9" w:rsidP="00F72E6D">
                                  <w:pPr>
                                    <w:widowControl/>
                                    <w:spacing w:line="220" w:lineRule="exact"/>
                                    <w:jc w:val="right"/>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49</w:t>
                                  </w:r>
                                </w:p>
                              </w:tc>
                              <w:tc>
                                <w:tcPr>
                                  <w:tcW w:w="851" w:type="dxa"/>
                                  <w:tcBorders>
                                    <w:bottom w:val="single" w:sz="4" w:space="0" w:color="auto"/>
                                  </w:tcBorders>
                                  <w:vAlign w:val="center"/>
                                </w:tcPr>
                                <w:p w14:paraId="31DA6D21" w14:textId="77777777" w:rsidR="00CE57F9" w:rsidRPr="00B73509" w:rsidRDefault="00CE57F9" w:rsidP="00F72E6D">
                                  <w:pPr>
                                    <w:widowControl/>
                                    <w:spacing w:line="220" w:lineRule="exact"/>
                                    <w:jc w:val="right"/>
                                    <w:rPr>
                                      <w:rFonts w:ascii="標楷體" w:eastAsia="標楷體" w:hAnsi="標楷體" w:cs="新細明體"/>
                                      <w:color w:val="000000"/>
                                      <w:sz w:val="20"/>
                                    </w:rPr>
                                  </w:pPr>
                                  <w:r w:rsidRPr="00B73509">
                                    <w:rPr>
                                      <w:rFonts w:ascii="標楷體" w:eastAsia="標楷體" w:hAnsi="標楷體" w:cs="新細明體" w:hint="eastAsia"/>
                                      <w:color w:val="000000"/>
                                      <w:sz w:val="20"/>
                                    </w:rPr>
                                    <w:t>14.58</w:t>
                                  </w:r>
                                </w:p>
                              </w:tc>
                              <w:tc>
                                <w:tcPr>
                                  <w:tcW w:w="850" w:type="dxa"/>
                                  <w:tcBorders>
                                    <w:bottom w:val="single" w:sz="4" w:space="0" w:color="auto"/>
                                  </w:tcBorders>
                                  <w:noWrap/>
                                  <w:vAlign w:val="center"/>
                                  <w:hideMark/>
                                </w:tcPr>
                                <w:p w14:paraId="23994FD9" w14:textId="77777777" w:rsidR="00CE57F9" w:rsidRPr="00B73509" w:rsidRDefault="00CE57F9" w:rsidP="00F72E6D">
                                  <w:pPr>
                                    <w:widowControl/>
                                    <w:spacing w:line="220" w:lineRule="exact"/>
                                    <w:jc w:val="right"/>
                                    <w:rPr>
                                      <w:rFonts w:ascii="標楷體" w:eastAsia="標楷體" w:hAnsi="標楷體" w:cs="新細明體"/>
                                      <w:color w:val="000000"/>
                                      <w:sz w:val="20"/>
                                    </w:rPr>
                                  </w:pPr>
                                  <w:r w:rsidRPr="00B73509">
                                    <w:rPr>
                                      <w:rFonts w:ascii="標楷體" w:eastAsia="標楷體" w:hAnsi="標楷體" w:cs="新細明體" w:hint="eastAsia"/>
                                      <w:color w:val="000000"/>
                                      <w:sz w:val="20"/>
                                    </w:rPr>
                                    <w:t>39</w:t>
                                  </w:r>
                                </w:p>
                              </w:tc>
                              <w:tc>
                                <w:tcPr>
                                  <w:tcW w:w="851" w:type="dxa"/>
                                  <w:tcBorders>
                                    <w:bottom w:val="single" w:sz="4" w:space="0" w:color="auto"/>
                                  </w:tcBorders>
                                  <w:vAlign w:val="center"/>
                                </w:tcPr>
                                <w:p w14:paraId="4B990EE6" w14:textId="77777777" w:rsidR="00CE57F9" w:rsidRPr="00B73509" w:rsidRDefault="00CE57F9" w:rsidP="00F72E6D">
                                  <w:pPr>
                                    <w:widowControl/>
                                    <w:spacing w:line="220" w:lineRule="exact"/>
                                    <w:jc w:val="right"/>
                                    <w:rPr>
                                      <w:rFonts w:ascii="標楷體" w:eastAsia="標楷體" w:hAnsi="標楷體" w:cs="新細明體"/>
                                      <w:color w:val="000000"/>
                                      <w:sz w:val="20"/>
                                    </w:rPr>
                                  </w:pPr>
                                  <w:r w:rsidRPr="00B73509">
                                    <w:rPr>
                                      <w:rFonts w:ascii="標楷體" w:eastAsia="標楷體" w:hAnsi="標楷體" w:cs="新細明體" w:hint="eastAsia"/>
                                      <w:bCs/>
                                      <w:color w:val="000000"/>
                                      <w:sz w:val="20"/>
                                    </w:rPr>
                                    <w:t>11.64</w:t>
                                  </w:r>
                                </w:p>
                              </w:tc>
                            </w:tr>
                          </w:tbl>
                          <w:p w14:paraId="4E361AF7" w14:textId="77777777" w:rsidR="00CE57F9" w:rsidRPr="00056208" w:rsidRDefault="00CE57F9" w:rsidP="008A7682">
                            <w:pPr>
                              <w:widowControl/>
                              <w:spacing w:line="240" w:lineRule="exact"/>
                              <w:ind w:left="540" w:hangingChars="300" w:hanging="540"/>
                              <w:jc w:val="both"/>
                              <w:rPr>
                                <w:rFonts w:ascii="標楷體" w:eastAsia="標楷體" w:hAnsi="標楷體" w:cs="新細明體"/>
                                <w:bCs/>
                                <w:color w:val="000000"/>
                                <w:sz w:val="18"/>
                                <w:szCs w:val="18"/>
                              </w:rPr>
                            </w:pPr>
                            <w:r w:rsidRPr="00056208">
                              <w:rPr>
                                <w:rFonts w:ascii="標楷體" w:eastAsia="標楷體" w:hAnsi="標楷體" w:cs="新細明體" w:hint="eastAsia"/>
                                <w:bCs/>
                                <w:color w:val="000000"/>
                                <w:sz w:val="18"/>
                                <w:szCs w:val="18"/>
                              </w:rPr>
                              <w:t>註：1.對應指標5.3.1「女性法定結婚年齡」已於110年間完成修法而解除列管，爰永續會110年度計追蹤管考335項對應指標。</w:t>
                            </w:r>
                          </w:p>
                          <w:p w14:paraId="0CB55C76" w14:textId="77777777" w:rsidR="00CE57F9" w:rsidRPr="008F0152" w:rsidRDefault="00CE57F9" w:rsidP="008A7682">
                            <w:pPr>
                              <w:widowControl/>
                              <w:spacing w:line="240" w:lineRule="exact"/>
                              <w:ind w:left="540" w:hangingChars="300" w:hanging="540"/>
                              <w:jc w:val="both"/>
                            </w:pPr>
                            <w:r w:rsidRPr="00056208">
                              <w:rPr>
                                <w:rFonts w:ascii="標楷體" w:eastAsia="標楷體" w:hAnsi="標楷體" w:cs="新細明體" w:hint="eastAsia"/>
                                <w:bCs/>
                                <w:color w:val="000000"/>
                                <w:sz w:val="18"/>
                                <w:szCs w:val="18"/>
                              </w:rPr>
                              <w:t xml:space="preserve">　　2.資料來源：整理自2019臺灣永續發展目標年度檢討報告、2020臺灣永續發展目標年度總檢討報告、2021臺灣永續發展目標追蹤檢討報告。</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B2BF5B3" id="_x0000_s1138" type="#_x0000_t202" style="position:absolute;left:0;text-align:left;margin-left:164.6pt;margin-top:201.95pt;width:335.3pt;height:180.75pt;z-index:251639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" stroked="f">
                <v:textbox inset="1mm,1mm,1mm,1mm">
                  <w:txbxContent>
                    <w:p w14:paraId="31AB9CF6" w14:textId="67EE8471" w:rsidR="00CE57F9" w:rsidRPr="00262DDA" w:rsidRDefault="00CE57F9" w:rsidP="008A7682">
                      <w:pPr>
                        <w:widowControl/>
                        <w:jc w:val="center"/>
                        <w:rPr>
                          <w:rFonts w:ascii="標楷體" w:eastAsia="標楷體" w:hAnsi="標楷體" w:cs="新細明體"/>
                          <w:b/>
                          <w:color w:val="000000"/>
                        </w:rPr>
                      </w:pPr>
                      <w:r w:rsidRPr="00262DDA">
                        <w:rPr>
                          <w:rFonts w:ascii="標楷體" w:eastAsia="標楷體" w:hAnsi="標楷體" w:cs="新細明體" w:hint="eastAsia"/>
                          <w:b/>
                          <w:color w:val="000000"/>
                        </w:rPr>
                        <w:t>表</w:t>
                      </w:r>
                      <w:r>
                        <w:rPr>
                          <w:rFonts w:ascii="標楷體" w:eastAsia="標楷體" w:hAnsi="標楷體" w:cs="新細明體"/>
                          <w:b/>
                          <w:color w:val="000000"/>
                        </w:rPr>
                        <w:t>21</w:t>
                      </w:r>
                      <w:r w:rsidRPr="00262DDA">
                        <w:rPr>
                          <w:rFonts w:ascii="標楷體" w:eastAsia="標楷體" w:hAnsi="標楷體" w:cs="新細明體" w:hint="eastAsia"/>
                          <w:b/>
                          <w:color w:val="000000"/>
                        </w:rPr>
                        <w:t xml:space="preserve">　臺灣永續發展目標之對應指標執行情形</w:t>
                      </w:r>
                    </w:p>
                    <w:p w14:paraId="1FB156EC" w14:textId="77777777" w:rsidR="00CE57F9" w:rsidRPr="00C87B8A" w:rsidRDefault="00CE57F9" w:rsidP="008A7682">
                      <w:pPr>
                        <w:spacing w:line="240" w:lineRule="exact"/>
                        <w:jc w:val="right"/>
                        <w:rPr>
                          <w:sz w:val="20"/>
                        </w:rPr>
                      </w:pPr>
                      <w:r w:rsidRPr="00C87B8A">
                        <w:rPr>
                          <w:rFonts w:ascii="標楷體" w:eastAsia="標楷體" w:hAnsi="標楷體" w:cs="新細明體" w:hint="eastAsia"/>
                          <w:color w:val="000000"/>
                          <w:sz w:val="20"/>
                        </w:rPr>
                        <w:t>單位：項、％</w:t>
                      </w:r>
                    </w:p>
                    <w:tbl>
                      <w:tblPr>
                        <w:tblStyle w:val="140"/>
                        <w:tblW w:w="6520" w:type="dxa"/>
                        <w:jc w:val="center"/>
                        <w:tblLayout w:type="fixed"/>
                        <w:tblLook w:val="04A0" w:firstRow="1" w:lastRow="0" w:firstColumn="1" w:lastColumn="0" w:noHBand="0" w:noVBand="1"/>
                      </w:tblPr>
                      <w:tblGrid>
                        <w:gridCol w:w="1417"/>
                        <w:gridCol w:w="850"/>
                        <w:gridCol w:w="851"/>
                        <w:gridCol w:w="850"/>
                        <w:gridCol w:w="851"/>
                        <w:gridCol w:w="850"/>
                        <w:gridCol w:w="851"/>
                      </w:tblGrid>
                      <w:tr w:rsidR="00CE57F9" w:rsidRPr="00B73509" w14:paraId="554AFF4B" w14:textId="77777777" w:rsidTr="00F72E6D">
                        <w:trPr>
                          <w:trHeight w:val="283"/>
                          <w:jc w:val="center"/>
                        </w:trPr>
                        <w:tc>
                          <w:tcPr>
                            <w:tcW w:w="1417" w:type="dxa"/>
                            <w:vMerge w:val="restart"/>
                            <w:tcBorders>
                              <w:top w:val="single" w:sz="4" w:space="0" w:color="auto"/>
                              <w:tl2br w:val="nil"/>
                            </w:tcBorders>
                            <w:vAlign w:val="center"/>
                          </w:tcPr>
                          <w:p w14:paraId="71604F22" w14:textId="77777777" w:rsidR="00CE57F9" w:rsidRPr="00B73509" w:rsidRDefault="00CE57F9" w:rsidP="00F72E6D">
                            <w:pPr>
                              <w:overflowPunct w:val="0"/>
                              <w:spacing w:line="220" w:lineRule="exact"/>
                              <w:jc w:val="center"/>
                              <w:rPr>
                                <w:rFonts w:ascii="標楷體" w:eastAsia="標楷體" w:hAnsi="標楷體"/>
                                <w:bCs/>
                                <w:sz w:val="20"/>
                              </w:rPr>
                            </w:pPr>
                            <w:r w:rsidRPr="00B73509">
                              <w:rPr>
                                <w:rFonts w:ascii="標楷體" w:eastAsia="標楷體" w:hAnsi="標楷體" w:hint="eastAsia"/>
                                <w:sz w:val="20"/>
                              </w:rPr>
                              <w:t>對應</w:t>
                            </w:r>
                            <w:r w:rsidRPr="00B73509">
                              <w:rPr>
                                <w:rFonts w:ascii="標楷體" w:eastAsia="標楷體" w:hAnsi="標楷體"/>
                                <w:bCs/>
                                <w:sz w:val="20"/>
                              </w:rPr>
                              <w:t>指標</w:t>
                            </w:r>
                          </w:p>
                          <w:p w14:paraId="16C8BC6C" w14:textId="77777777" w:rsidR="00CE57F9" w:rsidRPr="00B73509" w:rsidRDefault="00CE57F9" w:rsidP="00F72E6D">
                            <w:pPr>
                              <w:overflowPunct w:val="0"/>
                              <w:spacing w:line="220" w:lineRule="exact"/>
                              <w:jc w:val="center"/>
                              <w:rPr>
                                <w:rFonts w:ascii="標楷體" w:eastAsia="標楷體" w:hAnsi="標楷體" w:cs="新細明體"/>
                                <w:color w:val="000000"/>
                                <w:sz w:val="20"/>
                              </w:rPr>
                            </w:pPr>
                            <w:r w:rsidRPr="00B73509">
                              <w:rPr>
                                <w:rFonts w:ascii="標楷體" w:eastAsia="標楷體" w:hAnsi="標楷體" w:cs="新細明體"/>
                                <w:color w:val="000000"/>
                                <w:sz w:val="20"/>
                              </w:rPr>
                              <w:t>執行情形</w:t>
                            </w:r>
                          </w:p>
                        </w:tc>
                        <w:tc>
                          <w:tcPr>
                            <w:tcW w:w="1701" w:type="dxa"/>
                            <w:gridSpan w:val="2"/>
                            <w:tcBorders>
                              <w:top w:val="single" w:sz="4" w:space="0" w:color="auto"/>
                            </w:tcBorders>
                            <w:noWrap/>
                            <w:vAlign w:val="center"/>
                            <w:hideMark/>
                          </w:tcPr>
                          <w:p w14:paraId="2DF13275" w14:textId="77777777" w:rsidR="00CE57F9" w:rsidRPr="00B73509" w:rsidRDefault="00CE57F9" w:rsidP="00F72E6D">
                            <w:pPr>
                              <w:widowControl/>
                              <w:spacing w:line="220" w:lineRule="exact"/>
                              <w:jc w:val="center"/>
                              <w:rPr>
                                <w:rFonts w:ascii="標楷體" w:eastAsia="標楷體" w:hAnsi="標楷體" w:cs="新細明體"/>
                                <w:bCs/>
                                <w:color w:val="000000"/>
                                <w:sz w:val="20"/>
                              </w:rPr>
                            </w:pPr>
                            <w:r w:rsidRPr="00B73509">
                              <w:rPr>
                                <w:rFonts w:ascii="標楷體" w:eastAsia="標楷體" w:hAnsi="標楷體" w:cs="新細明體" w:hint="eastAsia"/>
                                <w:color w:val="000000"/>
                                <w:sz w:val="20"/>
                              </w:rPr>
                              <w:t>108年度</w:t>
                            </w:r>
                          </w:p>
                        </w:tc>
                        <w:tc>
                          <w:tcPr>
                            <w:tcW w:w="1701" w:type="dxa"/>
                            <w:gridSpan w:val="2"/>
                            <w:tcBorders>
                              <w:top w:val="single" w:sz="4" w:space="0" w:color="auto"/>
                            </w:tcBorders>
                            <w:noWrap/>
                            <w:vAlign w:val="center"/>
                            <w:hideMark/>
                          </w:tcPr>
                          <w:p w14:paraId="19298753" w14:textId="77777777" w:rsidR="00CE57F9" w:rsidRPr="00B73509" w:rsidRDefault="00CE57F9" w:rsidP="00F72E6D">
                            <w:pPr>
                              <w:widowControl/>
                              <w:spacing w:line="220" w:lineRule="exact"/>
                              <w:jc w:val="center"/>
                              <w:rPr>
                                <w:rFonts w:ascii="標楷體" w:eastAsia="標楷體" w:hAnsi="標楷體" w:cs="新細明體"/>
                                <w:color w:val="000000"/>
                                <w:sz w:val="20"/>
                              </w:rPr>
                            </w:pPr>
                            <w:r w:rsidRPr="00B73509">
                              <w:rPr>
                                <w:rFonts w:ascii="標楷體" w:eastAsia="標楷體" w:hAnsi="標楷體" w:cs="新細明體" w:hint="eastAsia"/>
                                <w:bCs/>
                                <w:color w:val="000000"/>
                                <w:sz w:val="20"/>
                              </w:rPr>
                              <w:t>109</w:t>
                            </w:r>
                            <w:r w:rsidRPr="00B73509">
                              <w:rPr>
                                <w:rFonts w:ascii="標楷體" w:eastAsia="標楷體" w:hAnsi="標楷體" w:cs="新細明體" w:hint="eastAsia"/>
                                <w:color w:val="000000"/>
                                <w:sz w:val="20"/>
                              </w:rPr>
                              <w:t>年度</w:t>
                            </w:r>
                          </w:p>
                        </w:tc>
                        <w:tc>
                          <w:tcPr>
                            <w:tcW w:w="1701" w:type="dxa"/>
                            <w:gridSpan w:val="2"/>
                            <w:tcBorders>
                              <w:top w:val="single" w:sz="4" w:space="0" w:color="auto"/>
                            </w:tcBorders>
                            <w:noWrap/>
                            <w:vAlign w:val="center"/>
                            <w:hideMark/>
                          </w:tcPr>
                          <w:p w14:paraId="6939464E" w14:textId="77777777" w:rsidR="00CE57F9" w:rsidRPr="00B73509" w:rsidRDefault="00CE57F9" w:rsidP="00F72E6D">
                            <w:pPr>
                              <w:widowControl/>
                              <w:spacing w:line="220" w:lineRule="exact"/>
                              <w:jc w:val="center"/>
                              <w:rPr>
                                <w:rFonts w:ascii="標楷體" w:eastAsia="標楷體" w:hAnsi="標楷體" w:cs="新細明體"/>
                                <w:color w:val="000000"/>
                                <w:sz w:val="20"/>
                              </w:rPr>
                            </w:pPr>
                            <w:r w:rsidRPr="00B73509">
                              <w:rPr>
                                <w:rFonts w:ascii="標楷體" w:eastAsia="標楷體" w:hAnsi="標楷體" w:cs="新細明體" w:hint="eastAsia"/>
                                <w:color w:val="000000"/>
                                <w:sz w:val="20"/>
                              </w:rPr>
                              <w:t>110年度</w:t>
                            </w:r>
                          </w:p>
                        </w:tc>
                      </w:tr>
                      <w:tr w:rsidR="00CE57F9" w:rsidRPr="00B73509" w14:paraId="1F4DB7ED" w14:textId="77777777" w:rsidTr="00F72E6D">
                        <w:trPr>
                          <w:trHeight w:val="283"/>
                          <w:jc w:val="center"/>
                        </w:trPr>
                        <w:tc>
                          <w:tcPr>
                            <w:tcW w:w="1417" w:type="dxa"/>
                            <w:vMerge/>
                            <w:tcBorders>
                              <w:tl2br w:val="nil"/>
                            </w:tcBorders>
                            <w:vAlign w:val="center"/>
                          </w:tcPr>
                          <w:p w14:paraId="3930BBBC" w14:textId="77777777" w:rsidR="00CE57F9" w:rsidRPr="00B73509" w:rsidRDefault="00CE57F9" w:rsidP="00F72E6D">
                            <w:pPr>
                              <w:widowControl/>
                              <w:spacing w:line="220" w:lineRule="exact"/>
                              <w:jc w:val="center"/>
                              <w:rPr>
                                <w:rFonts w:ascii="標楷體" w:eastAsia="標楷體" w:hAnsi="標楷體" w:cs="新細明體"/>
                                <w:color w:val="000000"/>
                                <w:sz w:val="20"/>
                              </w:rPr>
                            </w:pPr>
                          </w:p>
                        </w:tc>
                        <w:tc>
                          <w:tcPr>
                            <w:tcW w:w="850" w:type="dxa"/>
                            <w:noWrap/>
                            <w:vAlign w:val="center"/>
                          </w:tcPr>
                          <w:p w14:paraId="1D9EECD2" w14:textId="77777777" w:rsidR="00CE57F9" w:rsidRPr="00B73509" w:rsidRDefault="00CE57F9" w:rsidP="00F72E6D">
                            <w:pPr>
                              <w:widowControl/>
                              <w:spacing w:line="220" w:lineRule="exact"/>
                              <w:jc w:val="center"/>
                              <w:rPr>
                                <w:rFonts w:ascii="標楷體" w:eastAsia="標楷體" w:hAnsi="標楷體" w:cs="新細明體"/>
                                <w:color w:val="000000"/>
                                <w:sz w:val="20"/>
                              </w:rPr>
                            </w:pPr>
                            <w:r w:rsidRPr="00B73509">
                              <w:rPr>
                                <w:rFonts w:ascii="標楷體" w:eastAsia="標楷體" w:hAnsi="標楷體" w:cs="新細明體" w:hint="eastAsia"/>
                                <w:color w:val="000000"/>
                                <w:sz w:val="20"/>
                              </w:rPr>
                              <w:t>項數</w:t>
                            </w:r>
                          </w:p>
                        </w:tc>
                        <w:tc>
                          <w:tcPr>
                            <w:tcW w:w="851" w:type="dxa"/>
                            <w:vAlign w:val="center"/>
                          </w:tcPr>
                          <w:p w14:paraId="74EFFFBD" w14:textId="77777777" w:rsidR="00CE57F9" w:rsidRPr="00B73509" w:rsidRDefault="00CE57F9" w:rsidP="00F72E6D">
                            <w:pPr>
                              <w:widowControl/>
                              <w:spacing w:line="220" w:lineRule="exact"/>
                              <w:jc w:val="center"/>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占比</w:t>
                            </w:r>
                          </w:p>
                        </w:tc>
                        <w:tc>
                          <w:tcPr>
                            <w:tcW w:w="850" w:type="dxa"/>
                            <w:noWrap/>
                            <w:vAlign w:val="center"/>
                          </w:tcPr>
                          <w:p w14:paraId="3632F27E" w14:textId="77777777" w:rsidR="00CE57F9" w:rsidRPr="00B73509" w:rsidRDefault="00CE57F9" w:rsidP="00F72E6D">
                            <w:pPr>
                              <w:widowControl/>
                              <w:spacing w:line="220" w:lineRule="exact"/>
                              <w:jc w:val="center"/>
                              <w:rPr>
                                <w:rFonts w:ascii="標楷體" w:eastAsia="標楷體" w:hAnsi="標楷體" w:cs="新細明體"/>
                                <w:color w:val="000000"/>
                                <w:sz w:val="20"/>
                              </w:rPr>
                            </w:pPr>
                            <w:r w:rsidRPr="00B73509">
                              <w:rPr>
                                <w:rFonts w:ascii="標楷體" w:eastAsia="標楷體" w:hAnsi="標楷體" w:cs="新細明體" w:hint="eastAsia"/>
                                <w:color w:val="000000"/>
                                <w:sz w:val="20"/>
                              </w:rPr>
                              <w:t>項數</w:t>
                            </w:r>
                          </w:p>
                        </w:tc>
                        <w:tc>
                          <w:tcPr>
                            <w:tcW w:w="851" w:type="dxa"/>
                            <w:vAlign w:val="center"/>
                          </w:tcPr>
                          <w:p w14:paraId="5B8D96ED" w14:textId="77777777" w:rsidR="00CE57F9" w:rsidRPr="00B73509" w:rsidRDefault="00CE57F9" w:rsidP="00F72E6D">
                            <w:pPr>
                              <w:widowControl/>
                              <w:spacing w:line="220" w:lineRule="exact"/>
                              <w:jc w:val="center"/>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占比</w:t>
                            </w:r>
                          </w:p>
                        </w:tc>
                        <w:tc>
                          <w:tcPr>
                            <w:tcW w:w="850" w:type="dxa"/>
                            <w:noWrap/>
                            <w:vAlign w:val="center"/>
                          </w:tcPr>
                          <w:p w14:paraId="61E3E30E" w14:textId="77777777" w:rsidR="00CE57F9" w:rsidRPr="00B73509" w:rsidRDefault="00CE57F9" w:rsidP="00F72E6D">
                            <w:pPr>
                              <w:widowControl/>
                              <w:spacing w:line="220" w:lineRule="exact"/>
                              <w:jc w:val="center"/>
                              <w:rPr>
                                <w:rFonts w:ascii="標楷體" w:eastAsia="標楷體" w:hAnsi="標楷體" w:cs="新細明體"/>
                                <w:color w:val="000000"/>
                                <w:sz w:val="20"/>
                              </w:rPr>
                            </w:pPr>
                            <w:r w:rsidRPr="00B73509">
                              <w:rPr>
                                <w:rFonts w:ascii="標楷體" w:eastAsia="標楷體" w:hAnsi="標楷體" w:cs="新細明體" w:hint="eastAsia"/>
                                <w:color w:val="000000"/>
                                <w:sz w:val="20"/>
                              </w:rPr>
                              <w:t>項數</w:t>
                            </w:r>
                          </w:p>
                        </w:tc>
                        <w:tc>
                          <w:tcPr>
                            <w:tcW w:w="851" w:type="dxa"/>
                            <w:vAlign w:val="center"/>
                          </w:tcPr>
                          <w:p w14:paraId="7E8A6B92" w14:textId="77777777" w:rsidR="00CE57F9" w:rsidRPr="00B73509" w:rsidRDefault="00CE57F9" w:rsidP="00F72E6D">
                            <w:pPr>
                              <w:widowControl/>
                              <w:spacing w:line="220" w:lineRule="exact"/>
                              <w:jc w:val="center"/>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占比</w:t>
                            </w:r>
                          </w:p>
                        </w:tc>
                      </w:tr>
                      <w:tr w:rsidR="00CE57F9" w:rsidRPr="00B73509" w14:paraId="30A32E1C" w14:textId="77777777" w:rsidTr="00F72E6D">
                        <w:trPr>
                          <w:trHeight w:val="283"/>
                          <w:jc w:val="center"/>
                        </w:trPr>
                        <w:tc>
                          <w:tcPr>
                            <w:tcW w:w="1417" w:type="dxa"/>
                            <w:noWrap/>
                            <w:vAlign w:val="center"/>
                            <w:hideMark/>
                          </w:tcPr>
                          <w:p w14:paraId="0395CA8E" w14:textId="77777777" w:rsidR="00CE57F9" w:rsidRPr="00B73509" w:rsidRDefault="00CE57F9" w:rsidP="00F72E6D">
                            <w:pPr>
                              <w:widowControl/>
                              <w:spacing w:line="220" w:lineRule="exact"/>
                              <w:jc w:val="center"/>
                              <w:rPr>
                                <w:rFonts w:ascii="標楷體" w:eastAsia="標楷體" w:hAnsi="標楷體" w:cs="新細明體"/>
                                <w:b/>
                                <w:color w:val="000000"/>
                                <w:sz w:val="20"/>
                              </w:rPr>
                            </w:pPr>
                            <w:r w:rsidRPr="00B73509">
                              <w:rPr>
                                <w:rFonts w:ascii="標楷體" w:eastAsia="標楷體" w:hAnsi="標楷體" w:cs="新細明體" w:hint="eastAsia"/>
                                <w:b/>
                                <w:color w:val="000000"/>
                                <w:sz w:val="20"/>
                              </w:rPr>
                              <w:t>合計</w:t>
                            </w:r>
                          </w:p>
                        </w:tc>
                        <w:tc>
                          <w:tcPr>
                            <w:tcW w:w="850" w:type="dxa"/>
                            <w:noWrap/>
                            <w:vAlign w:val="center"/>
                            <w:hideMark/>
                          </w:tcPr>
                          <w:p w14:paraId="248859B1" w14:textId="77777777" w:rsidR="00CE57F9" w:rsidRPr="00B73509" w:rsidRDefault="00CE57F9" w:rsidP="00F72E6D">
                            <w:pPr>
                              <w:widowControl/>
                              <w:spacing w:line="220" w:lineRule="exact"/>
                              <w:jc w:val="right"/>
                              <w:rPr>
                                <w:rFonts w:ascii="標楷體" w:eastAsia="標楷體" w:hAnsi="標楷體" w:cs="新細明體"/>
                                <w:b/>
                                <w:color w:val="000000"/>
                                <w:sz w:val="20"/>
                              </w:rPr>
                            </w:pPr>
                            <w:r w:rsidRPr="00B73509">
                              <w:rPr>
                                <w:rFonts w:ascii="標楷體" w:eastAsia="標楷體" w:hAnsi="標楷體" w:cs="新細明體" w:hint="eastAsia"/>
                                <w:b/>
                                <w:color w:val="000000"/>
                                <w:sz w:val="20"/>
                              </w:rPr>
                              <w:t>336</w:t>
                            </w:r>
                          </w:p>
                        </w:tc>
                        <w:tc>
                          <w:tcPr>
                            <w:tcW w:w="851" w:type="dxa"/>
                            <w:vAlign w:val="center"/>
                          </w:tcPr>
                          <w:p w14:paraId="1DE5A64E" w14:textId="77777777" w:rsidR="00CE57F9" w:rsidRPr="00B73509" w:rsidRDefault="00CE57F9" w:rsidP="00F72E6D">
                            <w:pPr>
                              <w:widowControl/>
                              <w:spacing w:line="220" w:lineRule="exact"/>
                              <w:jc w:val="right"/>
                              <w:rPr>
                                <w:rFonts w:ascii="標楷體" w:eastAsia="標楷體" w:hAnsi="標楷體" w:cs="新細明體"/>
                                <w:b/>
                                <w:bCs/>
                                <w:color w:val="000000"/>
                                <w:sz w:val="20"/>
                              </w:rPr>
                            </w:pPr>
                            <w:r w:rsidRPr="00B73509">
                              <w:rPr>
                                <w:rFonts w:ascii="標楷體" w:eastAsia="標楷體" w:hAnsi="標楷體" w:cs="新細明體" w:hint="eastAsia"/>
                                <w:b/>
                                <w:bCs/>
                                <w:color w:val="000000"/>
                                <w:sz w:val="20"/>
                              </w:rPr>
                              <w:t>100.00</w:t>
                            </w:r>
                          </w:p>
                        </w:tc>
                        <w:tc>
                          <w:tcPr>
                            <w:tcW w:w="850" w:type="dxa"/>
                            <w:noWrap/>
                            <w:vAlign w:val="center"/>
                            <w:hideMark/>
                          </w:tcPr>
                          <w:p w14:paraId="0E29D15C" w14:textId="77777777" w:rsidR="00CE57F9" w:rsidRPr="00B73509" w:rsidRDefault="00CE57F9" w:rsidP="00F72E6D">
                            <w:pPr>
                              <w:widowControl/>
                              <w:spacing w:line="220" w:lineRule="exact"/>
                              <w:jc w:val="right"/>
                              <w:rPr>
                                <w:rFonts w:ascii="標楷體" w:eastAsia="標楷體" w:hAnsi="標楷體" w:cs="新細明體"/>
                                <w:b/>
                                <w:bCs/>
                                <w:color w:val="000000"/>
                                <w:sz w:val="20"/>
                              </w:rPr>
                            </w:pPr>
                            <w:r w:rsidRPr="00B73509">
                              <w:rPr>
                                <w:rFonts w:ascii="標楷體" w:eastAsia="標楷體" w:hAnsi="標楷體" w:cs="新細明體" w:hint="eastAsia"/>
                                <w:b/>
                                <w:bCs/>
                                <w:color w:val="000000"/>
                                <w:sz w:val="20"/>
                              </w:rPr>
                              <w:t>336</w:t>
                            </w:r>
                          </w:p>
                        </w:tc>
                        <w:tc>
                          <w:tcPr>
                            <w:tcW w:w="851" w:type="dxa"/>
                            <w:vAlign w:val="center"/>
                          </w:tcPr>
                          <w:p w14:paraId="755173C9" w14:textId="77777777" w:rsidR="00CE57F9" w:rsidRPr="00B73509" w:rsidRDefault="00CE57F9" w:rsidP="00F72E6D">
                            <w:pPr>
                              <w:widowControl/>
                              <w:spacing w:line="220" w:lineRule="exact"/>
                              <w:jc w:val="right"/>
                              <w:rPr>
                                <w:rFonts w:ascii="標楷體" w:eastAsia="標楷體" w:hAnsi="標楷體" w:cs="新細明體"/>
                                <w:b/>
                                <w:color w:val="000000"/>
                                <w:sz w:val="20"/>
                              </w:rPr>
                            </w:pPr>
                            <w:r w:rsidRPr="00B73509">
                              <w:rPr>
                                <w:rFonts w:ascii="標楷體" w:eastAsia="標楷體" w:hAnsi="標楷體" w:cs="新細明體" w:hint="eastAsia"/>
                                <w:b/>
                                <w:color w:val="000000"/>
                                <w:sz w:val="20"/>
                              </w:rPr>
                              <w:t>100.00</w:t>
                            </w:r>
                          </w:p>
                        </w:tc>
                        <w:tc>
                          <w:tcPr>
                            <w:tcW w:w="850" w:type="dxa"/>
                            <w:noWrap/>
                            <w:vAlign w:val="center"/>
                            <w:hideMark/>
                          </w:tcPr>
                          <w:p w14:paraId="50D3DD28" w14:textId="77777777" w:rsidR="00CE57F9" w:rsidRPr="00B73509" w:rsidRDefault="00CE57F9" w:rsidP="00F72E6D">
                            <w:pPr>
                              <w:widowControl/>
                              <w:spacing w:line="220" w:lineRule="exact"/>
                              <w:jc w:val="right"/>
                              <w:rPr>
                                <w:rFonts w:ascii="標楷體" w:eastAsia="標楷體" w:hAnsi="標楷體" w:cs="新細明體"/>
                                <w:color w:val="000000"/>
                                <w:sz w:val="20"/>
                              </w:rPr>
                            </w:pPr>
                            <w:r w:rsidRPr="00B73509">
                              <w:rPr>
                                <w:rFonts w:ascii="標楷體" w:eastAsia="標楷體" w:hAnsi="標楷體" w:cs="新細明體" w:hint="eastAsia"/>
                                <w:b/>
                                <w:color w:val="000000"/>
                                <w:sz w:val="20"/>
                              </w:rPr>
                              <w:t>335</w:t>
                            </w:r>
                          </w:p>
                          <w:p w14:paraId="6AD81A2D" w14:textId="77777777" w:rsidR="00CE57F9" w:rsidRPr="00B73509" w:rsidRDefault="00CE57F9" w:rsidP="00F72E6D">
                            <w:pPr>
                              <w:widowControl/>
                              <w:spacing w:line="220" w:lineRule="exact"/>
                              <w:ind w:leftChars="-50" w:left="-120" w:rightChars="-50" w:right="-120"/>
                              <w:jc w:val="right"/>
                              <w:rPr>
                                <w:rFonts w:ascii="標楷體" w:eastAsia="標楷體" w:hAnsi="標楷體" w:cs="新細明體"/>
                                <w:b/>
                                <w:color w:val="000000"/>
                                <w:sz w:val="20"/>
                              </w:rPr>
                            </w:pPr>
                            <w:r w:rsidRPr="00B73509">
                              <w:rPr>
                                <w:rFonts w:ascii="標楷體" w:eastAsia="標楷體" w:hAnsi="標楷體" w:cs="新細明體" w:hint="eastAsia"/>
                                <w:color w:val="000000"/>
                                <w:sz w:val="20"/>
                              </w:rPr>
                              <w:t>（註1）</w:t>
                            </w:r>
                          </w:p>
                        </w:tc>
                        <w:tc>
                          <w:tcPr>
                            <w:tcW w:w="851" w:type="dxa"/>
                            <w:vAlign w:val="center"/>
                          </w:tcPr>
                          <w:p w14:paraId="7F711798" w14:textId="77777777" w:rsidR="00CE57F9" w:rsidRPr="00B73509" w:rsidRDefault="00CE57F9" w:rsidP="00F72E6D">
                            <w:pPr>
                              <w:widowControl/>
                              <w:spacing w:line="220" w:lineRule="exact"/>
                              <w:jc w:val="right"/>
                              <w:rPr>
                                <w:rFonts w:ascii="標楷體" w:eastAsia="標楷體" w:hAnsi="標楷體" w:cs="新細明體"/>
                                <w:b/>
                                <w:color w:val="000000"/>
                                <w:sz w:val="20"/>
                              </w:rPr>
                            </w:pPr>
                            <w:r w:rsidRPr="00B73509">
                              <w:rPr>
                                <w:rFonts w:ascii="標楷體" w:eastAsia="標楷體" w:hAnsi="標楷體" w:cs="新細明體" w:hint="eastAsia"/>
                                <w:b/>
                                <w:color w:val="000000"/>
                                <w:sz w:val="20"/>
                              </w:rPr>
                              <w:t>100.00</w:t>
                            </w:r>
                          </w:p>
                        </w:tc>
                      </w:tr>
                      <w:tr w:rsidR="00CE57F9" w:rsidRPr="00B73509" w14:paraId="70539CE9" w14:textId="77777777" w:rsidTr="00F72E6D">
                        <w:trPr>
                          <w:trHeight w:val="283"/>
                          <w:jc w:val="center"/>
                        </w:trPr>
                        <w:tc>
                          <w:tcPr>
                            <w:tcW w:w="1417" w:type="dxa"/>
                            <w:noWrap/>
                            <w:vAlign w:val="center"/>
                            <w:hideMark/>
                          </w:tcPr>
                          <w:p w14:paraId="7F2CC6CE" w14:textId="77777777" w:rsidR="00CE57F9" w:rsidRPr="00B73509" w:rsidRDefault="00CE57F9" w:rsidP="00F72E6D">
                            <w:pPr>
                              <w:widowControl/>
                              <w:spacing w:line="220" w:lineRule="exact"/>
                              <w:jc w:val="center"/>
                              <w:rPr>
                                <w:rFonts w:ascii="標楷體" w:eastAsia="標楷體" w:hAnsi="標楷體" w:cs="新細明體"/>
                                <w:color w:val="000000"/>
                                <w:sz w:val="20"/>
                              </w:rPr>
                            </w:pPr>
                            <w:r w:rsidRPr="00B73509">
                              <w:rPr>
                                <w:rFonts w:ascii="標楷體" w:eastAsia="標楷體" w:hAnsi="標楷體" w:cs="新細明體" w:hint="eastAsia"/>
                                <w:color w:val="000000"/>
                                <w:sz w:val="20"/>
                              </w:rPr>
                              <w:t>達成年度目標</w:t>
                            </w:r>
                          </w:p>
                        </w:tc>
                        <w:tc>
                          <w:tcPr>
                            <w:tcW w:w="850" w:type="dxa"/>
                            <w:noWrap/>
                            <w:vAlign w:val="center"/>
                            <w:hideMark/>
                          </w:tcPr>
                          <w:p w14:paraId="73D3B67B" w14:textId="77777777" w:rsidR="00CE57F9" w:rsidRPr="00B73509" w:rsidRDefault="00CE57F9" w:rsidP="00F72E6D">
                            <w:pPr>
                              <w:widowControl/>
                              <w:spacing w:line="220" w:lineRule="exact"/>
                              <w:jc w:val="right"/>
                              <w:rPr>
                                <w:rFonts w:ascii="標楷體" w:eastAsia="標楷體" w:hAnsi="標楷體" w:cs="新細明體"/>
                                <w:color w:val="000000"/>
                                <w:sz w:val="20"/>
                              </w:rPr>
                            </w:pPr>
                            <w:r w:rsidRPr="00B73509">
                              <w:rPr>
                                <w:rFonts w:ascii="標楷體" w:eastAsia="標楷體" w:hAnsi="標楷體" w:cs="新細明體" w:hint="eastAsia"/>
                                <w:color w:val="000000"/>
                                <w:sz w:val="20"/>
                              </w:rPr>
                              <w:t>266</w:t>
                            </w:r>
                          </w:p>
                        </w:tc>
                        <w:tc>
                          <w:tcPr>
                            <w:tcW w:w="851" w:type="dxa"/>
                            <w:vAlign w:val="center"/>
                          </w:tcPr>
                          <w:p w14:paraId="1C0C9162" w14:textId="77777777" w:rsidR="00CE57F9" w:rsidRPr="00B73509" w:rsidRDefault="00CE57F9" w:rsidP="00F72E6D">
                            <w:pPr>
                              <w:widowControl/>
                              <w:spacing w:line="220" w:lineRule="exact"/>
                              <w:jc w:val="right"/>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79.17</w:t>
                            </w:r>
                          </w:p>
                        </w:tc>
                        <w:tc>
                          <w:tcPr>
                            <w:tcW w:w="850" w:type="dxa"/>
                            <w:noWrap/>
                            <w:vAlign w:val="center"/>
                            <w:hideMark/>
                          </w:tcPr>
                          <w:p w14:paraId="29322A74" w14:textId="77777777" w:rsidR="00CE57F9" w:rsidRPr="00B73509" w:rsidRDefault="00CE57F9" w:rsidP="00F72E6D">
                            <w:pPr>
                              <w:widowControl/>
                              <w:spacing w:line="220" w:lineRule="exact"/>
                              <w:jc w:val="right"/>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242</w:t>
                            </w:r>
                          </w:p>
                        </w:tc>
                        <w:tc>
                          <w:tcPr>
                            <w:tcW w:w="851" w:type="dxa"/>
                            <w:vAlign w:val="center"/>
                          </w:tcPr>
                          <w:p w14:paraId="0493736B" w14:textId="77777777" w:rsidR="00CE57F9" w:rsidRPr="00B73509" w:rsidRDefault="00CE57F9" w:rsidP="00F72E6D">
                            <w:pPr>
                              <w:widowControl/>
                              <w:spacing w:line="220" w:lineRule="exact"/>
                              <w:jc w:val="right"/>
                              <w:rPr>
                                <w:rFonts w:ascii="標楷體" w:eastAsia="標楷體" w:hAnsi="標楷體" w:cs="新細明體"/>
                                <w:color w:val="000000"/>
                                <w:sz w:val="20"/>
                              </w:rPr>
                            </w:pPr>
                            <w:r w:rsidRPr="00B73509">
                              <w:rPr>
                                <w:rFonts w:ascii="標楷體" w:eastAsia="標楷體" w:hAnsi="標楷體" w:cs="新細明體" w:hint="eastAsia"/>
                                <w:color w:val="000000"/>
                                <w:sz w:val="20"/>
                              </w:rPr>
                              <w:t>72.02</w:t>
                            </w:r>
                          </w:p>
                        </w:tc>
                        <w:tc>
                          <w:tcPr>
                            <w:tcW w:w="850" w:type="dxa"/>
                            <w:noWrap/>
                            <w:vAlign w:val="center"/>
                            <w:hideMark/>
                          </w:tcPr>
                          <w:p w14:paraId="27BF8A18" w14:textId="77777777" w:rsidR="00CE57F9" w:rsidRPr="00B73509" w:rsidRDefault="00CE57F9" w:rsidP="00F72E6D">
                            <w:pPr>
                              <w:widowControl/>
                              <w:spacing w:line="220" w:lineRule="exact"/>
                              <w:jc w:val="right"/>
                              <w:rPr>
                                <w:rFonts w:ascii="標楷體" w:eastAsia="標楷體" w:hAnsi="標楷體" w:cs="新細明體"/>
                                <w:color w:val="000000"/>
                                <w:sz w:val="20"/>
                              </w:rPr>
                            </w:pPr>
                            <w:r w:rsidRPr="00B73509">
                              <w:rPr>
                                <w:rFonts w:ascii="標楷體" w:eastAsia="標楷體" w:hAnsi="標楷體" w:cs="新細明體" w:hint="eastAsia"/>
                                <w:color w:val="000000"/>
                                <w:sz w:val="20"/>
                              </w:rPr>
                              <w:t>252</w:t>
                            </w:r>
                          </w:p>
                        </w:tc>
                        <w:tc>
                          <w:tcPr>
                            <w:tcW w:w="851" w:type="dxa"/>
                            <w:vAlign w:val="center"/>
                          </w:tcPr>
                          <w:p w14:paraId="7A21735C" w14:textId="77777777" w:rsidR="00CE57F9" w:rsidRPr="00B73509" w:rsidRDefault="00CE57F9" w:rsidP="00F72E6D">
                            <w:pPr>
                              <w:widowControl/>
                              <w:spacing w:line="220" w:lineRule="exact"/>
                              <w:jc w:val="right"/>
                              <w:rPr>
                                <w:rFonts w:ascii="標楷體" w:eastAsia="標楷體" w:hAnsi="標楷體" w:cs="新細明體"/>
                                <w:color w:val="000000"/>
                                <w:sz w:val="20"/>
                              </w:rPr>
                            </w:pPr>
                            <w:r w:rsidRPr="00B73509">
                              <w:rPr>
                                <w:rFonts w:ascii="標楷體" w:eastAsia="標楷體" w:hAnsi="標楷體" w:cs="新細明體" w:hint="eastAsia"/>
                                <w:color w:val="000000"/>
                                <w:sz w:val="20"/>
                              </w:rPr>
                              <w:t>75.22</w:t>
                            </w:r>
                          </w:p>
                        </w:tc>
                      </w:tr>
                      <w:tr w:rsidR="00CE57F9" w:rsidRPr="00B73509" w14:paraId="1DE75CF9" w14:textId="77777777" w:rsidTr="00F72E6D">
                        <w:trPr>
                          <w:trHeight w:val="283"/>
                          <w:jc w:val="center"/>
                        </w:trPr>
                        <w:tc>
                          <w:tcPr>
                            <w:tcW w:w="1417" w:type="dxa"/>
                            <w:noWrap/>
                            <w:vAlign w:val="center"/>
                            <w:hideMark/>
                          </w:tcPr>
                          <w:p w14:paraId="52B786A9" w14:textId="77777777" w:rsidR="00CE57F9" w:rsidRPr="00B73509" w:rsidRDefault="00CE57F9" w:rsidP="00F72E6D">
                            <w:pPr>
                              <w:widowControl/>
                              <w:spacing w:line="220" w:lineRule="exact"/>
                              <w:jc w:val="center"/>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未達年度目標</w:t>
                            </w:r>
                          </w:p>
                        </w:tc>
                        <w:tc>
                          <w:tcPr>
                            <w:tcW w:w="850" w:type="dxa"/>
                            <w:noWrap/>
                            <w:vAlign w:val="center"/>
                            <w:hideMark/>
                          </w:tcPr>
                          <w:p w14:paraId="65B5F083" w14:textId="77777777" w:rsidR="00CE57F9" w:rsidRPr="00B73509" w:rsidRDefault="00CE57F9" w:rsidP="00F72E6D">
                            <w:pPr>
                              <w:widowControl/>
                              <w:spacing w:line="220" w:lineRule="exact"/>
                              <w:jc w:val="right"/>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26</w:t>
                            </w:r>
                          </w:p>
                        </w:tc>
                        <w:tc>
                          <w:tcPr>
                            <w:tcW w:w="851" w:type="dxa"/>
                            <w:vAlign w:val="center"/>
                          </w:tcPr>
                          <w:p w14:paraId="0FD8B9BE" w14:textId="77777777" w:rsidR="00CE57F9" w:rsidRPr="00B73509" w:rsidRDefault="00CE57F9" w:rsidP="00F72E6D">
                            <w:pPr>
                              <w:widowControl/>
                              <w:spacing w:line="220" w:lineRule="exact"/>
                              <w:jc w:val="right"/>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7.74</w:t>
                            </w:r>
                          </w:p>
                        </w:tc>
                        <w:tc>
                          <w:tcPr>
                            <w:tcW w:w="850" w:type="dxa"/>
                            <w:noWrap/>
                            <w:vAlign w:val="center"/>
                            <w:hideMark/>
                          </w:tcPr>
                          <w:p w14:paraId="085A73EF" w14:textId="77777777" w:rsidR="00CE57F9" w:rsidRPr="00B73509" w:rsidRDefault="00CE57F9" w:rsidP="00F72E6D">
                            <w:pPr>
                              <w:widowControl/>
                              <w:spacing w:line="220" w:lineRule="exact"/>
                              <w:jc w:val="right"/>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45</w:t>
                            </w:r>
                          </w:p>
                        </w:tc>
                        <w:tc>
                          <w:tcPr>
                            <w:tcW w:w="851" w:type="dxa"/>
                            <w:vAlign w:val="center"/>
                          </w:tcPr>
                          <w:p w14:paraId="111E5D5C" w14:textId="77777777" w:rsidR="00CE57F9" w:rsidRPr="00B73509" w:rsidRDefault="00CE57F9" w:rsidP="00F72E6D">
                            <w:pPr>
                              <w:widowControl/>
                              <w:spacing w:line="220" w:lineRule="exact"/>
                              <w:jc w:val="right"/>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13.39</w:t>
                            </w:r>
                          </w:p>
                        </w:tc>
                        <w:tc>
                          <w:tcPr>
                            <w:tcW w:w="850" w:type="dxa"/>
                            <w:noWrap/>
                            <w:vAlign w:val="center"/>
                            <w:hideMark/>
                          </w:tcPr>
                          <w:p w14:paraId="54F05B7A" w14:textId="77777777" w:rsidR="00CE57F9" w:rsidRPr="00B73509" w:rsidRDefault="00CE57F9" w:rsidP="00F72E6D">
                            <w:pPr>
                              <w:widowControl/>
                              <w:spacing w:line="220" w:lineRule="exact"/>
                              <w:jc w:val="right"/>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44</w:t>
                            </w:r>
                          </w:p>
                        </w:tc>
                        <w:tc>
                          <w:tcPr>
                            <w:tcW w:w="851" w:type="dxa"/>
                            <w:vAlign w:val="center"/>
                          </w:tcPr>
                          <w:p w14:paraId="23F234FC" w14:textId="77777777" w:rsidR="00CE57F9" w:rsidRPr="00B73509" w:rsidRDefault="00CE57F9" w:rsidP="00F72E6D">
                            <w:pPr>
                              <w:widowControl/>
                              <w:spacing w:line="220" w:lineRule="exact"/>
                              <w:jc w:val="right"/>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13.13</w:t>
                            </w:r>
                          </w:p>
                        </w:tc>
                      </w:tr>
                      <w:tr w:rsidR="00CE57F9" w:rsidRPr="00B73509" w14:paraId="49DD69F1" w14:textId="77777777" w:rsidTr="00F72E6D">
                        <w:trPr>
                          <w:trHeight w:val="283"/>
                          <w:jc w:val="center"/>
                        </w:trPr>
                        <w:tc>
                          <w:tcPr>
                            <w:tcW w:w="1417" w:type="dxa"/>
                            <w:tcBorders>
                              <w:bottom w:val="single" w:sz="4" w:space="0" w:color="auto"/>
                            </w:tcBorders>
                            <w:noWrap/>
                            <w:vAlign w:val="center"/>
                            <w:hideMark/>
                          </w:tcPr>
                          <w:p w14:paraId="4FE6837D" w14:textId="77777777" w:rsidR="00CE57F9" w:rsidRPr="00B73509" w:rsidRDefault="00CE57F9" w:rsidP="00F72E6D">
                            <w:pPr>
                              <w:widowControl/>
                              <w:spacing w:line="220" w:lineRule="exact"/>
                              <w:jc w:val="center"/>
                              <w:rPr>
                                <w:rFonts w:ascii="標楷體" w:eastAsia="標楷體" w:hAnsi="標楷體" w:cs="新細明體"/>
                                <w:color w:val="000000"/>
                                <w:sz w:val="20"/>
                              </w:rPr>
                            </w:pPr>
                            <w:r w:rsidRPr="00B73509">
                              <w:rPr>
                                <w:rFonts w:ascii="標楷體" w:eastAsia="標楷體" w:hAnsi="標楷體" w:cs="新細明體" w:hint="eastAsia"/>
                                <w:color w:val="000000"/>
                                <w:sz w:val="20"/>
                              </w:rPr>
                              <w:t>未達統計週期</w:t>
                            </w:r>
                          </w:p>
                        </w:tc>
                        <w:tc>
                          <w:tcPr>
                            <w:tcW w:w="850" w:type="dxa"/>
                            <w:tcBorders>
                              <w:bottom w:val="single" w:sz="4" w:space="0" w:color="auto"/>
                            </w:tcBorders>
                            <w:noWrap/>
                            <w:vAlign w:val="center"/>
                            <w:hideMark/>
                          </w:tcPr>
                          <w:p w14:paraId="594F33BE" w14:textId="77777777" w:rsidR="00CE57F9" w:rsidRPr="00B73509" w:rsidRDefault="00CE57F9" w:rsidP="00F72E6D">
                            <w:pPr>
                              <w:widowControl/>
                              <w:spacing w:line="220" w:lineRule="exact"/>
                              <w:jc w:val="right"/>
                              <w:rPr>
                                <w:rFonts w:ascii="標楷體" w:eastAsia="標楷體" w:hAnsi="標楷體" w:cs="新細明體"/>
                                <w:color w:val="000000"/>
                                <w:sz w:val="20"/>
                              </w:rPr>
                            </w:pPr>
                            <w:r w:rsidRPr="00B73509">
                              <w:rPr>
                                <w:rFonts w:ascii="標楷體" w:eastAsia="標楷體" w:hAnsi="標楷體" w:cs="新細明體" w:hint="eastAsia"/>
                                <w:color w:val="000000"/>
                                <w:sz w:val="20"/>
                              </w:rPr>
                              <w:t>44</w:t>
                            </w:r>
                          </w:p>
                        </w:tc>
                        <w:tc>
                          <w:tcPr>
                            <w:tcW w:w="851" w:type="dxa"/>
                            <w:tcBorders>
                              <w:bottom w:val="single" w:sz="4" w:space="0" w:color="auto"/>
                            </w:tcBorders>
                            <w:vAlign w:val="center"/>
                          </w:tcPr>
                          <w:p w14:paraId="4E80D7FD" w14:textId="77777777" w:rsidR="00CE57F9" w:rsidRPr="00B73509" w:rsidRDefault="00CE57F9" w:rsidP="00F72E6D">
                            <w:pPr>
                              <w:widowControl/>
                              <w:spacing w:line="220" w:lineRule="exact"/>
                              <w:jc w:val="right"/>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13.10</w:t>
                            </w:r>
                          </w:p>
                        </w:tc>
                        <w:tc>
                          <w:tcPr>
                            <w:tcW w:w="850" w:type="dxa"/>
                            <w:tcBorders>
                              <w:bottom w:val="single" w:sz="4" w:space="0" w:color="auto"/>
                            </w:tcBorders>
                            <w:noWrap/>
                            <w:vAlign w:val="center"/>
                            <w:hideMark/>
                          </w:tcPr>
                          <w:p w14:paraId="3FEAE831" w14:textId="77777777" w:rsidR="00CE57F9" w:rsidRPr="00B73509" w:rsidRDefault="00CE57F9" w:rsidP="00F72E6D">
                            <w:pPr>
                              <w:widowControl/>
                              <w:spacing w:line="220" w:lineRule="exact"/>
                              <w:jc w:val="right"/>
                              <w:rPr>
                                <w:rFonts w:ascii="標楷體" w:eastAsia="標楷體" w:hAnsi="標楷體" w:cs="新細明體"/>
                                <w:bCs/>
                                <w:color w:val="000000"/>
                                <w:sz w:val="20"/>
                              </w:rPr>
                            </w:pPr>
                            <w:r w:rsidRPr="00B73509">
                              <w:rPr>
                                <w:rFonts w:ascii="標楷體" w:eastAsia="標楷體" w:hAnsi="標楷體" w:cs="新細明體" w:hint="eastAsia"/>
                                <w:bCs/>
                                <w:color w:val="000000"/>
                                <w:sz w:val="20"/>
                              </w:rPr>
                              <w:t>49</w:t>
                            </w:r>
                          </w:p>
                        </w:tc>
                        <w:tc>
                          <w:tcPr>
                            <w:tcW w:w="851" w:type="dxa"/>
                            <w:tcBorders>
                              <w:bottom w:val="single" w:sz="4" w:space="0" w:color="auto"/>
                            </w:tcBorders>
                            <w:vAlign w:val="center"/>
                          </w:tcPr>
                          <w:p w14:paraId="31DA6D21" w14:textId="77777777" w:rsidR="00CE57F9" w:rsidRPr="00B73509" w:rsidRDefault="00CE57F9" w:rsidP="00F72E6D">
                            <w:pPr>
                              <w:widowControl/>
                              <w:spacing w:line="220" w:lineRule="exact"/>
                              <w:jc w:val="right"/>
                              <w:rPr>
                                <w:rFonts w:ascii="標楷體" w:eastAsia="標楷體" w:hAnsi="標楷體" w:cs="新細明體"/>
                                <w:color w:val="000000"/>
                                <w:sz w:val="20"/>
                              </w:rPr>
                            </w:pPr>
                            <w:r w:rsidRPr="00B73509">
                              <w:rPr>
                                <w:rFonts w:ascii="標楷體" w:eastAsia="標楷體" w:hAnsi="標楷體" w:cs="新細明體" w:hint="eastAsia"/>
                                <w:color w:val="000000"/>
                                <w:sz w:val="20"/>
                              </w:rPr>
                              <w:t>14.58</w:t>
                            </w:r>
                          </w:p>
                        </w:tc>
                        <w:tc>
                          <w:tcPr>
                            <w:tcW w:w="850" w:type="dxa"/>
                            <w:tcBorders>
                              <w:bottom w:val="single" w:sz="4" w:space="0" w:color="auto"/>
                            </w:tcBorders>
                            <w:noWrap/>
                            <w:vAlign w:val="center"/>
                            <w:hideMark/>
                          </w:tcPr>
                          <w:p w14:paraId="23994FD9" w14:textId="77777777" w:rsidR="00CE57F9" w:rsidRPr="00B73509" w:rsidRDefault="00CE57F9" w:rsidP="00F72E6D">
                            <w:pPr>
                              <w:widowControl/>
                              <w:spacing w:line="220" w:lineRule="exact"/>
                              <w:jc w:val="right"/>
                              <w:rPr>
                                <w:rFonts w:ascii="標楷體" w:eastAsia="標楷體" w:hAnsi="標楷體" w:cs="新細明體"/>
                                <w:color w:val="000000"/>
                                <w:sz w:val="20"/>
                              </w:rPr>
                            </w:pPr>
                            <w:r w:rsidRPr="00B73509">
                              <w:rPr>
                                <w:rFonts w:ascii="標楷體" w:eastAsia="標楷體" w:hAnsi="標楷體" w:cs="新細明體" w:hint="eastAsia"/>
                                <w:color w:val="000000"/>
                                <w:sz w:val="20"/>
                              </w:rPr>
                              <w:t>39</w:t>
                            </w:r>
                          </w:p>
                        </w:tc>
                        <w:tc>
                          <w:tcPr>
                            <w:tcW w:w="851" w:type="dxa"/>
                            <w:tcBorders>
                              <w:bottom w:val="single" w:sz="4" w:space="0" w:color="auto"/>
                            </w:tcBorders>
                            <w:vAlign w:val="center"/>
                          </w:tcPr>
                          <w:p w14:paraId="4B990EE6" w14:textId="77777777" w:rsidR="00CE57F9" w:rsidRPr="00B73509" w:rsidRDefault="00CE57F9" w:rsidP="00F72E6D">
                            <w:pPr>
                              <w:widowControl/>
                              <w:spacing w:line="220" w:lineRule="exact"/>
                              <w:jc w:val="right"/>
                              <w:rPr>
                                <w:rFonts w:ascii="標楷體" w:eastAsia="標楷體" w:hAnsi="標楷體" w:cs="新細明體"/>
                                <w:color w:val="000000"/>
                                <w:sz w:val="20"/>
                              </w:rPr>
                            </w:pPr>
                            <w:r w:rsidRPr="00B73509">
                              <w:rPr>
                                <w:rFonts w:ascii="標楷體" w:eastAsia="標楷體" w:hAnsi="標楷體" w:cs="新細明體" w:hint="eastAsia"/>
                                <w:bCs/>
                                <w:color w:val="000000"/>
                                <w:sz w:val="20"/>
                              </w:rPr>
                              <w:t>11.64</w:t>
                            </w:r>
                          </w:p>
                        </w:tc>
                      </w:tr>
                    </w:tbl>
                    <w:p w14:paraId="4E361AF7" w14:textId="77777777" w:rsidR="00CE57F9" w:rsidRPr="00056208" w:rsidRDefault="00CE57F9" w:rsidP="008A7682">
                      <w:pPr>
                        <w:widowControl/>
                        <w:spacing w:line="240" w:lineRule="exact"/>
                        <w:ind w:left="540" w:hangingChars="300" w:hanging="540"/>
                        <w:jc w:val="both"/>
                        <w:rPr>
                          <w:rFonts w:ascii="標楷體" w:eastAsia="標楷體" w:hAnsi="標楷體" w:cs="新細明體"/>
                          <w:bCs/>
                          <w:color w:val="000000"/>
                          <w:sz w:val="18"/>
                          <w:szCs w:val="18"/>
                        </w:rPr>
                      </w:pPr>
                      <w:r w:rsidRPr="00056208">
                        <w:rPr>
                          <w:rFonts w:ascii="標楷體" w:eastAsia="標楷體" w:hAnsi="標楷體" w:cs="新細明體" w:hint="eastAsia"/>
                          <w:bCs/>
                          <w:color w:val="000000"/>
                          <w:sz w:val="18"/>
                          <w:szCs w:val="18"/>
                        </w:rPr>
                        <w:t>註：1.對應指標5.3.1「女性法定結婚年齡」已於110年間完成修法而解除列管，爰永續會110年度計追蹤管考335項對應指標。</w:t>
                      </w:r>
                    </w:p>
                    <w:p w14:paraId="0CB55C76" w14:textId="77777777" w:rsidR="00CE57F9" w:rsidRPr="008F0152" w:rsidRDefault="00CE57F9" w:rsidP="008A7682">
                      <w:pPr>
                        <w:widowControl/>
                        <w:spacing w:line="240" w:lineRule="exact"/>
                        <w:ind w:left="540" w:hangingChars="300" w:hanging="540"/>
                        <w:jc w:val="both"/>
                      </w:pPr>
                      <w:r w:rsidRPr="00056208">
                        <w:rPr>
                          <w:rFonts w:ascii="標楷體" w:eastAsia="標楷體" w:hAnsi="標楷體" w:cs="新細明體" w:hint="eastAsia"/>
                          <w:bCs/>
                          <w:color w:val="000000"/>
                          <w:sz w:val="18"/>
                          <w:szCs w:val="18"/>
                        </w:rPr>
                        <w:t xml:space="preserve">　　2.資料來源：整理自2019臺灣永續發展目標年度檢討報告、2020臺灣永續發展目標年度總檢討報告、2021臺灣永續發展目標追蹤檢討報告。</w:t>
                      </w:r>
                    </w:p>
                  </w:txbxContent>
                </v:textbox>
                <w10:wrap type="square" anchorx="margin"/>
              </v:shape>
            </w:pict>
          </mc:Fallback>
        </mc:AlternateContent>
      </w:r>
      <w:r w:rsidR="008A7682" w:rsidRPr="009D11AD">
        <w:rPr>
          <w:rFonts w:ascii="標楷體" w:eastAsia="標楷體" w:hAnsi="標楷體" w:hint="eastAsia"/>
          <w:b/>
          <w:szCs w:val="24"/>
        </w:rPr>
        <w:t>3.　政府為追蹤臺灣永續發展目標推動成效，自108年度起逐年發布年度檢討報告，近3年度336項對應指標達成率均逾7成，惟間有部分對應指標未達成年度目標，且未達成比率呈上升趨勢；或部分對應指標未達統計</w:t>
      </w:r>
      <w:r w:rsidR="00AD67F6">
        <w:rPr>
          <w:rFonts w:ascii="標楷體" w:eastAsia="標楷體" w:hAnsi="標楷體" w:hint="eastAsia"/>
          <w:b/>
          <w:szCs w:val="24"/>
        </w:rPr>
        <w:t>週</w:t>
      </w:r>
      <w:r w:rsidR="008A7682" w:rsidRPr="009D11AD">
        <w:rPr>
          <w:rFonts w:ascii="標楷體" w:eastAsia="標楷體" w:hAnsi="標楷體" w:hint="eastAsia"/>
          <w:b/>
          <w:szCs w:val="24"/>
        </w:rPr>
        <w:t>期，致多年無法檢視等情，允宜針對落後之問題癥結研謀善策，並適時檢討調整年度檢討報告之檢視方式，以完整呈現永續發展年度執行成果：</w:t>
      </w:r>
      <w:r w:rsidRPr="009D11AD">
        <w:rPr>
          <w:rFonts w:ascii="標楷體" w:eastAsia="標楷體" w:hAnsi="標楷體" w:hint="eastAsia"/>
          <w:szCs w:val="24"/>
        </w:rPr>
        <w:t>永續會為追蹤臺灣永續發展目標</w:t>
      </w:r>
      <w:r w:rsidR="008A7682" w:rsidRPr="009D11AD">
        <w:rPr>
          <w:rFonts w:ascii="標楷體" w:eastAsia="標楷體" w:hAnsi="標楷體" w:hint="eastAsia"/>
          <w:szCs w:val="24"/>
        </w:rPr>
        <w:t>推動成效，於</w:t>
      </w:r>
      <w:r w:rsidR="008A7682" w:rsidRPr="009D11AD">
        <w:rPr>
          <w:rFonts w:ascii="標楷體" w:eastAsia="標楷體" w:hAnsi="標楷體" w:hint="eastAsia"/>
          <w:kern w:val="0"/>
          <w:szCs w:val="24"/>
        </w:rPr>
        <w:t>第47次工作會議（108年5月15日）決議訂定臺灣永續發展目標追</w:t>
      </w:r>
      <w:r w:rsidR="008A7682" w:rsidRPr="009D11AD">
        <w:rPr>
          <w:rFonts w:ascii="標楷體" w:eastAsia="標楷體" w:hAnsi="標楷體" w:hint="eastAsia"/>
          <w:szCs w:val="24"/>
        </w:rPr>
        <w:t>蹤管考作業準則，自108年度起迄120年度止，由永續會工作分組及專案小組召集各核心目標主政機關進行追蹤管考作業，每年檢視前一年度之推動成效，同時以4年為一週期進行階段性檢視，截至111年底止，永續會已發布3份年度檢討報告及1份階段性檢討報告。據前開年度檢討報告統計，近3年度（108至110年度）336項對應指標達成率均逾7成</w:t>
      </w:r>
      <w:r w:rsidR="008A7682" w:rsidRPr="009D11AD">
        <w:rPr>
          <w:rFonts w:ascii="標楷體" w:eastAsia="標楷體" w:hAnsi="標楷體"/>
          <w:szCs w:val="24"/>
        </w:rPr>
        <w:t>（</w:t>
      </w:r>
      <w:r w:rsidR="008A7682" w:rsidRPr="00346BDD">
        <w:rPr>
          <w:rFonts w:ascii="標楷體" w:eastAsia="標楷體" w:hAnsi="標楷體"/>
          <w:szCs w:val="24"/>
        </w:rPr>
        <w:t>表</w:t>
      </w:r>
      <w:r w:rsidR="008A7682" w:rsidRPr="00346BDD">
        <w:rPr>
          <w:rFonts w:ascii="標楷體" w:eastAsia="標楷體" w:hAnsi="標楷體" w:hint="eastAsia"/>
          <w:szCs w:val="24"/>
        </w:rPr>
        <w:t>2</w:t>
      </w:r>
      <w:r w:rsidR="00B729E6" w:rsidRPr="00346BDD">
        <w:rPr>
          <w:rFonts w:ascii="標楷體" w:eastAsia="標楷體" w:hAnsi="標楷體" w:hint="eastAsia"/>
          <w:szCs w:val="24"/>
        </w:rPr>
        <w:t>1</w:t>
      </w:r>
      <w:r w:rsidR="008A7682" w:rsidRPr="00346BDD">
        <w:rPr>
          <w:rFonts w:ascii="標楷體" w:eastAsia="標楷體" w:hAnsi="標楷體"/>
          <w:szCs w:val="24"/>
        </w:rPr>
        <w:t>）</w:t>
      </w:r>
      <w:r w:rsidR="008A7682" w:rsidRPr="009D11AD">
        <w:rPr>
          <w:rFonts w:ascii="標楷體" w:eastAsia="標楷體" w:hAnsi="標楷體" w:hint="eastAsia"/>
          <w:szCs w:val="24"/>
        </w:rPr>
        <w:t>，惟110年度未達成</w:t>
      </w:r>
      <w:r w:rsidR="008A7682" w:rsidRPr="00DA2751">
        <w:rPr>
          <w:rFonts w:ascii="標楷體" w:eastAsia="標楷體" w:hAnsi="標楷體" w:hint="eastAsia"/>
          <w:spacing w:val="2"/>
          <w:szCs w:val="24"/>
        </w:rPr>
        <w:t>率</w:t>
      </w:r>
      <w:r w:rsidR="008A7682" w:rsidRPr="00DA2751">
        <w:rPr>
          <w:rFonts w:ascii="標楷體" w:eastAsia="標楷體" w:hAnsi="標楷體"/>
          <w:spacing w:val="2"/>
          <w:szCs w:val="24"/>
        </w:rPr>
        <w:t>13.13％較108年度7.74％增加5.39個百分點；另查110年度對應指標未達預期目標者計有44項，連續2年度以上未達成者計24項（占所有336項對應指標之7.14％），其中甚至有11項已連續3年度皆未達成（占所有對應指標之3.27％），顯示部分對應指標之執行進度呈現持續落後情形。</w:t>
      </w:r>
      <w:r w:rsidR="008A7682" w:rsidRPr="009D11AD">
        <w:rPr>
          <w:rFonts w:ascii="標楷體" w:eastAsia="標楷體" w:hAnsi="標楷體" w:hint="eastAsia"/>
          <w:szCs w:val="24"/>
        </w:rPr>
        <w:t>另據前開年度檢討報告統計，近3年度分別有44項、49項、39項對應指標因未達統計週期致無法檢視執行成</w:t>
      </w:r>
      <w:r w:rsidR="008A7682" w:rsidRPr="00346BDD">
        <w:rPr>
          <w:rFonts w:ascii="標楷體" w:eastAsia="標楷體" w:hAnsi="標楷體" w:hint="eastAsia"/>
          <w:szCs w:val="24"/>
        </w:rPr>
        <w:t>果</w:t>
      </w:r>
      <w:r w:rsidR="008A7682" w:rsidRPr="00346BDD">
        <w:rPr>
          <w:rFonts w:ascii="標楷體" w:eastAsia="標楷體" w:hAnsi="標楷體"/>
          <w:szCs w:val="24"/>
        </w:rPr>
        <w:t>（表</w:t>
      </w:r>
      <w:r w:rsidR="008A7682" w:rsidRPr="00346BDD">
        <w:rPr>
          <w:rFonts w:ascii="標楷體" w:eastAsia="標楷體" w:hAnsi="標楷體" w:hint="eastAsia"/>
          <w:szCs w:val="24"/>
        </w:rPr>
        <w:t>2</w:t>
      </w:r>
      <w:r w:rsidR="00B729E6" w:rsidRPr="00346BDD">
        <w:rPr>
          <w:rFonts w:ascii="標楷體" w:eastAsia="標楷體" w:hAnsi="標楷體" w:hint="eastAsia"/>
          <w:szCs w:val="24"/>
        </w:rPr>
        <w:t>1</w:t>
      </w:r>
      <w:r w:rsidR="008A7682" w:rsidRPr="009D11AD">
        <w:rPr>
          <w:rFonts w:ascii="標楷體" w:eastAsia="標楷體" w:hAnsi="標楷體"/>
          <w:szCs w:val="24"/>
        </w:rPr>
        <w:t>）</w:t>
      </w:r>
      <w:r w:rsidR="008A7682" w:rsidRPr="009D11AD">
        <w:rPr>
          <w:rFonts w:ascii="標楷體" w:eastAsia="標楷體" w:hAnsi="標楷體" w:hint="eastAsia"/>
          <w:szCs w:val="24"/>
        </w:rPr>
        <w:t>，</w:t>
      </w:r>
      <w:r w:rsidR="008A7682" w:rsidRPr="00DA2751">
        <w:rPr>
          <w:rFonts w:ascii="標楷體" w:eastAsia="標楷體" w:hAnsi="標楷體" w:hint="eastAsia"/>
          <w:spacing w:val="2"/>
          <w:szCs w:val="24"/>
        </w:rPr>
        <w:t>其中部分對應指標固定於每年第</w:t>
      </w:r>
      <w:r w:rsidR="008A7682" w:rsidRPr="00DA2751">
        <w:rPr>
          <w:rFonts w:ascii="標楷體" w:eastAsia="標楷體" w:hAnsi="標楷體"/>
          <w:spacing w:val="2"/>
          <w:szCs w:val="24"/>
        </w:rPr>
        <w:t>3季或第4季公布前一年度統計數據（舉如：核心目標3「健康福祉」中有關各項疾病之統計數據，衛生福利部於9月或12月公布前一年度統計數據），相關年度執行成果，皆未及於臺灣永續發展目標年度檢討報告彙總（每年6月底）前公布當年度</w:t>
      </w:r>
      <w:r w:rsidR="008A7682" w:rsidRPr="00575B8E">
        <w:rPr>
          <w:rFonts w:ascii="標楷體" w:eastAsia="標楷體" w:hAnsi="標楷體"/>
          <w:spacing w:val="2"/>
          <w:szCs w:val="24"/>
        </w:rPr>
        <w:t>統計數據，致3個年度均無法檢視其目標達成情形，不利完整呈現臺灣永續發展目標年度執行</w:t>
      </w:r>
      <w:r w:rsidR="008A7682" w:rsidRPr="00575B8E">
        <w:rPr>
          <w:rFonts w:ascii="標楷體" w:eastAsia="標楷體" w:hAnsi="標楷體"/>
          <w:spacing w:val="2"/>
          <w:szCs w:val="24"/>
        </w:rPr>
        <w:lastRenderedPageBreak/>
        <w:t>成果。經函請國家發展委員</w:t>
      </w:r>
      <w:r w:rsidR="008A7682" w:rsidRPr="00575B8E">
        <w:rPr>
          <w:rFonts w:ascii="標楷體" w:eastAsia="標楷體" w:hAnsi="標楷體" w:hint="eastAsia"/>
          <w:spacing w:val="2"/>
          <w:szCs w:val="24"/>
        </w:rPr>
        <w:t>會協調及督促權責機關針對落後指標之問題癥結研謀善策，並適時</w:t>
      </w:r>
      <w:r w:rsidR="008A7682" w:rsidRPr="00DA2751">
        <w:rPr>
          <w:rFonts w:ascii="標楷體" w:eastAsia="標楷體" w:hAnsi="標楷體" w:hint="eastAsia"/>
          <w:spacing w:val="2"/>
          <w:szCs w:val="24"/>
        </w:rPr>
        <w:t>檢討調整年度檢討報告檢視方式，以完整呈現永續發展年度執行成果。據復：</w:t>
      </w:r>
      <w:r w:rsidR="00EA6C1F" w:rsidRPr="00346BDD">
        <w:rPr>
          <w:rFonts w:ascii="標楷體" w:eastAsia="標楷體" w:hAnsi="標楷體" w:hint="eastAsia"/>
          <w:spacing w:val="2"/>
          <w:szCs w:val="24"/>
        </w:rPr>
        <w:t>永續會秘書處與各工作分組將依循永續發展目標追蹤管考作業原則持續監測及追蹤各指標達成進展，各工作分組適時檢視實際執行與政策目標之關聯度，持續進行指標之滾動精進，並就高風險或進度落後指標進行檢討，研提改善對策，永續會秘書處未來將適時檢討調整年度檢討報告檢視方式，以完整呈現永續發展年度執行成果等</w:t>
      </w:r>
      <w:r w:rsidR="008A7682" w:rsidRPr="00346BDD">
        <w:rPr>
          <w:rFonts w:ascii="標楷體" w:eastAsia="標楷體" w:hAnsi="標楷體" w:hint="eastAsia"/>
          <w:spacing w:val="2"/>
          <w:szCs w:val="24"/>
        </w:rPr>
        <w:t>。</w:t>
      </w:r>
    </w:p>
    <w:p w14:paraId="2BE550E2" w14:textId="6E0DEAE5" w:rsidR="00A31550" w:rsidRPr="00DA1A44" w:rsidRDefault="008A7682" w:rsidP="00A31550">
      <w:pPr>
        <w:overflowPunct w:val="0"/>
        <w:snapToGrid w:val="0"/>
        <w:spacing w:line="436" w:lineRule="exact"/>
        <w:ind w:firstLineChars="450" w:firstLine="1081"/>
        <w:jc w:val="both"/>
        <w:outlineLvl w:val="2"/>
        <w:rPr>
          <w:rFonts w:ascii="標楷體" w:eastAsia="標楷體" w:hAnsi="標楷體"/>
          <w:szCs w:val="24"/>
        </w:rPr>
      </w:pPr>
      <w:r w:rsidRPr="009D11AD">
        <w:rPr>
          <w:rFonts w:ascii="標楷體" w:eastAsia="標楷體" w:hAnsi="標楷體" w:hint="eastAsia"/>
          <w:b/>
          <w:szCs w:val="24"/>
        </w:rPr>
        <w:t>4.　國家發展委員會兼辦永續會秘書處業務，未依規定期程及程序辦理110年度臺灣永續發展目標總檢討報告，已驗收之永續發展知識分享平臺未於永續會網站上架公開</w:t>
      </w:r>
      <w:r w:rsidR="00575B8E">
        <w:rPr>
          <w:rFonts w:ascii="標楷體" w:eastAsia="標楷體" w:hAnsi="標楷體" w:hint="eastAsia"/>
          <w:b/>
          <w:szCs w:val="24"/>
        </w:rPr>
        <w:t>，允宜檢討改善</w:t>
      </w:r>
      <w:r w:rsidRPr="009D11AD">
        <w:rPr>
          <w:rFonts w:ascii="標楷體" w:eastAsia="標楷體" w:hAnsi="標楷體" w:hint="eastAsia"/>
          <w:b/>
          <w:szCs w:val="24"/>
        </w:rPr>
        <w:t>：</w:t>
      </w:r>
      <w:r w:rsidRPr="009D11AD">
        <w:rPr>
          <w:rFonts w:ascii="標楷體" w:eastAsia="標楷體" w:hAnsi="標楷體" w:hint="eastAsia"/>
          <w:szCs w:val="24"/>
        </w:rPr>
        <w:t>據臺灣永續發展目標追蹤管考作業原則（下稱永續管考作業原則）第4點、第5點及第8點規定，永續會秘書處應於每年6月30日前彙總前一年度辦理情形及檢討報告，研提總檢討報告送永續會委員審查後陳報永續會執行長，並於永續會委員會議提書面報告，經委員會議通過後發布，另應建置專案管考追蹤系統，並將每年度指標執行情形發布於「臺灣永續發展目標知識分享平臺」資訊網供民眾查閱。國家發展委員會為因應兼辦永續會秘書處業務，辦理「111年度國家永續發展事務及成效推廣專案工作計畫」勞務採購案（下稱永續會祕書處行政工作勞務採購案），主要辦理永續會委員會議、工作會議之前置作業及庶務工作、撰寫會議紀錄初稿，撰擬110年臺灣永續發展目標年度檢討報告，維運永續會網站，建置「臺灣永續發展目標指標」前臺網站並介接「臺灣永續發展目標追蹤管考系統」，將管考系統所載資料進行適當處理後，透過永續會網站對外公開資訊等。經查國家發展委員會遲至111年11月3日始將110年度臺灣永續發展目標總檢討報告傳送永續會委員審查，於111年11月4日第54次工作會議討論，會後依決議修改，再於111年12月12日第55次工作會議報告辦理情形後，簽報執行長核定，即於永續會官網發布，未於永續會委員會議提書面報告並經會議通過再上網發布，核與永續管考作業原則規定辦理期程及程序不合。次查委外建置之「臺灣永續發展目標指標」前臺網站（臺灣永續發展目標知識分享平臺），於111年12月26日驗收通過後，因該會內部對於網頁編排方式尚有不同意見，迄112年3月31日止，臺灣永續發展目標之18項核心目標、143項具體目標及336項對應指標，永續會網頁上，僅提供18項核心目標各3張圖卡揭露部分對應指標成果，仍未將整合建置後之永續發展知識分享平臺上架及提供外界連結查詢個別指標執行情形，核未達成採購工作目標。經函請國家發展委員會檢討改善，確依永續管考作業原則規定時程及程序辦理年度總檢討報告，儘速將已驗收之「臺灣永續發展目標指標」前臺網站（臺灣永續發展目標知識分享平臺）上架，提供外界瞭解臺灣永續發展目標與執行進展概況。</w:t>
      </w:r>
      <w:r w:rsidRPr="00DA2751">
        <w:rPr>
          <w:rFonts w:ascii="標楷體" w:eastAsia="標楷體" w:hAnsi="標楷體" w:hint="eastAsia"/>
          <w:szCs w:val="24"/>
        </w:rPr>
        <w:t>據復</w:t>
      </w:r>
      <w:r w:rsidRPr="00EA6C1F">
        <w:rPr>
          <w:rFonts w:ascii="標楷體" w:eastAsia="標楷體" w:hAnsi="標楷體" w:hint="eastAsia"/>
          <w:szCs w:val="24"/>
        </w:rPr>
        <w:t>：</w:t>
      </w:r>
      <w:r w:rsidR="00EA6C1F" w:rsidRPr="00346BDD">
        <w:rPr>
          <w:rFonts w:ascii="標楷體" w:eastAsia="標楷體" w:hAnsi="標楷體" w:hint="eastAsia"/>
          <w:szCs w:val="24"/>
        </w:rPr>
        <w:t>配合部分永續發展指標資料之統計調查程序，及追蹤前一年度未達統計週期之指標，致</w:t>
      </w:r>
      <w:r w:rsidR="00EA6C1F" w:rsidRPr="00346BDD">
        <w:rPr>
          <w:rFonts w:ascii="標楷體" w:eastAsia="標楷體" w:hAnsi="標楷體"/>
          <w:szCs w:val="24"/>
        </w:rPr>
        <w:t>110年度管考作業延後，總檢討報告作業僅提報工作會議審查</w:t>
      </w:r>
      <w:r w:rsidR="001F62C3" w:rsidRPr="00346BDD">
        <w:rPr>
          <w:rFonts w:ascii="標楷體" w:eastAsia="標楷體" w:hAnsi="標楷體" w:hint="eastAsia"/>
          <w:szCs w:val="24"/>
        </w:rPr>
        <w:t>，</w:t>
      </w:r>
      <w:r w:rsidR="00EA6C1F" w:rsidRPr="00346BDD">
        <w:rPr>
          <w:rFonts w:ascii="標楷體" w:eastAsia="標楷體" w:hAnsi="標楷體"/>
          <w:szCs w:val="24"/>
        </w:rPr>
        <w:t>未來管考作業將在兼顧管考時程與管考成效下落實執行；</w:t>
      </w:r>
      <w:r w:rsidR="00355750" w:rsidRPr="00346BDD">
        <w:rPr>
          <w:rFonts w:ascii="標楷體" w:eastAsia="標楷體" w:hAnsi="標楷體" w:hint="eastAsia"/>
          <w:szCs w:val="24"/>
        </w:rPr>
        <w:t>另</w:t>
      </w:r>
      <w:r w:rsidR="00EA6C1F" w:rsidRPr="00346BDD">
        <w:rPr>
          <w:rFonts w:ascii="標楷體" w:eastAsia="標楷體" w:hAnsi="標楷體"/>
          <w:szCs w:val="24"/>
        </w:rPr>
        <w:t>已於永續會官網建置臺灣永續發展目標專區，使用者可直接閱覽臺灣永續發展指標。</w:t>
      </w:r>
    </w:p>
    <w:p w14:paraId="54973A04" w14:textId="3C260062" w:rsidR="00243C4D" w:rsidRPr="009D11AD" w:rsidRDefault="00243C4D" w:rsidP="00A72F60">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lastRenderedPageBreak/>
        <w:t>（二十四）　國家發展委員會為精準延攬5+2及六大核心產業所需人才，成立就業金卡辦公室推動全球攬才工作，並以就業金卡核發人次作為績效指標，惟卻未統計核發5+2及六大核心產業之人次，績效指標之設定尚欠周延，又未追蹤就業金卡持卡人入境及在臺就業情形，</w:t>
      </w:r>
      <w:r w:rsidRPr="009D11AD">
        <w:rPr>
          <w:rFonts w:hAnsi="標楷體" w:hint="eastAsia"/>
          <w:b/>
          <w:color w:val="000000" w:themeColor="text1"/>
          <w:spacing w:val="-4"/>
          <w:sz w:val="28"/>
          <w:szCs w:val="28"/>
        </w:rPr>
        <w:t>無法有效</w:t>
      </w:r>
      <w:r w:rsidRPr="009D11AD">
        <w:rPr>
          <w:rFonts w:hAnsi="標楷體" w:hint="eastAsia"/>
          <w:b/>
          <w:color w:val="000000" w:themeColor="text1"/>
          <w:sz w:val="28"/>
          <w:szCs w:val="28"/>
        </w:rPr>
        <w:t>評估實際辦理成果，且就業金卡持卡人僅42.37％之人數在臺，其餘多屬於入境30日內即離境之短期停留或未曾入境者，另僅30.13％持卡人曾投保勞工保險，顯示其在臺就業情形欠佳，對提升國內重點產業升級與創新發展助益尚屬有限，允宜檢討改善</w:t>
      </w:r>
      <w:r w:rsidRPr="009D11AD">
        <w:rPr>
          <w:rFonts w:hAnsi="標楷體" w:hint="eastAsia"/>
          <w:b/>
          <w:color w:val="000000" w:themeColor="text1"/>
          <w:spacing w:val="-2"/>
          <w:sz w:val="28"/>
          <w:szCs w:val="28"/>
        </w:rPr>
        <w:t>。</w:t>
      </w:r>
    </w:p>
    <w:p w14:paraId="4899952D" w14:textId="1B5AE417" w:rsidR="00243C4D" w:rsidRPr="00DA1A44" w:rsidRDefault="00E655C2" w:rsidP="00355750">
      <w:pPr>
        <w:pStyle w:val="affb"/>
        <w:kinsoku/>
        <w:overflowPunct w:val="0"/>
        <w:adjustRightInd/>
        <w:spacing w:line="450" w:lineRule="exact"/>
        <w:ind w:left="0" w:firstLineChars="200" w:firstLine="480"/>
        <w:jc w:val="both"/>
        <w:rPr>
          <w:rFonts w:hAnsi="標楷體"/>
          <w:sz w:val="24"/>
          <w:szCs w:val="24"/>
        </w:rPr>
      </w:pPr>
      <w:r w:rsidRPr="009D11AD">
        <w:rPr>
          <w:rFonts w:hAnsi="標楷體"/>
          <w:noProof/>
          <w:sz w:val="24"/>
          <w:szCs w:val="24"/>
        </w:rPr>
        <mc:AlternateContent>
          <mc:Choice Requires="wps">
            <w:drawing>
              <wp:anchor distT="0" distB="0" distL="114300" distR="114300" simplePos="0" relativeHeight="251664896" behindDoc="0" locked="0" layoutInCell="1" allowOverlap="1" wp14:anchorId="514F05D0" wp14:editId="6B83DC5D">
                <wp:simplePos x="0" y="0"/>
                <wp:positionH relativeFrom="margin">
                  <wp:posOffset>19685</wp:posOffset>
                </wp:positionH>
                <wp:positionV relativeFrom="paragraph">
                  <wp:posOffset>4674732</wp:posOffset>
                </wp:positionV>
                <wp:extent cx="6300000" cy="2116800"/>
                <wp:effectExtent l="0" t="0" r="5715" b="0"/>
                <wp:wrapTopAndBottom/>
                <wp:docPr id="30" name="文字方塊 30"/>
                <wp:cNvGraphicFramePr/>
                <a:graphic xmlns:a="http://schemas.openxmlformats.org/drawingml/2006/main">
                  <a:graphicData uri="http://schemas.microsoft.com/office/word/2010/wordprocessingShape">
                    <wps:wsp>
                      <wps:cNvSpPr txBox="1"/>
                      <wps:spPr>
                        <a:xfrm>
                          <a:off x="0" y="0"/>
                          <a:ext cx="6300000" cy="2116800"/>
                        </a:xfrm>
                        <a:prstGeom prst="rect">
                          <a:avLst/>
                        </a:prstGeom>
                        <a:solidFill>
                          <a:sysClr val="window" lastClr="FFFFFF"/>
                        </a:solidFill>
                        <a:ln w="6350">
                          <a:noFill/>
                        </a:ln>
                      </wps:spPr>
                      <wps:txbx>
                        <w:txbxContent>
                          <w:p w14:paraId="7B252722" w14:textId="105E7200" w:rsidR="00CE57F9" w:rsidRPr="001658EF" w:rsidRDefault="00CE57F9" w:rsidP="00EB3986">
                            <w:pPr>
                              <w:widowControl/>
                              <w:kinsoku w:val="0"/>
                              <w:overflowPunct w:val="0"/>
                              <w:jc w:val="center"/>
                              <w:rPr>
                                <w:rFonts w:ascii="標楷體" w:eastAsia="標楷體" w:hAnsi="標楷體"/>
                                <w:b/>
                                <w:szCs w:val="32"/>
                              </w:rPr>
                            </w:pPr>
                            <w:r w:rsidRPr="001658EF">
                              <w:rPr>
                                <w:rFonts w:ascii="標楷體" w:eastAsia="標楷體" w:hAnsi="標楷體" w:hint="eastAsia"/>
                                <w:b/>
                                <w:szCs w:val="32"/>
                              </w:rPr>
                              <w:t>表</w:t>
                            </w:r>
                            <w:r>
                              <w:rPr>
                                <w:rFonts w:ascii="標楷體" w:eastAsia="標楷體" w:hAnsi="標楷體"/>
                                <w:b/>
                                <w:szCs w:val="32"/>
                              </w:rPr>
                              <w:t>22</w:t>
                            </w:r>
                            <w:r w:rsidRPr="00243C4D">
                              <w:rPr>
                                <w:rFonts w:ascii="標楷體" w:eastAsia="標楷體" w:hAnsi="標楷體" w:hint="eastAsia"/>
                                <w:b/>
                                <w:szCs w:val="32"/>
                              </w:rPr>
                              <w:t xml:space="preserve">　</w:t>
                            </w:r>
                            <w:r w:rsidRPr="001658EF">
                              <w:rPr>
                                <w:rFonts w:ascii="標楷體" w:eastAsia="標楷體" w:hAnsi="標楷體" w:hint="eastAsia"/>
                                <w:b/>
                                <w:szCs w:val="32"/>
                              </w:rPr>
                              <w:t>108至111年度</w:t>
                            </w:r>
                            <w:r>
                              <w:rPr>
                                <w:rFonts w:ascii="標楷體" w:eastAsia="標楷體" w:hAnsi="標楷體" w:hint="eastAsia"/>
                                <w:b/>
                                <w:szCs w:val="32"/>
                              </w:rPr>
                              <w:t>國家發展委員會</w:t>
                            </w:r>
                            <w:r w:rsidRPr="001658EF">
                              <w:rPr>
                                <w:rFonts w:ascii="標楷體" w:eastAsia="標楷體" w:hAnsi="標楷體" w:hint="eastAsia"/>
                                <w:b/>
                                <w:szCs w:val="32"/>
                              </w:rPr>
                              <w:t>辦理未來3年度重點產業人才調查及推估</w:t>
                            </w:r>
                          </w:p>
                          <w:p w14:paraId="5B5B38C3" w14:textId="77777777" w:rsidR="00CE57F9" w:rsidRPr="001658EF" w:rsidRDefault="00CE57F9" w:rsidP="00D00C9A">
                            <w:pPr>
                              <w:widowControl/>
                              <w:kinsoku w:val="0"/>
                              <w:overflowPunct w:val="0"/>
                              <w:ind w:leftChars="580" w:left="1392"/>
                              <w:rPr>
                                <w:rFonts w:ascii="標楷體" w:eastAsia="標楷體" w:hAnsi="標楷體"/>
                                <w:b/>
                                <w:szCs w:val="32"/>
                              </w:rPr>
                            </w:pPr>
                            <w:r w:rsidRPr="001658EF">
                              <w:rPr>
                                <w:rFonts w:ascii="標楷體" w:eastAsia="標楷體" w:hAnsi="標楷體" w:hint="eastAsia"/>
                                <w:b/>
                                <w:szCs w:val="32"/>
                              </w:rPr>
                              <w:t>－欠缺人才具招募困難及海外攬才需求之主要產業</w:t>
                            </w:r>
                          </w:p>
                          <w:tbl>
                            <w:tblPr>
                              <w:tblStyle w:val="36"/>
                              <w:tblW w:w="0" w:type="auto"/>
                              <w:tblInd w:w="-5" w:type="dxa"/>
                              <w:tblLook w:val="04A0" w:firstRow="1" w:lastRow="0" w:firstColumn="1" w:lastColumn="0" w:noHBand="0" w:noVBand="1"/>
                            </w:tblPr>
                            <w:tblGrid>
                              <w:gridCol w:w="851"/>
                              <w:gridCol w:w="2192"/>
                              <w:gridCol w:w="2192"/>
                              <w:gridCol w:w="2192"/>
                              <w:gridCol w:w="2192"/>
                            </w:tblGrid>
                            <w:tr w:rsidR="00CE57F9" w:rsidRPr="001658EF" w14:paraId="2B7B85AC" w14:textId="77777777" w:rsidTr="00F72E6D">
                              <w:tc>
                                <w:tcPr>
                                  <w:tcW w:w="851" w:type="dxa"/>
                                  <w:vAlign w:val="center"/>
                                </w:tcPr>
                                <w:p w14:paraId="559D82F4" w14:textId="77777777" w:rsidR="00CE57F9" w:rsidRPr="001658EF" w:rsidRDefault="00CE57F9" w:rsidP="00F72E6D">
                                  <w:pPr>
                                    <w:widowControl/>
                                    <w:kinsoku w:val="0"/>
                                    <w:overflowPunct w:val="0"/>
                                    <w:spacing w:line="240" w:lineRule="exact"/>
                                    <w:jc w:val="center"/>
                                    <w:rPr>
                                      <w:rFonts w:ascii="標楷體" w:eastAsia="標楷體" w:hAnsi="標楷體"/>
                                      <w:sz w:val="20"/>
                                    </w:rPr>
                                  </w:pPr>
                                  <w:r w:rsidRPr="001658EF">
                                    <w:rPr>
                                      <w:rFonts w:ascii="標楷體" w:eastAsia="標楷體" w:hAnsi="標楷體" w:hint="eastAsia"/>
                                      <w:sz w:val="20"/>
                                    </w:rPr>
                                    <w:t>項目</w:t>
                                  </w:r>
                                </w:p>
                              </w:tc>
                              <w:tc>
                                <w:tcPr>
                                  <w:tcW w:w="2192" w:type="dxa"/>
                                  <w:vAlign w:val="center"/>
                                </w:tcPr>
                                <w:p w14:paraId="16B5BCFC" w14:textId="77777777" w:rsidR="00CE57F9" w:rsidRPr="001658EF" w:rsidRDefault="00CE57F9" w:rsidP="00F72E6D">
                                  <w:pPr>
                                    <w:widowControl/>
                                    <w:kinsoku w:val="0"/>
                                    <w:overflowPunct w:val="0"/>
                                    <w:spacing w:line="240" w:lineRule="exact"/>
                                    <w:jc w:val="center"/>
                                    <w:rPr>
                                      <w:rFonts w:ascii="標楷體" w:eastAsia="標楷體" w:hAnsi="標楷體"/>
                                      <w:sz w:val="20"/>
                                    </w:rPr>
                                  </w:pPr>
                                  <w:r w:rsidRPr="001658EF">
                                    <w:rPr>
                                      <w:rFonts w:ascii="標楷體" w:eastAsia="標楷體" w:hAnsi="標楷體" w:hint="eastAsia"/>
                                      <w:sz w:val="20"/>
                                    </w:rPr>
                                    <w:t>109</w:t>
                                  </w:r>
                                  <w:r>
                                    <w:rPr>
                                      <w:rFonts w:ascii="標楷體" w:eastAsia="標楷體" w:hAnsi="標楷體" w:hint="eastAsia"/>
                                      <w:sz w:val="20"/>
                                    </w:rPr>
                                    <w:t>－</w:t>
                                  </w:r>
                                  <w:r w:rsidRPr="001658EF">
                                    <w:rPr>
                                      <w:rFonts w:ascii="標楷體" w:eastAsia="標楷體" w:hAnsi="標楷體" w:hint="eastAsia"/>
                                      <w:sz w:val="20"/>
                                    </w:rPr>
                                    <w:t>111年度</w:t>
                                  </w:r>
                                </w:p>
                                <w:p w14:paraId="551FCA11" w14:textId="77777777" w:rsidR="00CE57F9" w:rsidRPr="001658EF" w:rsidRDefault="00CE57F9" w:rsidP="00F72E6D">
                                  <w:pPr>
                                    <w:widowControl/>
                                    <w:kinsoku w:val="0"/>
                                    <w:overflowPunct w:val="0"/>
                                    <w:spacing w:line="240" w:lineRule="exact"/>
                                    <w:jc w:val="center"/>
                                    <w:rPr>
                                      <w:rFonts w:ascii="標楷體" w:eastAsia="標楷體" w:hAnsi="標楷體"/>
                                      <w:sz w:val="20"/>
                                    </w:rPr>
                                  </w:pPr>
                                  <w:r w:rsidRPr="001658EF">
                                    <w:rPr>
                                      <w:rFonts w:ascii="標楷體" w:eastAsia="標楷體" w:hAnsi="標楷體" w:hint="eastAsia"/>
                                      <w:sz w:val="20"/>
                                    </w:rPr>
                                    <w:t>（108年度調查）</w:t>
                                  </w:r>
                                </w:p>
                              </w:tc>
                              <w:tc>
                                <w:tcPr>
                                  <w:tcW w:w="2192" w:type="dxa"/>
                                  <w:vAlign w:val="center"/>
                                </w:tcPr>
                                <w:p w14:paraId="3F97C2B2" w14:textId="77777777" w:rsidR="00CE57F9" w:rsidRPr="001658EF" w:rsidRDefault="00CE57F9" w:rsidP="00F72E6D">
                                  <w:pPr>
                                    <w:widowControl/>
                                    <w:kinsoku w:val="0"/>
                                    <w:overflowPunct w:val="0"/>
                                    <w:spacing w:line="240" w:lineRule="exact"/>
                                    <w:jc w:val="center"/>
                                    <w:rPr>
                                      <w:rFonts w:ascii="標楷體" w:eastAsia="標楷體" w:hAnsi="標楷體"/>
                                      <w:sz w:val="20"/>
                                    </w:rPr>
                                  </w:pPr>
                                  <w:r w:rsidRPr="001658EF">
                                    <w:rPr>
                                      <w:rFonts w:ascii="標楷體" w:eastAsia="標楷體" w:hAnsi="標楷體" w:hint="eastAsia"/>
                                      <w:sz w:val="20"/>
                                    </w:rPr>
                                    <w:t>110</w:t>
                                  </w:r>
                                  <w:r>
                                    <w:rPr>
                                      <w:rFonts w:ascii="標楷體" w:eastAsia="標楷體" w:hAnsi="標楷體" w:hint="eastAsia"/>
                                      <w:sz w:val="20"/>
                                    </w:rPr>
                                    <w:t>－</w:t>
                                  </w:r>
                                  <w:r w:rsidRPr="001658EF">
                                    <w:rPr>
                                      <w:rFonts w:ascii="標楷體" w:eastAsia="標楷體" w:hAnsi="標楷體" w:hint="eastAsia"/>
                                      <w:sz w:val="20"/>
                                    </w:rPr>
                                    <w:t>112年度</w:t>
                                  </w:r>
                                </w:p>
                                <w:p w14:paraId="3C14FC4F" w14:textId="77777777" w:rsidR="00CE57F9" w:rsidRPr="001658EF" w:rsidRDefault="00CE57F9" w:rsidP="00F72E6D">
                                  <w:pPr>
                                    <w:widowControl/>
                                    <w:kinsoku w:val="0"/>
                                    <w:overflowPunct w:val="0"/>
                                    <w:spacing w:line="240" w:lineRule="exact"/>
                                    <w:jc w:val="center"/>
                                    <w:rPr>
                                      <w:rFonts w:ascii="標楷體" w:eastAsia="標楷體" w:hAnsi="標楷體"/>
                                      <w:sz w:val="20"/>
                                    </w:rPr>
                                  </w:pPr>
                                  <w:r w:rsidRPr="001658EF">
                                    <w:rPr>
                                      <w:rFonts w:ascii="標楷體" w:eastAsia="標楷體" w:hAnsi="標楷體" w:hint="eastAsia"/>
                                      <w:sz w:val="20"/>
                                    </w:rPr>
                                    <w:t>（109年度調查）</w:t>
                                  </w:r>
                                </w:p>
                              </w:tc>
                              <w:tc>
                                <w:tcPr>
                                  <w:tcW w:w="2192" w:type="dxa"/>
                                  <w:vAlign w:val="center"/>
                                </w:tcPr>
                                <w:p w14:paraId="0C202DC8" w14:textId="77777777" w:rsidR="00CE57F9" w:rsidRPr="001658EF" w:rsidRDefault="00CE57F9" w:rsidP="00F72E6D">
                                  <w:pPr>
                                    <w:widowControl/>
                                    <w:kinsoku w:val="0"/>
                                    <w:overflowPunct w:val="0"/>
                                    <w:spacing w:line="240" w:lineRule="exact"/>
                                    <w:jc w:val="center"/>
                                    <w:rPr>
                                      <w:rFonts w:ascii="標楷體" w:eastAsia="標楷體" w:hAnsi="標楷體"/>
                                      <w:sz w:val="20"/>
                                    </w:rPr>
                                  </w:pPr>
                                  <w:r w:rsidRPr="001658EF">
                                    <w:rPr>
                                      <w:rFonts w:ascii="標楷體" w:eastAsia="標楷體" w:hAnsi="標楷體" w:hint="eastAsia"/>
                                      <w:sz w:val="20"/>
                                    </w:rPr>
                                    <w:t>111</w:t>
                                  </w:r>
                                  <w:r>
                                    <w:rPr>
                                      <w:rFonts w:ascii="標楷體" w:eastAsia="標楷體" w:hAnsi="標楷體" w:hint="eastAsia"/>
                                      <w:sz w:val="20"/>
                                    </w:rPr>
                                    <w:t>－</w:t>
                                  </w:r>
                                  <w:r w:rsidRPr="001658EF">
                                    <w:rPr>
                                      <w:rFonts w:ascii="標楷體" w:eastAsia="標楷體" w:hAnsi="標楷體" w:hint="eastAsia"/>
                                      <w:sz w:val="20"/>
                                    </w:rPr>
                                    <w:t>113年度</w:t>
                                  </w:r>
                                </w:p>
                                <w:p w14:paraId="49890548" w14:textId="77777777" w:rsidR="00CE57F9" w:rsidRPr="001658EF" w:rsidRDefault="00CE57F9" w:rsidP="00F72E6D">
                                  <w:pPr>
                                    <w:widowControl/>
                                    <w:kinsoku w:val="0"/>
                                    <w:overflowPunct w:val="0"/>
                                    <w:spacing w:line="240" w:lineRule="exact"/>
                                    <w:jc w:val="center"/>
                                    <w:rPr>
                                      <w:rFonts w:ascii="標楷體" w:eastAsia="標楷體" w:hAnsi="標楷體"/>
                                      <w:sz w:val="20"/>
                                    </w:rPr>
                                  </w:pPr>
                                  <w:r w:rsidRPr="001658EF">
                                    <w:rPr>
                                      <w:rFonts w:ascii="標楷體" w:eastAsia="標楷體" w:hAnsi="標楷體" w:hint="eastAsia"/>
                                      <w:sz w:val="20"/>
                                    </w:rPr>
                                    <w:t>（110年度調查）</w:t>
                                  </w:r>
                                </w:p>
                              </w:tc>
                              <w:tc>
                                <w:tcPr>
                                  <w:tcW w:w="2192" w:type="dxa"/>
                                  <w:vAlign w:val="center"/>
                                </w:tcPr>
                                <w:p w14:paraId="289C7AC4" w14:textId="77777777" w:rsidR="00CE57F9" w:rsidRPr="001658EF" w:rsidRDefault="00CE57F9" w:rsidP="00F72E6D">
                                  <w:pPr>
                                    <w:widowControl/>
                                    <w:kinsoku w:val="0"/>
                                    <w:overflowPunct w:val="0"/>
                                    <w:spacing w:line="240" w:lineRule="exact"/>
                                    <w:jc w:val="center"/>
                                    <w:rPr>
                                      <w:rFonts w:ascii="標楷體" w:eastAsia="標楷體" w:hAnsi="標楷體"/>
                                      <w:sz w:val="20"/>
                                    </w:rPr>
                                  </w:pPr>
                                  <w:r w:rsidRPr="001658EF">
                                    <w:rPr>
                                      <w:rFonts w:ascii="標楷體" w:eastAsia="標楷體" w:hAnsi="標楷體" w:hint="eastAsia"/>
                                      <w:sz w:val="20"/>
                                    </w:rPr>
                                    <w:t>112</w:t>
                                  </w:r>
                                  <w:r>
                                    <w:rPr>
                                      <w:rFonts w:ascii="標楷體" w:eastAsia="標楷體" w:hAnsi="標楷體" w:hint="eastAsia"/>
                                      <w:sz w:val="20"/>
                                    </w:rPr>
                                    <w:t>－</w:t>
                                  </w:r>
                                  <w:r w:rsidRPr="001658EF">
                                    <w:rPr>
                                      <w:rFonts w:ascii="標楷體" w:eastAsia="標楷體" w:hAnsi="標楷體" w:hint="eastAsia"/>
                                      <w:sz w:val="20"/>
                                    </w:rPr>
                                    <w:t>114年度</w:t>
                                  </w:r>
                                </w:p>
                                <w:p w14:paraId="161E825A" w14:textId="77777777" w:rsidR="00CE57F9" w:rsidRPr="001658EF" w:rsidRDefault="00CE57F9" w:rsidP="00F72E6D">
                                  <w:pPr>
                                    <w:widowControl/>
                                    <w:kinsoku w:val="0"/>
                                    <w:overflowPunct w:val="0"/>
                                    <w:spacing w:line="240" w:lineRule="exact"/>
                                    <w:jc w:val="center"/>
                                    <w:rPr>
                                      <w:rFonts w:ascii="標楷體" w:eastAsia="標楷體" w:hAnsi="標楷體"/>
                                      <w:sz w:val="20"/>
                                    </w:rPr>
                                  </w:pPr>
                                  <w:r w:rsidRPr="001658EF">
                                    <w:rPr>
                                      <w:rFonts w:ascii="標楷體" w:eastAsia="標楷體" w:hAnsi="標楷體" w:hint="eastAsia"/>
                                      <w:sz w:val="20"/>
                                    </w:rPr>
                                    <w:t>（111年度調查）</w:t>
                                  </w:r>
                                </w:p>
                              </w:tc>
                            </w:tr>
                            <w:tr w:rsidR="00CE57F9" w:rsidRPr="001658EF" w14:paraId="70B8AC37" w14:textId="77777777" w:rsidTr="00F72E6D">
                              <w:tc>
                                <w:tcPr>
                                  <w:tcW w:w="851" w:type="dxa"/>
                                </w:tcPr>
                                <w:p w14:paraId="3CC3DC32" w14:textId="77777777" w:rsidR="00CE57F9" w:rsidRPr="001658EF" w:rsidRDefault="00CE57F9" w:rsidP="00F72E6D">
                                  <w:pPr>
                                    <w:widowControl/>
                                    <w:kinsoku w:val="0"/>
                                    <w:overflowPunct w:val="0"/>
                                    <w:spacing w:line="240" w:lineRule="exact"/>
                                    <w:jc w:val="both"/>
                                    <w:rPr>
                                      <w:rFonts w:ascii="標楷體" w:eastAsia="標楷體" w:hAnsi="標楷體"/>
                                      <w:sz w:val="20"/>
                                    </w:rPr>
                                  </w:pPr>
                                  <w:r w:rsidRPr="001658EF">
                                    <w:rPr>
                                      <w:rFonts w:ascii="標楷體" w:eastAsia="標楷體" w:hAnsi="標楷體" w:hint="eastAsia"/>
                                      <w:sz w:val="20"/>
                                    </w:rPr>
                                    <w:t>人才招募困難產業</w:t>
                                  </w:r>
                                </w:p>
                              </w:tc>
                              <w:tc>
                                <w:tcPr>
                                  <w:tcW w:w="2192" w:type="dxa"/>
                                </w:tcPr>
                                <w:p w14:paraId="40E3334B"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1.</w:t>
                                  </w:r>
                                  <w:r w:rsidRPr="001658EF">
                                    <w:rPr>
                                      <w:rFonts w:ascii="標楷體" w:eastAsia="標楷體" w:hAnsi="標楷體"/>
                                      <w:sz w:val="20"/>
                                    </w:rPr>
                                    <w:t>智慧機械</w:t>
                                  </w:r>
                                </w:p>
                                <w:p w14:paraId="6733A8DF"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2.</w:t>
                                  </w:r>
                                  <w:r w:rsidRPr="001658EF">
                                    <w:rPr>
                                      <w:rFonts w:ascii="標楷體" w:eastAsia="標楷體" w:hAnsi="標楷體"/>
                                      <w:sz w:val="20"/>
                                    </w:rPr>
                                    <w:t>造船</w:t>
                                  </w:r>
                                </w:p>
                                <w:p w14:paraId="43E2710B"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3.</w:t>
                                  </w:r>
                                  <w:r w:rsidRPr="001658EF">
                                    <w:rPr>
                                      <w:rFonts w:ascii="標楷體" w:eastAsia="標楷體" w:hAnsi="標楷體"/>
                                      <w:sz w:val="20"/>
                                    </w:rPr>
                                    <w:t>資料服務</w:t>
                                  </w:r>
                                </w:p>
                              </w:tc>
                              <w:tc>
                                <w:tcPr>
                                  <w:tcW w:w="2192" w:type="dxa"/>
                                </w:tcPr>
                                <w:p w14:paraId="61177A67"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1.智慧機械</w:t>
                                  </w:r>
                                </w:p>
                                <w:p w14:paraId="5CBF9F3A"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2.人工智慧應用服務</w:t>
                                  </w:r>
                                </w:p>
                                <w:p w14:paraId="3E4C5DCB"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3.設計服務</w:t>
                                  </w:r>
                                </w:p>
                              </w:tc>
                              <w:tc>
                                <w:tcPr>
                                  <w:tcW w:w="2192" w:type="dxa"/>
                                </w:tcPr>
                                <w:p w14:paraId="12B719E7"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1.智慧機械</w:t>
                                  </w:r>
                                </w:p>
                                <w:p w14:paraId="15696EA4"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2.精準健康</w:t>
                                  </w:r>
                                </w:p>
                                <w:p w14:paraId="08C63424"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3.IC設計、造船</w:t>
                                  </w:r>
                                </w:p>
                              </w:tc>
                              <w:tc>
                                <w:tcPr>
                                  <w:tcW w:w="2192" w:type="dxa"/>
                                </w:tcPr>
                                <w:p w14:paraId="36CB0326"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1.智慧機械</w:t>
                                  </w:r>
                                </w:p>
                                <w:p w14:paraId="254499E1"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2.紡織</w:t>
                                  </w:r>
                                </w:p>
                                <w:p w14:paraId="53D014BE"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3.精準健康</w:t>
                                  </w:r>
                                </w:p>
                              </w:tc>
                            </w:tr>
                            <w:tr w:rsidR="00CE57F9" w:rsidRPr="001658EF" w14:paraId="320C9EBA" w14:textId="77777777" w:rsidTr="00F72E6D">
                              <w:tc>
                                <w:tcPr>
                                  <w:tcW w:w="851" w:type="dxa"/>
                                </w:tcPr>
                                <w:p w14:paraId="77B3A919" w14:textId="77777777" w:rsidR="00CE57F9" w:rsidRPr="001658EF" w:rsidRDefault="00CE57F9" w:rsidP="00F72E6D">
                                  <w:pPr>
                                    <w:widowControl/>
                                    <w:kinsoku w:val="0"/>
                                    <w:overflowPunct w:val="0"/>
                                    <w:spacing w:line="240" w:lineRule="exact"/>
                                    <w:jc w:val="both"/>
                                    <w:rPr>
                                      <w:rFonts w:ascii="標楷體" w:eastAsia="標楷體" w:hAnsi="標楷體"/>
                                      <w:sz w:val="20"/>
                                    </w:rPr>
                                  </w:pPr>
                                  <w:r w:rsidRPr="001658EF">
                                    <w:rPr>
                                      <w:rFonts w:ascii="標楷體" w:eastAsia="標楷體" w:hAnsi="標楷體" w:hint="eastAsia"/>
                                      <w:sz w:val="20"/>
                                    </w:rPr>
                                    <w:t>有海外攬才需求產業</w:t>
                                  </w:r>
                                </w:p>
                              </w:tc>
                              <w:tc>
                                <w:tcPr>
                                  <w:tcW w:w="2192" w:type="dxa"/>
                                </w:tcPr>
                                <w:p w14:paraId="426B0C4F"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1</w:t>
                                  </w:r>
                                  <w:r w:rsidRPr="001658EF">
                                    <w:rPr>
                                      <w:rFonts w:ascii="標楷體" w:eastAsia="標楷體" w:hAnsi="標楷體"/>
                                      <w:sz w:val="20"/>
                                    </w:rPr>
                                    <w:t>.智慧機械</w:t>
                                  </w:r>
                                  <w:r w:rsidRPr="001658EF">
                                    <w:rPr>
                                      <w:rFonts w:ascii="標楷體" w:eastAsia="標楷體" w:hAnsi="標楷體" w:hint="eastAsia"/>
                                      <w:sz w:val="20"/>
                                    </w:rPr>
                                    <w:t>、</w:t>
                                  </w:r>
                                  <w:r w:rsidRPr="001658EF">
                                    <w:rPr>
                                      <w:rFonts w:ascii="標楷體" w:eastAsia="標楷體" w:hAnsi="標楷體"/>
                                      <w:sz w:val="20"/>
                                    </w:rPr>
                                    <w:t>離岸風力發電</w:t>
                                  </w:r>
                                </w:p>
                                <w:p w14:paraId="1FC3FFA7"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2.航空（含國防航太）</w:t>
                                  </w:r>
                                </w:p>
                                <w:p w14:paraId="3D33720D"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3.IC設計</w:t>
                                  </w:r>
                                </w:p>
                              </w:tc>
                              <w:tc>
                                <w:tcPr>
                                  <w:tcW w:w="2192" w:type="dxa"/>
                                </w:tcPr>
                                <w:p w14:paraId="79AB2207"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1.離岸風力發電」</w:t>
                                  </w:r>
                                </w:p>
                                <w:p w14:paraId="3545676C"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2.航空（含國防航太）</w:t>
                                  </w:r>
                                </w:p>
                                <w:p w14:paraId="429D5DE5"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3.半導體產業材料</w:t>
                                  </w:r>
                                </w:p>
                              </w:tc>
                              <w:tc>
                                <w:tcPr>
                                  <w:tcW w:w="2192" w:type="dxa"/>
                                </w:tcPr>
                                <w:p w14:paraId="2A27F4DB"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1.有機農業</w:t>
                                  </w:r>
                                </w:p>
                                <w:p w14:paraId="59E94727"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2.人工智慧應用服務</w:t>
                                  </w:r>
                                </w:p>
                                <w:p w14:paraId="655B9BF3"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3.IC設計</w:t>
                                  </w:r>
                                </w:p>
                              </w:tc>
                              <w:tc>
                                <w:tcPr>
                                  <w:tcW w:w="2192" w:type="dxa"/>
                                </w:tcPr>
                                <w:p w14:paraId="067AB1FE"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1.</w:t>
                                  </w:r>
                                  <w:r w:rsidRPr="001658EF">
                                    <w:rPr>
                                      <w:rFonts w:ascii="標楷體" w:eastAsia="標楷體" w:hAnsi="標楷體"/>
                                      <w:sz w:val="20"/>
                                    </w:rPr>
                                    <w:t>IC設計</w:t>
                                  </w:r>
                                </w:p>
                                <w:p w14:paraId="2C0B024A"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2.</w:t>
                                  </w:r>
                                  <w:r w:rsidRPr="001658EF">
                                    <w:rPr>
                                      <w:rFonts w:ascii="標楷體" w:eastAsia="標楷體" w:hAnsi="標楷體"/>
                                      <w:sz w:val="20"/>
                                    </w:rPr>
                                    <w:t>塑膠</w:t>
                                  </w:r>
                                </w:p>
                                <w:p w14:paraId="3D63A062"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3.</w:t>
                                  </w:r>
                                  <w:r w:rsidRPr="001658EF">
                                    <w:rPr>
                                      <w:rFonts w:ascii="標楷體" w:eastAsia="標楷體" w:hAnsi="標楷體"/>
                                      <w:sz w:val="20"/>
                                    </w:rPr>
                                    <w:t>人工智慧應用服務</w:t>
                                  </w:r>
                                  <w:r w:rsidRPr="001658EF">
                                    <w:rPr>
                                      <w:rFonts w:ascii="標楷體" w:eastAsia="標楷體" w:hAnsi="標楷體" w:hint="eastAsia"/>
                                      <w:sz w:val="20"/>
                                    </w:rPr>
                                    <w:t>、旅宿</w:t>
                                  </w:r>
                                </w:p>
                              </w:tc>
                            </w:tr>
                          </w:tbl>
                          <w:p w14:paraId="29321838" w14:textId="77777777" w:rsidR="00CE57F9" w:rsidRDefault="00CE57F9" w:rsidP="00EB3986">
                            <w:pPr>
                              <w:widowControl/>
                              <w:kinsoku w:val="0"/>
                              <w:overflowPunct w:val="0"/>
                              <w:spacing w:line="240" w:lineRule="exact"/>
                              <w:ind w:left="360" w:hangingChars="200" w:hanging="360"/>
                              <w:jc w:val="both"/>
                            </w:pPr>
                            <w:r w:rsidRPr="001658EF">
                              <w:rPr>
                                <w:rFonts w:ascii="標楷體" w:eastAsia="標楷體" w:hAnsi="標楷體" w:hint="eastAsia"/>
                                <w:sz w:val="18"/>
                                <w:szCs w:val="18"/>
                              </w:rPr>
                              <w:t>資料來源：整理自</w:t>
                            </w:r>
                            <w:r>
                              <w:rPr>
                                <w:rFonts w:ascii="標楷體" w:eastAsia="標楷體" w:hAnsi="標楷體" w:hint="eastAsia"/>
                                <w:sz w:val="18"/>
                                <w:szCs w:val="18"/>
                              </w:rPr>
                              <w:t>國家發展委員會</w:t>
                            </w:r>
                            <w:r w:rsidRPr="001658EF">
                              <w:rPr>
                                <w:rFonts w:ascii="標楷體" w:eastAsia="標楷體" w:hAnsi="標楷體" w:hint="eastAsia"/>
                                <w:sz w:val="18"/>
                                <w:szCs w:val="18"/>
                              </w:rPr>
                              <w:t>108至111年度辦理之未來3年度重點產業人才調查及推估彙總報告。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4F05D0" id="文字方塊 30" o:spid="_x0000_s1139" type="#_x0000_t202" style="position:absolute;left:0;text-align:left;margin-left:1.55pt;margin-top:368.1pt;width:496.05pt;height:166.7pt;z-index:251664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" fillcolor="window" stroked="f" strokeweight=".5pt">
                <v:textbox>
                  <w:txbxContent>
                    <w:p w14:paraId="7B252722" w14:textId="105E7200" w:rsidR="00CE57F9" w:rsidRPr="001658EF" w:rsidRDefault="00CE57F9" w:rsidP="00EB3986">
                      <w:pPr>
                        <w:widowControl/>
                        <w:kinsoku w:val="0"/>
                        <w:overflowPunct w:val="0"/>
                        <w:jc w:val="center"/>
                        <w:rPr>
                          <w:rFonts w:ascii="標楷體" w:eastAsia="標楷體" w:hAnsi="標楷體"/>
                          <w:b/>
                          <w:szCs w:val="32"/>
                        </w:rPr>
                      </w:pPr>
                      <w:r w:rsidRPr="001658EF">
                        <w:rPr>
                          <w:rFonts w:ascii="標楷體" w:eastAsia="標楷體" w:hAnsi="標楷體" w:hint="eastAsia"/>
                          <w:b/>
                          <w:szCs w:val="32"/>
                        </w:rPr>
                        <w:t>表</w:t>
                      </w:r>
                      <w:r>
                        <w:rPr>
                          <w:rFonts w:ascii="標楷體" w:eastAsia="標楷體" w:hAnsi="標楷體"/>
                          <w:b/>
                          <w:szCs w:val="32"/>
                        </w:rPr>
                        <w:t>22</w:t>
                      </w:r>
                      <w:r w:rsidRPr="00243C4D">
                        <w:rPr>
                          <w:rFonts w:ascii="標楷體" w:eastAsia="標楷體" w:hAnsi="標楷體" w:hint="eastAsia"/>
                          <w:b/>
                          <w:szCs w:val="32"/>
                        </w:rPr>
                        <w:t xml:space="preserve">　</w:t>
                      </w:r>
                      <w:r w:rsidRPr="001658EF">
                        <w:rPr>
                          <w:rFonts w:ascii="標楷體" w:eastAsia="標楷體" w:hAnsi="標楷體" w:hint="eastAsia"/>
                          <w:b/>
                          <w:szCs w:val="32"/>
                        </w:rPr>
                        <w:t>108至111年度</w:t>
                      </w:r>
                      <w:r>
                        <w:rPr>
                          <w:rFonts w:ascii="標楷體" w:eastAsia="標楷體" w:hAnsi="標楷體" w:hint="eastAsia"/>
                          <w:b/>
                          <w:szCs w:val="32"/>
                        </w:rPr>
                        <w:t>國家發展委員會</w:t>
                      </w:r>
                      <w:r w:rsidRPr="001658EF">
                        <w:rPr>
                          <w:rFonts w:ascii="標楷體" w:eastAsia="標楷體" w:hAnsi="標楷體" w:hint="eastAsia"/>
                          <w:b/>
                          <w:szCs w:val="32"/>
                        </w:rPr>
                        <w:t>辦理未來3年度重點產業人才調查及推估</w:t>
                      </w:r>
                    </w:p>
                    <w:p w14:paraId="5B5B38C3" w14:textId="77777777" w:rsidR="00CE57F9" w:rsidRPr="001658EF" w:rsidRDefault="00CE57F9" w:rsidP="00D00C9A">
                      <w:pPr>
                        <w:widowControl/>
                        <w:kinsoku w:val="0"/>
                        <w:overflowPunct w:val="0"/>
                        <w:ind w:leftChars="580" w:left="1392"/>
                        <w:rPr>
                          <w:rFonts w:ascii="標楷體" w:eastAsia="標楷體" w:hAnsi="標楷體"/>
                          <w:b/>
                          <w:szCs w:val="32"/>
                        </w:rPr>
                      </w:pPr>
                      <w:r w:rsidRPr="001658EF">
                        <w:rPr>
                          <w:rFonts w:ascii="標楷體" w:eastAsia="標楷體" w:hAnsi="標楷體" w:hint="eastAsia"/>
                          <w:b/>
                          <w:szCs w:val="32"/>
                        </w:rPr>
                        <w:t>－欠缺人才具招募困難及海外攬才需求之主要產業</w:t>
                      </w:r>
                    </w:p>
                    <w:tbl>
                      <w:tblPr>
                        <w:tblStyle w:val="36"/>
                        <w:tblW w:w="0" w:type="auto"/>
                        <w:tblInd w:w="-5" w:type="dxa"/>
                        <w:tblLook w:val="04A0" w:firstRow="1" w:lastRow="0" w:firstColumn="1" w:lastColumn="0" w:noHBand="0" w:noVBand="1"/>
                      </w:tblPr>
                      <w:tblGrid>
                        <w:gridCol w:w="851"/>
                        <w:gridCol w:w="2192"/>
                        <w:gridCol w:w="2192"/>
                        <w:gridCol w:w="2192"/>
                        <w:gridCol w:w="2192"/>
                      </w:tblGrid>
                      <w:tr w:rsidR="00CE57F9" w:rsidRPr="001658EF" w14:paraId="2B7B85AC" w14:textId="77777777" w:rsidTr="00F72E6D">
                        <w:tc>
                          <w:tcPr>
                            <w:tcW w:w="851" w:type="dxa"/>
                            <w:vAlign w:val="center"/>
                          </w:tcPr>
                          <w:p w14:paraId="559D82F4" w14:textId="77777777" w:rsidR="00CE57F9" w:rsidRPr="001658EF" w:rsidRDefault="00CE57F9" w:rsidP="00F72E6D">
                            <w:pPr>
                              <w:widowControl/>
                              <w:kinsoku w:val="0"/>
                              <w:overflowPunct w:val="0"/>
                              <w:spacing w:line="240" w:lineRule="exact"/>
                              <w:jc w:val="center"/>
                              <w:rPr>
                                <w:rFonts w:ascii="標楷體" w:eastAsia="標楷體" w:hAnsi="標楷體"/>
                                <w:sz w:val="20"/>
                              </w:rPr>
                            </w:pPr>
                            <w:r w:rsidRPr="001658EF">
                              <w:rPr>
                                <w:rFonts w:ascii="標楷體" w:eastAsia="標楷體" w:hAnsi="標楷體" w:hint="eastAsia"/>
                                <w:sz w:val="20"/>
                              </w:rPr>
                              <w:t>項目</w:t>
                            </w:r>
                          </w:p>
                        </w:tc>
                        <w:tc>
                          <w:tcPr>
                            <w:tcW w:w="2192" w:type="dxa"/>
                            <w:vAlign w:val="center"/>
                          </w:tcPr>
                          <w:p w14:paraId="16B5BCFC" w14:textId="77777777" w:rsidR="00CE57F9" w:rsidRPr="001658EF" w:rsidRDefault="00CE57F9" w:rsidP="00F72E6D">
                            <w:pPr>
                              <w:widowControl/>
                              <w:kinsoku w:val="0"/>
                              <w:overflowPunct w:val="0"/>
                              <w:spacing w:line="240" w:lineRule="exact"/>
                              <w:jc w:val="center"/>
                              <w:rPr>
                                <w:rFonts w:ascii="標楷體" w:eastAsia="標楷體" w:hAnsi="標楷體"/>
                                <w:sz w:val="20"/>
                              </w:rPr>
                            </w:pPr>
                            <w:r w:rsidRPr="001658EF">
                              <w:rPr>
                                <w:rFonts w:ascii="標楷體" w:eastAsia="標楷體" w:hAnsi="標楷體" w:hint="eastAsia"/>
                                <w:sz w:val="20"/>
                              </w:rPr>
                              <w:t>109</w:t>
                            </w:r>
                            <w:r>
                              <w:rPr>
                                <w:rFonts w:ascii="標楷體" w:eastAsia="標楷體" w:hAnsi="標楷體" w:hint="eastAsia"/>
                                <w:sz w:val="20"/>
                              </w:rPr>
                              <w:t>－</w:t>
                            </w:r>
                            <w:r w:rsidRPr="001658EF">
                              <w:rPr>
                                <w:rFonts w:ascii="標楷體" w:eastAsia="標楷體" w:hAnsi="標楷體" w:hint="eastAsia"/>
                                <w:sz w:val="20"/>
                              </w:rPr>
                              <w:t>111年度</w:t>
                            </w:r>
                          </w:p>
                          <w:p w14:paraId="551FCA11" w14:textId="77777777" w:rsidR="00CE57F9" w:rsidRPr="001658EF" w:rsidRDefault="00CE57F9" w:rsidP="00F72E6D">
                            <w:pPr>
                              <w:widowControl/>
                              <w:kinsoku w:val="0"/>
                              <w:overflowPunct w:val="0"/>
                              <w:spacing w:line="240" w:lineRule="exact"/>
                              <w:jc w:val="center"/>
                              <w:rPr>
                                <w:rFonts w:ascii="標楷體" w:eastAsia="標楷體" w:hAnsi="標楷體"/>
                                <w:sz w:val="20"/>
                              </w:rPr>
                            </w:pPr>
                            <w:r w:rsidRPr="001658EF">
                              <w:rPr>
                                <w:rFonts w:ascii="標楷體" w:eastAsia="標楷體" w:hAnsi="標楷體" w:hint="eastAsia"/>
                                <w:sz w:val="20"/>
                              </w:rPr>
                              <w:t>（108年度調查）</w:t>
                            </w:r>
                          </w:p>
                        </w:tc>
                        <w:tc>
                          <w:tcPr>
                            <w:tcW w:w="2192" w:type="dxa"/>
                            <w:vAlign w:val="center"/>
                          </w:tcPr>
                          <w:p w14:paraId="3F97C2B2" w14:textId="77777777" w:rsidR="00CE57F9" w:rsidRPr="001658EF" w:rsidRDefault="00CE57F9" w:rsidP="00F72E6D">
                            <w:pPr>
                              <w:widowControl/>
                              <w:kinsoku w:val="0"/>
                              <w:overflowPunct w:val="0"/>
                              <w:spacing w:line="240" w:lineRule="exact"/>
                              <w:jc w:val="center"/>
                              <w:rPr>
                                <w:rFonts w:ascii="標楷體" w:eastAsia="標楷體" w:hAnsi="標楷體"/>
                                <w:sz w:val="20"/>
                              </w:rPr>
                            </w:pPr>
                            <w:r w:rsidRPr="001658EF">
                              <w:rPr>
                                <w:rFonts w:ascii="標楷體" w:eastAsia="標楷體" w:hAnsi="標楷體" w:hint="eastAsia"/>
                                <w:sz w:val="20"/>
                              </w:rPr>
                              <w:t>110</w:t>
                            </w:r>
                            <w:r>
                              <w:rPr>
                                <w:rFonts w:ascii="標楷體" w:eastAsia="標楷體" w:hAnsi="標楷體" w:hint="eastAsia"/>
                                <w:sz w:val="20"/>
                              </w:rPr>
                              <w:t>－</w:t>
                            </w:r>
                            <w:r w:rsidRPr="001658EF">
                              <w:rPr>
                                <w:rFonts w:ascii="標楷體" w:eastAsia="標楷體" w:hAnsi="標楷體" w:hint="eastAsia"/>
                                <w:sz w:val="20"/>
                              </w:rPr>
                              <w:t>112年度</w:t>
                            </w:r>
                          </w:p>
                          <w:p w14:paraId="3C14FC4F" w14:textId="77777777" w:rsidR="00CE57F9" w:rsidRPr="001658EF" w:rsidRDefault="00CE57F9" w:rsidP="00F72E6D">
                            <w:pPr>
                              <w:widowControl/>
                              <w:kinsoku w:val="0"/>
                              <w:overflowPunct w:val="0"/>
                              <w:spacing w:line="240" w:lineRule="exact"/>
                              <w:jc w:val="center"/>
                              <w:rPr>
                                <w:rFonts w:ascii="標楷體" w:eastAsia="標楷體" w:hAnsi="標楷體"/>
                                <w:sz w:val="20"/>
                              </w:rPr>
                            </w:pPr>
                            <w:r w:rsidRPr="001658EF">
                              <w:rPr>
                                <w:rFonts w:ascii="標楷體" w:eastAsia="標楷體" w:hAnsi="標楷體" w:hint="eastAsia"/>
                                <w:sz w:val="20"/>
                              </w:rPr>
                              <w:t>（109年度調查）</w:t>
                            </w:r>
                          </w:p>
                        </w:tc>
                        <w:tc>
                          <w:tcPr>
                            <w:tcW w:w="2192" w:type="dxa"/>
                            <w:vAlign w:val="center"/>
                          </w:tcPr>
                          <w:p w14:paraId="0C202DC8" w14:textId="77777777" w:rsidR="00CE57F9" w:rsidRPr="001658EF" w:rsidRDefault="00CE57F9" w:rsidP="00F72E6D">
                            <w:pPr>
                              <w:widowControl/>
                              <w:kinsoku w:val="0"/>
                              <w:overflowPunct w:val="0"/>
                              <w:spacing w:line="240" w:lineRule="exact"/>
                              <w:jc w:val="center"/>
                              <w:rPr>
                                <w:rFonts w:ascii="標楷體" w:eastAsia="標楷體" w:hAnsi="標楷體"/>
                                <w:sz w:val="20"/>
                              </w:rPr>
                            </w:pPr>
                            <w:r w:rsidRPr="001658EF">
                              <w:rPr>
                                <w:rFonts w:ascii="標楷體" w:eastAsia="標楷體" w:hAnsi="標楷體" w:hint="eastAsia"/>
                                <w:sz w:val="20"/>
                              </w:rPr>
                              <w:t>111</w:t>
                            </w:r>
                            <w:r>
                              <w:rPr>
                                <w:rFonts w:ascii="標楷體" w:eastAsia="標楷體" w:hAnsi="標楷體" w:hint="eastAsia"/>
                                <w:sz w:val="20"/>
                              </w:rPr>
                              <w:t>－</w:t>
                            </w:r>
                            <w:r w:rsidRPr="001658EF">
                              <w:rPr>
                                <w:rFonts w:ascii="標楷體" w:eastAsia="標楷體" w:hAnsi="標楷體" w:hint="eastAsia"/>
                                <w:sz w:val="20"/>
                              </w:rPr>
                              <w:t>113年度</w:t>
                            </w:r>
                          </w:p>
                          <w:p w14:paraId="49890548" w14:textId="77777777" w:rsidR="00CE57F9" w:rsidRPr="001658EF" w:rsidRDefault="00CE57F9" w:rsidP="00F72E6D">
                            <w:pPr>
                              <w:widowControl/>
                              <w:kinsoku w:val="0"/>
                              <w:overflowPunct w:val="0"/>
                              <w:spacing w:line="240" w:lineRule="exact"/>
                              <w:jc w:val="center"/>
                              <w:rPr>
                                <w:rFonts w:ascii="標楷體" w:eastAsia="標楷體" w:hAnsi="標楷體"/>
                                <w:sz w:val="20"/>
                              </w:rPr>
                            </w:pPr>
                            <w:r w:rsidRPr="001658EF">
                              <w:rPr>
                                <w:rFonts w:ascii="標楷體" w:eastAsia="標楷體" w:hAnsi="標楷體" w:hint="eastAsia"/>
                                <w:sz w:val="20"/>
                              </w:rPr>
                              <w:t>（110年度調查）</w:t>
                            </w:r>
                          </w:p>
                        </w:tc>
                        <w:tc>
                          <w:tcPr>
                            <w:tcW w:w="2192" w:type="dxa"/>
                            <w:vAlign w:val="center"/>
                          </w:tcPr>
                          <w:p w14:paraId="289C7AC4" w14:textId="77777777" w:rsidR="00CE57F9" w:rsidRPr="001658EF" w:rsidRDefault="00CE57F9" w:rsidP="00F72E6D">
                            <w:pPr>
                              <w:widowControl/>
                              <w:kinsoku w:val="0"/>
                              <w:overflowPunct w:val="0"/>
                              <w:spacing w:line="240" w:lineRule="exact"/>
                              <w:jc w:val="center"/>
                              <w:rPr>
                                <w:rFonts w:ascii="標楷體" w:eastAsia="標楷體" w:hAnsi="標楷體"/>
                                <w:sz w:val="20"/>
                              </w:rPr>
                            </w:pPr>
                            <w:r w:rsidRPr="001658EF">
                              <w:rPr>
                                <w:rFonts w:ascii="標楷體" w:eastAsia="標楷體" w:hAnsi="標楷體" w:hint="eastAsia"/>
                                <w:sz w:val="20"/>
                              </w:rPr>
                              <w:t>112</w:t>
                            </w:r>
                            <w:r>
                              <w:rPr>
                                <w:rFonts w:ascii="標楷體" w:eastAsia="標楷體" w:hAnsi="標楷體" w:hint="eastAsia"/>
                                <w:sz w:val="20"/>
                              </w:rPr>
                              <w:t>－</w:t>
                            </w:r>
                            <w:r w:rsidRPr="001658EF">
                              <w:rPr>
                                <w:rFonts w:ascii="標楷體" w:eastAsia="標楷體" w:hAnsi="標楷體" w:hint="eastAsia"/>
                                <w:sz w:val="20"/>
                              </w:rPr>
                              <w:t>114年度</w:t>
                            </w:r>
                          </w:p>
                          <w:p w14:paraId="161E825A" w14:textId="77777777" w:rsidR="00CE57F9" w:rsidRPr="001658EF" w:rsidRDefault="00CE57F9" w:rsidP="00F72E6D">
                            <w:pPr>
                              <w:widowControl/>
                              <w:kinsoku w:val="0"/>
                              <w:overflowPunct w:val="0"/>
                              <w:spacing w:line="240" w:lineRule="exact"/>
                              <w:jc w:val="center"/>
                              <w:rPr>
                                <w:rFonts w:ascii="標楷體" w:eastAsia="標楷體" w:hAnsi="標楷體"/>
                                <w:sz w:val="20"/>
                              </w:rPr>
                            </w:pPr>
                            <w:r w:rsidRPr="001658EF">
                              <w:rPr>
                                <w:rFonts w:ascii="標楷體" w:eastAsia="標楷體" w:hAnsi="標楷體" w:hint="eastAsia"/>
                                <w:sz w:val="20"/>
                              </w:rPr>
                              <w:t>（111年度調查）</w:t>
                            </w:r>
                          </w:p>
                        </w:tc>
                      </w:tr>
                      <w:tr w:rsidR="00CE57F9" w:rsidRPr="001658EF" w14:paraId="70B8AC37" w14:textId="77777777" w:rsidTr="00F72E6D">
                        <w:tc>
                          <w:tcPr>
                            <w:tcW w:w="851" w:type="dxa"/>
                          </w:tcPr>
                          <w:p w14:paraId="3CC3DC32" w14:textId="77777777" w:rsidR="00CE57F9" w:rsidRPr="001658EF" w:rsidRDefault="00CE57F9" w:rsidP="00F72E6D">
                            <w:pPr>
                              <w:widowControl/>
                              <w:kinsoku w:val="0"/>
                              <w:overflowPunct w:val="0"/>
                              <w:spacing w:line="240" w:lineRule="exact"/>
                              <w:jc w:val="both"/>
                              <w:rPr>
                                <w:rFonts w:ascii="標楷體" w:eastAsia="標楷體" w:hAnsi="標楷體"/>
                                <w:sz w:val="20"/>
                              </w:rPr>
                            </w:pPr>
                            <w:r w:rsidRPr="001658EF">
                              <w:rPr>
                                <w:rFonts w:ascii="標楷體" w:eastAsia="標楷體" w:hAnsi="標楷體" w:hint="eastAsia"/>
                                <w:sz w:val="20"/>
                              </w:rPr>
                              <w:t>人才招募困難產業</w:t>
                            </w:r>
                          </w:p>
                        </w:tc>
                        <w:tc>
                          <w:tcPr>
                            <w:tcW w:w="2192" w:type="dxa"/>
                          </w:tcPr>
                          <w:p w14:paraId="40E3334B"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1.</w:t>
                            </w:r>
                            <w:r w:rsidRPr="001658EF">
                              <w:rPr>
                                <w:rFonts w:ascii="標楷體" w:eastAsia="標楷體" w:hAnsi="標楷體"/>
                                <w:sz w:val="20"/>
                              </w:rPr>
                              <w:t>智慧機械</w:t>
                            </w:r>
                          </w:p>
                          <w:p w14:paraId="6733A8DF"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2.</w:t>
                            </w:r>
                            <w:r w:rsidRPr="001658EF">
                              <w:rPr>
                                <w:rFonts w:ascii="標楷體" w:eastAsia="標楷體" w:hAnsi="標楷體"/>
                                <w:sz w:val="20"/>
                              </w:rPr>
                              <w:t>造船</w:t>
                            </w:r>
                          </w:p>
                          <w:p w14:paraId="43E2710B"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3.</w:t>
                            </w:r>
                            <w:r w:rsidRPr="001658EF">
                              <w:rPr>
                                <w:rFonts w:ascii="標楷體" w:eastAsia="標楷體" w:hAnsi="標楷體"/>
                                <w:sz w:val="20"/>
                              </w:rPr>
                              <w:t>資料服務</w:t>
                            </w:r>
                          </w:p>
                        </w:tc>
                        <w:tc>
                          <w:tcPr>
                            <w:tcW w:w="2192" w:type="dxa"/>
                          </w:tcPr>
                          <w:p w14:paraId="61177A67"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1.智慧機械</w:t>
                            </w:r>
                          </w:p>
                          <w:p w14:paraId="5CBF9F3A"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2.人工智慧應用服務</w:t>
                            </w:r>
                          </w:p>
                          <w:p w14:paraId="3E4C5DCB"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3.設計服務</w:t>
                            </w:r>
                          </w:p>
                        </w:tc>
                        <w:tc>
                          <w:tcPr>
                            <w:tcW w:w="2192" w:type="dxa"/>
                          </w:tcPr>
                          <w:p w14:paraId="12B719E7"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1.智慧機械</w:t>
                            </w:r>
                          </w:p>
                          <w:p w14:paraId="15696EA4"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2.精準健康</w:t>
                            </w:r>
                          </w:p>
                          <w:p w14:paraId="08C63424"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3.IC設計、造船</w:t>
                            </w:r>
                          </w:p>
                        </w:tc>
                        <w:tc>
                          <w:tcPr>
                            <w:tcW w:w="2192" w:type="dxa"/>
                          </w:tcPr>
                          <w:p w14:paraId="36CB0326"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1.智慧機械</w:t>
                            </w:r>
                          </w:p>
                          <w:p w14:paraId="254499E1"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2.紡織</w:t>
                            </w:r>
                          </w:p>
                          <w:p w14:paraId="53D014BE"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3.精準健康</w:t>
                            </w:r>
                          </w:p>
                        </w:tc>
                      </w:tr>
                      <w:tr w:rsidR="00CE57F9" w:rsidRPr="001658EF" w14:paraId="320C9EBA" w14:textId="77777777" w:rsidTr="00F72E6D">
                        <w:tc>
                          <w:tcPr>
                            <w:tcW w:w="851" w:type="dxa"/>
                          </w:tcPr>
                          <w:p w14:paraId="77B3A919" w14:textId="77777777" w:rsidR="00CE57F9" w:rsidRPr="001658EF" w:rsidRDefault="00CE57F9" w:rsidP="00F72E6D">
                            <w:pPr>
                              <w:widowControl/>
                              <w:kinsoku w:val="0"/>
                              <w:overflowPunct w:val="0"/>
                              <w:spacing w:line="240" w:lineRule="exact"/>
                              <w:jc w:val="both"/>
                              <w:rPr>
                                <w:rFonts w:ascii="標楷體" w:eastAsia="標楷體" w:hAnsi="標楷體"/>
                                <w:sz w:val="20"/>
                              </w:rPr>
                            </w:pPr>
                            <w:r w:rsidRPr="001658EF">
                              <w:rPr>
                                <w:rFonts w:ascii="標楷體" w:eastAsia="標楷體" w:hAnsi="標楷體" w:hint="eastAsia"/>
                                <w:sz w:val="20"/>
                              </w:rPr>
                              <w:t>有海外攬才需求產業</w:t>
                            </w:r>
                          </w:p>
                        </w:tc>
                        <w:tc>
                          <w:tcPr>
                            <w:tcW w:w="2192" w:type="dxa"/>
                          </w:tcPr>
                          <w:p w14:paraId="426B0C4F"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1</w:t>
                            </w:r>
                            <w:r w:rsidRPr="001658EF">
                              <w:rPr>
                                <w:rFonts w:ascii="標楷體" w:eastAsia="標楷體" w:hAnsi="標楷體"/>
                                <w:sz w:val="20"/>
                              </w:rPr>
                              <w:t>.智慧機械</w:t>
                            </w:r>
                            <w:r w:rsidRPr="001658EF">
                              <w:rPr>
                                <w:rFonts w:ascii="標楷體" w:eastAsia="標楷體" w:hAnsi="標楷體" w:hint="eastAsia"/>
                                <w:sz w:val="20"/>
                              </w:rPr>
                              <w:t>、</w:t>
                            </w:r>
                            <w:r w:rsidRPr="001658EF">
                              <w:rPr>
                                <w:rFonts w:ascii="標楷體" w:eastAsia="標楷體" w:hAnsi="標楷體"/>
                                <w:sz w:val="20"/>
                              </w:rPr>
                              <w:t>離岸風力發電</w:t>
                            </w:r>
                          </w:p>
                          <w:p w14:paraId="1FC3FFA7"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2.航空（含國防航太）</w:t>
                            </w:r>
                          </w:p>
                          <w:p w14:paraId="3D33720D"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3.IC設計</w:t>
                            </w:r>
                          </w:p>
                        </w:tc>
                        <w:tc>
                          <w:tcPr>
                            <w:tcW w:w="2192" w:type="dxa"/>
                          </w:tcPr>
                          <w:p w14:paraId="79AB2207"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1.離岸風力發電」</w:t>
                            </w:r>
                          </w:p>
                          <w:p w14:paraId="3545676C"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2.航空（含國防航太）</w:t>
                            </w:r>
                          </w:p>
                          <w:p w14:paraId="429D5DE5"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3.半導體產業材料</w:t>
                            </w:r>
                          </w:p>
                        </w:tc>
                        <w:tc>
                          <w:tcPr>
                            <w:tcW w:w="2192" w:type="dxa"/>
                          </w:tcPr>
                          <w:p w14:paraId="2A27F4DB"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1.有機農業</w:t>
                            </w:r>
                          </w:p>
                          <w:p w14:paraId="59E94727"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2.人工智慧應用服務</w:t>
                            </w:r>
                          </w:p>
                          <w:p w14:paraId="655B9BF3"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3.IC設計</w:t>
                            </w:r>
                          </w:p>
                        </w:tc>
                        <w:tc>
                          <w:tcPr>
                            <w:tcW w:w="2192" w:type="dxa"/>
                          </w:tcPr>
                          <w:p w14:paraId="067AB1FE"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1.</w:t>
                            </w:r>
                            <w:r w:rsidRPr="001658EF">
                              <w:rPr>
                                <w:rFonts w:ascii="標楷體" w:eastAsia="標楷體" w:hAnsi="標楷體"/>
                                <w:sz w:val="20"/>
                              </w:rPr>
                              <w:t>IC設計</w:t>
                            </w:r>
                          </w:p>
                          <w:p w14:paraId="2C0B024A"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2.</w:t>
                            </w:r>
                            <w:r w:rsidRPr="001658EF">
                              <w:rPr>
                                <w:rFonts w:ascii="標楷體" w:eastAsia="標楷體" w:hAnsi="標楷體"/>
                                <w:sz w:val="20"/>
                              </w:rPr>
                              <w:t>塑膠</w:t>
                            </w:r>
                          </w:p>
                          <w:p w14:paraId="3D63A062" w14:textId="77777777" w:rsidR="00CE57F9" w:rsidRPr="001658EF" w:rsidRDefault="00CE57F9" w:rsidP="00F72E6D">
                            <w:pPr>
                              <w:widowControl/>
                              <w:kinsoku w:val="0"/>
                              <w:overflowPunct w:val="0"/>
                              <w:spacing w:line="240" w:lineRule="exact"/>
                              <w:ind w:left="200" w:hangingChars="100" w:hanging="200"/>
                              <w:jc w:val="both"/>
                              <w:rPr>
                                <w:rFonts w:ascii="標楷體" w:eastAsia="標楷體" w:hAnsi="標楷體"/>
                                <w:sz w:val="20"/>
                              </w:rPr>
                            </w:pPr>
                            <w:r w:rsidRPr="001658EF">
                              <w:rPr>
                                <w:rFonts w:ascii="標楷體" w:eastAsia="標楷體" w:hAnsi="標楷體" w:hint="eastAsia"/>
                                <w:sz w:val="20"/>
                              </w:rPr>
                              <w:t>3.</w:t>
                            </w:r>
                            <w:r w:rsidRPr="001658EF">
                              <w:rPr>
                                <w:rFonts w:ascii="標楷體" w:eastAsia="標楷體" w:hAnsi="標楷體"/>
                                <w:sz w:val="20"/>
                              </w:rPr>
                              <w:t>人工智慧應用服務</w:t>
                            </w:r>
                            <w:r w:rsidRPr="001658EF">
                              <w:rPr>
                                <w:rFonts w:ascii="標楷體" w:eastAsia="標楷體" w:hAnsi="標楷體" w:hint="eastAsia"/>
                                <w:sz w:val="20"/>
                              </w:rPr>
                              <w:t>、旅宿</w:t>
                            </w:r>
                          </w:p>
                        </w:tc>
                      </w:tr>
                    </w:tbl>
                    <w:p w14:paraId="29321838" w14:textId="77777777" w:rsidR="00CE57F9" w:rsidRDefault="00CE57F9" w:rsidP="00EB3986">
                      <w:pPr>
                        <w:widowControl/>
                        <w:kinsoku w:val="0"/>
                        <w:overflowPunct w:val="0"/>
                        <w:spacing w:line="240" w:lineRule="exact"/>
                        <w:ind w:left="360" w:hangingChars="200" w:hanging="360"/>
                        <w:jc w:val="both"/>
                      </w:pPr>
                      <w:r w:rsidRPr="001658EF">
                        <w:rPr>
                          <w:rFonts w:ascii="標楷體" w:eastAsia="標楷體" w:hAnsi="標楷體" w:hint="eastAsia"/>
                          <w:sz w:val="18"/>
                          <w:szCs w:val="18"/>
                        </w:rPr>
                        <w:t>資料來源：整理自</w:t>
                      </w:r>
                      <w:r>
                        <w:rPr>
                          <w:rFonts w:ascii="標楷體" w:eastAsia="標楷體" w:hAnsi="標楷體" w:hint="eastAsia"/>
                          <w:sz w:val="18"/>
                          <w:szCs w:val="18"/>
                        </w:rPr>
                        <w:t>國家發展委員會</w:t>
                      </w:r>
                      <w:r w:rsidRPr="001658EF">
                        <w:rPr>
                          <w:rFonts w:ascii="標楷體" w:eastAsia="標楷體" w:hAnsi="標楷體" w:hint="eastAsia"/>
                          <w:sz w:val="18"/>
                          <w:szCs w:val="18"/>
                        </w:rPr>
                        <w:t>108至111年度辦理之未來3年度重點產業人才調查及推估彙總報告。</w:t>
                      </w:r>
                    </w:p>
                  </w:txbxContent>
                </v:textbox>
                <w10:wrap type="topAndBottom" anchorx="margin"/>
              </v:shape>
            </w:pict>
          </mc:Fallback>
        </mc:AlternateContent>
      </w:r>
      <w:r w:rsidR="00243C4D" w:rsidRPr="009D11AD">
        <w:rPr>
          <w:rFonts w:hAnsi="標楷體" w:hint="eastAsia"/>
          <w:sz w:val="24"/>
          <w:szCs w:val="24"/>
        </w:rPr>
        <w:t>政府為加強延攬及僱用外國專業人才，提升國家競爭力，訂定外國專業人才延攬及僱用法，</w:t>
      </w:r>
      <w:r w:rsidR="00FF22C6">
        <w:rPr>
          <w:rFonts w:hAnsi="標楷體" w:hint="eastAsia"/>
          <w:sz w:val="24"/>
          <w:szCs w:val="24"/>
        </w:rPr>
        <w:t>明</w:t>
      </w:r>
      <w:r w:rsidR="00243C4D" w:rsidRPr="009D11AD">
        <w:rPr>
          <w:rFonts w:hAnsi="標楷體" w:hint="eastAsia"/>
          <w:sz w:val="24"/>
          <w:szCs w:val="24"/>
        </w:rPr>
        <w:t>定「具有中央目的事業主管機關公告之我國所需科技等領域之特殊專長，或經會商認定具有特殊專長」之外國特定專業人才，可直接申請具工作許可、居留簽證、外僑居留證及重入國許可四證合一之就業金卡，免除應先受聘僱、取得工作許可之程序，即可入境。又為掌握全球產業鏈重組之契機，推動5+2產業創新及六大核心戰略產業（下稱5+2及六大核心產業）升級與創新發展，國家發展委員會協同教育部等相關部會提出「關鍵人才培育及延攬方案（110-113年）」，其中國家發展委員會為精準延攬產業所需人才，針對5+2及六大核心產業，辦理重點產業專業人才需求推估調查，盤點海外攬才需求，推動全球攬才工作，並成立就業金卡辦公室，針對高階關鍵人才提供來臺前諮詢及申辦就業金卡服務，並以就業金卡核發人數為績效指標。據國家發展委員會108至111年度辦理未來3年重點產業人才調查及推估結果，欠缺人才具招募困難及海外攬才需求比例較高或職缺數量較多之產業，多屬於5+2及六大核心產業之範疇</w:t>
      </w:r>
      <w:r w:rsidR="00243C4D" w:rsidRPr="00346BDD">
        <w:rPr>
          <w:rFonts w:hAnsi="標楷體" w:hint="eastAsia"/>
          <w:sz w:val="24"/>
          <w:szCs w:val="24"/>
        </w:rPr>
        <w:t>（表2</w:t>
      </w:r>
      <w:r w:rsidR="00B729E6" w:rsidRPr="00346BDD">
        <w:rPr>
          <w:rFonts w:hAnsi="標楷體" w:hint="eastAsia"/>
          <w:sz w:val="24"/>
          <w:szCs w:val="24"/>
        </w:rPr>
        <w:t>2</w:t>
      </w:r>
      <w:r w:rsidR="00243C4D" w:rsidRPr="00346BDD">
        <w:rPr>
          <w:rFonts w:hAnsi="標楷體" w:hint="eastAsia"/>
          <w:sz w:val="24"/>
          <w:szCs w:val="24"/>
        </w:rPr>
        <w:t>），111年度調查結果，重點產業欠缺之職業中，軟（韌）體設計工程師、電子工程師等10項職業，同時面臨招募困難及海外延攬人才需求，顯示國</w:t>
      </w:r>
      <w:r w:rsidR="00243C4D" w:rsidRPr="009D11AD">
        <w:rPr>
          <w:rFonts w:hAnsi="標楷體" w:hint="eastAsia"/>
          <w:sz w:val="24"/>
          <w:szCs w:val="24"/>
        </w:rPr>
        <w:t>內急需軟體、研發、資訊及數位等相關人才。</w:t>
      </w:r>
      <w:r w:rsidR="00FF22C6">
        <w:rPr>
          <w:rFonts w:hAnsi="標楷體" w:hint="eastAsia"/>
          <w:sz w:val="24"/>
          <w:szCs w:val="24"/>
        </w:rPr>
        <w:t>查</w:t>
      </w:r>
      <w:r w:rsidR="00243C4D" w:rsidRPr="009D11AD">
        <w:rPr>
          <w:rFonts w:hAnsi="標楷體" w:hint="eastAsia"/>
          <w:sz w:val="24"/>
          <w:szCs w:val="24"/>
        </w:rPr>
        <w:t>外國專業人才延攬及僱用法規定之就業金卡（外國特定專業人才</w:t>
      </w:r>
      <w:r w:rsidR="00243C4D" w:rsidRPr="009D11AD">
        <w:rPr>
          <w:rFonts w:hAnsi="標楷體"/>
          <w:sz w:val="24"/>
          <w:szCs w:val="24"/>
        </w:rPr>
        <w:t>）</w:t>
      </w:r>
      <w:r w:rsidR="00243C4D" w:rsidRPr="009D11AD">
        <w:rPr>
          <w:rFonts w:hAnsi="標楷體" w:hint="eastAsia"/>
          <w:sz w:val="24"/>
          <w:szCs w:val="24"/>
        </w:rPr>
        <w:t>申請之資格條件</w:t>
      </w:r>
      <w:r w:rsidR="00FF22C6">
        <w:rPr>
          <w:rFonts w:hAnsi="標楷體" w:hint="eastAsia"/>
          <w:sz w:val="24"/>
          <w:szCs w:val="24"/>
        </w:rPr>
        <w:t>，</w:t>
      </w:r>
      <w:r w:rsidR="00243C4D" w:rsidRPr="009D11AD">
        <w:rPr>
          <w:rFonts w:hAnsi="標楷體" w:hint="eastAsia"/>
          <w:sz w:val="24"/>
          <w:szCs w:val="24"/>
        </w:rPr>
        <w:t>包含科技、經濟、教育、文化藝術、體育、金融、法律、建築設計、國防等9大領域，</w:t>
      </w:r>
      <w:r w:rsidR="00FF22C6">
        <w:rPr>
          <w:rFonts w:hAnsi="標楷體" w:hint="eastAsia"/>
          <w:sz w:val="24"/>
          <w:szCs w:val="24"/>
        </w:rPr>
        <w:t>至</w:t>
      </w:r>
      <w:r w:rsidR="00243C4D" w:rsidRPr="009D11AD">
        <w:rPr>
          <w:rFonts w:hAnsi="標楷體" w:hint="eastAsia"/>
          <w:sz w:val="24"/>
          <w:szCs w:val="24"/>
        </w:rPr>
        <w:t>非屬9大領域者則由國家發展委員會會商認定，共計85項資格條件，其中僅14項，屬於資訊及數位、</w:t>
      </w:r>
      <w:r w:rsidR="00243C4D" w:rsidRPr="00355750">
        <w:rPr>
          <w:rFonts w:hAnsi="標楷體" w:hint="eastAsia"/>
          <w:sz w:val="24"/>
          <w:szCs w:val="24"/>
        </w:rPr>
        <w:lastRenderedPageBreak/>
        <w:t>國防及戰略、綠電及再生能源、亞洲矽谷（新創產業）、生醫產業、循環經濟、智慧機械等5+2</w:t>
      </w:r>
      <w:r w:rsidR="00243C4D" w:rsidRPr="009D11AD">
        <w:rPr>
          <w:rFonts w:hAnsi="標楷體" w:hint="eastAsia"/>
          <w:sz w:val="24"/>
          <w:szCs w:val="24"/>
        </w:rPr>
        <w:t>及六大核心產業所需國際關鍵人才之資格條件，就業金卡實際核發資格條件適用產業範疇遠大於5+2及六大核心產業，且尚包含無人才缺口之金融產業，惟國家發展委員會辦理精準延攬產業所需人才係以就業金卡核發人次作為績效指標，卻統計核發總人次及各領域人次，未針對5+2及六大核心產業所需關鍵人才統計延攬情形，無法分析就業金卡核發產業別以及該產業人才適足性等，績效指標內容有欠周延，亦未追蹤就業金卡持卡人入境及在臺就業情形，無法有效評估精準延攬產業（5+2及六大核心產業重點產業關鍵）所需海外人才之實際辦理成果。另本部以內政部移民署提供截至111年底止該署核發就業金卡持卡人之居留資料及截至112年3月14日止最近一次入、出境日期等分析結果，截至111年底止，內政部移民署計核發就業金卡6</w:t>
      </w:r>
      <w:r w:rsidR="00243C4D" w:rsidRPr="009D11AD">
        <w:rPr>
          <w:rFonts w:hAnsi="標楷體"/>
          <w:sz w:val="24"/>
          <w:szCs w:val="24"/>
        </w:rPr>
        <w:t>,</w:t>
      </w:r>
      <w:r w:rsidR="00243C4D" w:rsidRPr="009D11AD">
        <w:rPr>
          <w:rFonts w:hAnsi="標楷體" w:hint="eastAsia"/>
          <w:sz w:val="24"/>
          <w:szCs w:val="24"/>
        </w:rPr>
        <w:t>144人，截至112年3月14日止，</w:t>
      </w:r>
      <w:r w:rsidR="00FF22C6">
        <w:rPr>
          <w:rFonts w:hAnsi="標楷體" w:hint="eastAsia"/>
          <w:sz w:val="24"/>
          <w:szCs w:val="24"/>
        </w:rPr>
        <w:t>其</w:t>
      </w:r>
      <w:r w:rsidR="00243C4D" w:rsidRPr="009D11AD">
        <w:rPr>
          <w:rFonts w:hAnsi="標楷體" w:hint="eastAsia"/>
          <w:sz w:val="24"/>
          <w:szCs w:val="24"/>
        </w:rPr>
        <w:t>中僅42.37％之人數在臺，8.68％未曾入境，且有來臺但已離境者中，56.53％屬入境30日內即離境之短期停留，顯示核發就業金卡所吸引之海外專業人才，僅達成來臺短期停留之效果。又據臺灣就業金卡辦公室於2022年7月至9月間，針對1,081位外國特定專業人才（95％受訪者為就業金卡持卡人）調查結果，在臺工作方面，高達34.8％任職於外國公司（係遠距上班），經以勞動部勞工保險局提供截至112年5月5日止之就業金卡持卡人投保勞工保險資料分析結果，就業金卡持卡人6</w:t>
      </w:r>
      <w:r w:rsidR="00243C4D" w:rsidRPr="009D11AD">
        <w:rPr>
          <w:rFonts w:hAnsi="標楷體"/>
          <w:sz w:val="24"/>
          <w:szCs w:val="24"/>
        </w:rPr>
        <w:t>,</w:t>
      </w:r>
      <w:r w:rsidR="00243C4D" w:rsidRPr="009D11AD">
        <w:rPr>
          <w:rFonts w:hAnsi="標楷體" w:hint="eastAsia"/>
          <w:sz w:val="24"/>
          <w:szCs w:val="24"/>
        </w:rPr>
        <w:t>144人中，僅1</w:t>
      </w:r>
      <w:r w:rsidR="00243C4D" w:rsidRPr="009D11AD">
        <w:rPr>
          <w:rFonts w:hAnsi="標楷體"/>
          <w:sz w:val="24"/>
          <w:szCs w:val="24"/>
        </w:rPr>
        <w:t>,</w:t>
      </w:r>
      <w:r w:rsidR="00243C4D" w:rsidRPr="009D11AD">
        <w:rPr>
          <w:rFonts w:hAnsi="標楷體" w:hint="eastAsia"/>
          <w:sz w:val="24"/>
          <w:szCs w:val="24"/>
        </w:rPr>
        <w:t>851人（占30</w:t>
      </w:r>
      <w:r w:rsidR="00243C4D" w:rsidRPr="009D11AD">
        <w:rPr>
          <w:rFonts w:hAnsi="標楷體"/>
          <w:sz w:val="24"/>
          <w:szCs w:val="24"/>
        </w:rPr>
        <w:t>.13</w:t>
      </w:r>
      <w:r w:rsidR="00243C4D" w:rsidRPr="009D11AD">
        <w:rPr>
          <w:rFonts w:hAnsi="標楷體" w:hint="eastAsia"/>
          <w:sz w:val="24"/>
          <w:szCs w:val="24"/>
        </w:rPr>
        <w:t>％）曾投保勞工保險，且截至112年5月5日止仍在保人數為1</w:t>
      </w:r>
      <w:r w:rsidR="00243C4D" w:rsidRPr="009D11AD">
        <w:rPr>
          <w:rFonts w:hAnsi="標楷體"/>
          <w:sz w:val="24"/>
          <w:szCs w:val="24"/>
        </w:rPr>
        <w:t>,</w:t>
      </w:r>
      <w:r w:rsidR="00243C4D" w:rsidRPr="009D11AD">
        <w:rPr>
          <w:rFonts w:hAnsi="標楷體" w:hint="eastAsia"/>
          <w:sz w:val="24"/>
          <w:szCs w:val="24"/>
        </w:rPr>
        <w:t>174人（占19.11％），就業金卡持卡人後續未在臺就業之比率偏高；又就業金卡係為吸引高端人才來臺，惟以勞工保險投保薪資分</w:t>
      </w:r>
      <w:r w:rsidR="00243C4D" w:rsidRPr="00805EC6">
        <w:rPr>
          <w:rFonts w:hAnsi="標楷體" w:hint="eastAsia"/>
          <w:spacing w:val="-2"/>
          <w:sz w:val="24"/>
          <w:szCs w:val="24"/>
        </w:rPr>
        <w:t>析，就業金卡持卡人中有</w:t>
      </w:r>
      <w:r w:rsidR="00243C4D" w:rsidRPr="00805EC6">
        <w:rPr>
          <w:rFonts w:hAnsi="標楷體"/>
          <w:spacing w:val="-2"/>
          <w:sz w:val="24"/>
          <w:szCs w:val="24"/>
        </w:rPr>
        <w:t>122</w:t>
      </w:r>
      <w:r w:rsidR="00243C4D" w:rsidRPr="00805EC6">
        <w:rPr>
          <w:rFonts w:hAnsi="標楷體" w:hint="eastAsia"/>
          <w:spacing w:val="-2"/>
          <w:sz w:val="24"/>
          <w:szCs w:val="24"/>
        </w:rPr>
        <w:t>人（占曾加保人數1</w:t>
      </w:r>
      <w:r w:rsidR="00243C4D" w:rsidRPr="00805EC6">
        <w:rPr>
          <w:rFonts w:hAnsi="標楷體"/>
          <w:spacing w:val="-2"/>
          <w:sz w:val="24"/>
          <w:szCs w:val="24"/>
        </w:rPr>
        <w:t>,</w:t>
      </w:r>
      <w:r w:rsidR="00243C4D" w:rsidRPr="00805EC6">
        <w:rPr>
          <w:rFonts w:hAnsi="標楷體" w:hint="eastAsia"/>
          <w:spacing w:val="-2"/>
          <w:sz w:val="24"/>
          <w:szCs w:val="24"/>
        </w:rPr>
        <w:t>851人之</w:t>
      </w:r>
      <w:r w:rsidR="00243C4D" w:rsidRPr="00805EC6">
        <w:rPr>
          <w:rFonts w:hAnsi="標楷體"/>
          <w:spacing w:val="-2"/>
          <w:sz w:val="24"/>
          <w:szCs w:val="24"/>
        </w:rPr>
        <w:t>6.59</w:t>
      </w:r>
      <w:r w:rsidR="00243C4D" w:rsidRPr="00805EC6">
        <w:rPr>
          <w:rFonts w:hAnsi="標楷體" w:hint="eastAsia"/>
          <w:spacing w:val="-2"/>
          <w:sz w:val="24"/>
          <w:szCs w:val="24"/>
        </w:rPr>
        <w:t>％</w:t>
      </w:r>
      <w:r w:rsidR="00243C4D" w:rsidRPr="00805EC6">
        <w:rPr>
          <w:rFonts w:hAnsi="標楷體"/>
          <w:spacing w:val="-2"/>
          <w:sz w:val="24"/>
          <w:szCs w:val="24"/>
        </w:rPr>
        <w:t>）</w:t>
      </w:r>
      <w:r w:rsidR="00243C4D" w:rsidRPr="00805EC6">
        <w:rPr>
          <w:rFonts w:hAnsi="標楷體" w:hint="eastAsia"/>
          <w:spacing w:val="-2"/>
          <w:sz w:val="24"/>
          <w:szCs w:val="24"/>
        </w:rPr>
        <w:t>投保金額在基本工資26</w:t>
      </w:r>
      <w:r w:rsidR="00243C4D" w:rsidRPr="00805EC6">
        <w:rPr>
          <w:rFonts w:hAnsi="標楷體"/>
          <w:spacing w:val="-2"/>
          <w:sz w:val="24"/>
          <w:szCs w:val="24"/>
        </w:rPr>
        <w:t>,</w:t>
      </w:r>
      <w:r w:rsidR="00243C4D" w:rsidRPr="00805EC6">
        <w:rPr>
          <w:rFonts w:hAnsi="標楷體" w:hint="eastAsia"/>
          <w:spacing w:val="-2"/>
          <w:sz w:val="24"/>
          <w:szCs w:val="24"/>
        </w:rPr>
        <w:t>400元（含）以下（從事行業為國民中、小學及大專院校，外語或升學短期補習班、電腦程式設計業、</w:t>
      </w:r>
      <w:r w:rsidR="00ED53D5" w:rsidRPr="00805EC6">
        <w:rPr>
          <w:rFonts w:hAnsi="標楷體" w:hint="eastAsia"/>
          <w:spacing w:val="-2"/>
          <w:sz w:val="24"/>
          <w:szCs w:val="24"/>
        </w:rPr>
        <w:t>餐館飲料業等），顯示部分持卡人在臺從事之行業或職務非屬高端產業</w:t>
      </w:r>
      <w:r w:rsidR="00243C4D" w:rsidRPr="00805EC6">
        <w:rPr>
          <w:rFonts w:hAnsi="標楷體" w:hint="eastAsia"/>
          <w:spacing w:val="-2"/>
          <w:sz w:val="24"/>
          <w:szCs w:val="24"/>
        </w:rPr>
        <w:t>，對提升國內重點產業升級與創新發展助益尚屬有限。經函請國家發展委員會檢討績效指標內涵，強</w:t>
      </w:r>
      <w:r w:rsidR="00243C4D" w:rsidRPr="009D11AD">
        <w:rPr>
          <w:rFonts w:hAnsi="標楷體" w:hint="eastAsia"/>
          <w:sz w:val="24"/>
          <w:szCs w:val="24"/>
        </w:rPr>
        <w:t>化5+2及六大核心產業相關之就業金卡核發資訊，並追蹤就業金卡持卡人入境及在臺就業情形，以有效評估就業金卡持卡人在臺貢獻，彰顯計畫執行成果，提升關鍵產業升級與創新發展情形。</w:t>
      </w:r>
      <w:r w:rsidR="00243C4D" w:rsidRPr="00DA2751">
        <w:rPr>
          <w:rFonts w:hAnsi="標楷體" w:hint="eastAsia"/>
          <w:sz w:val="24"/>
          <w:szCs w:val="24"/>
        </w:rPr>
        <w:t>據復：</w:t>
      </w:r>
      <w:r w:rsidR="00355750" w:rsidRPr="00346BDD">
        <w:rPr>
          <w:rFonts w:hAnsi="標楷體" w:hint="eastAsia"/>
          <w:sz w:val="24"/>
          <w:szCs w:val="24"/>
        </w:rPr>
        <w:t>就業金卡申請資格</w:t>
      </w:r>
      <w:r w:rsidR="00EA6C1F" w:rsidRPr="00346BDD">
        <w:rPr>
          <w:rFonts w:hAnsi="標楷體" w:hint="eastAsia"/>
          <w:sz w:val="24"/>
          <w:szCs w:val="24"/>
        </w:rPr>
        <w:t>係針對申請人之過往薪資、學經歷背景等專業條件，無法對應其所屬之產業類別，爰無法對應產業進行統計，另就業金卡為開放式工作許可，制度上</w:t>
      </w:r>
      <w:r w:rsidR="00355750" w:rsidRPr="00346BDD">
        <w:rPr>
          <w:rFonts w:hAnsi="標楷體" w:hint="eastAsia"/>
          <w:sz w:val="24"/>
          <w:szCs w:val="24"/>
        </w:rPr>
        <w:t>係</w:t>
      </w:r>
      <w:r w:rsidR="00EA6C1F" w:rsidRPr="00346BDD">
        <w:rPr>
          <w:rFonts w:hAnsi="標楷體" w:hint="eastAsia"/>
          <w:sz w:val="24"/>
          <w:szCs w:val="24"/>
        </w:rPr>
        <w:t>鼓勵就業金卡持卡者長期居留臺灣，惟不排斥短期停留（如短期來臺進行技術交流）。為瞭解持卡者在臺動向，有效衡量「關鍵人才培育及延攬方案（</w:t>
      </w:r>
      <w:r w:rsidR="00EA6C1F" w:rsidRPr="00346BDD">
        <w:rPr>
          <w:rFonts w:hAnsi="標楷體"/>
          <w:sz w:val="24"/>
          <w:szCs w:val="24"/>
        </w:rPr>
        <w:t>110－113年）」延攬5+2</w:t>
      </w:r>
      <w:r w:rsidR="00EA6C1F" w:rsidRPr="00346BDD">
        <w:rPr>
          <w:rFonts w:hAnsi="標楷體" w:hint="eastAsia"/>
          <w:sz w:val="24"/>
          <w:szCs w:val="24"/>
        </w:rPr>
        <w:t>產業創新及六大核心戰略產業人才執行成效，</w:t>
      </w:r>
      <w:r w:rsidR="00805EC6" w:rsidRPr="00346BDD">
        <w:rPr>
          <w:rFonts w:hAnsi="標楷體" w:hint="eastAsia"/>
          <w:sz w:val="24"/>
          <w:szCs w:val="24"/>
        </w:rPr>
        <w:t>該會</w:t>
      </w:r>
      <w:r w:rsidR="00EA6C1F" w:rsidRPr="00346BDD">
        <w:rPr>
          <w:rFonts w:hAnsi="標楷體" w:hint="eastAsia"/>
          <w:sz w:val="24"/>
          <w:szCs w:val="24"/>
        </w:rPr>
        <w:t>將持續透過調查掌握持卡者來臺投入的產業類別及從事之經濟活動，尤其是否投入</w:t>
      </w:r>
      <w:r w:rsidR="00EA6C1F" w:rsidRPr="00346BDD">
        <w:rPr>
          <w:rFonts w:hAnsi="標楷體"/>
          <w:sz w:val="24"/>
          <w:szCs w:val="24"/>
        </w:rPr>
        <w:t>5+2產業及六大核心戰略產業，並輔以其他質性報導資料，衡量渠等對我國產業之貢獻</w:t>
      </w:r>
      <w:r w:rsidR="00243C4D" w:rsidRPr="00346BDD">
        <w:rPr>
          <w:rFonts w:hAnsi="標楷體" w:hint="eastAsia"/>
          <w:sz w:val="24"/>
          <w:szCs w:val="24"/>
        </w:rPr>
        <w:t>。</w:t>
      </w:r>
    </w:p>
    <w:p w14:paraId="638BED9C" w14:textId="07FA187C" w:rsidR="00AA73AB" w:rsidRPr="009D11AD" w:rsidRDefault="00AA73AB" w:rsidP="00860D54">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（二十五）　政府為提升政府網站品質，已持續精進網站檢核系統，惟使用</w:t>
      </w:r>
      <w:r w:rsidRPr="00355750">
        <w:rPr>
          <w:rFonts w:hAnsi="標楷體" w:hint="eastAsia"/>
          <w:b/>
          <w:color w:val="000000" w:themeColor="text1"/>
          <w:sz w:val="28"/>
          <w:szCs w:val="28"/>
        </w:rPr>
        <w:lastRenderedPageBreak/>
        <w:t>次數自108年起逐年下滑；另截至111年底輔導機關導入使用者中心設計概念或</w:t>
      </w:r>
      <w:r w:rsidRPr="009D11AD">
        <w:rPr>
          <w:rFonts w:hAnsi="標楷體" w:hint="eastAsia"/>
          <w:b/>
          <w:color w:val="000000" w:themeColor="text1"/>
          <w:sz w:val="28"/>
          <w:szCs w:val="28"/>
        </w:rPr>
        <w:t>網站易用性測試之機關網站數僅95個，允宜督促各機關積極使用並擴大推廣導入，以加速各級政府機關網站服務品質再升級</w:t>
      </w:r>
      <w:r w:rsidRPr="009D11AD">
        <w:rPr>
          <w:rFonts w:hAnsi="標楷體" w:hint="eastAsia"/>
          <w:b/>
          <w:color w:val="000000" w:themeColor="text1"/>
          <w:spacing w:val="-2"/>
          <w:sz w:val="28"/>
          <w:szCs w:val="28"/>
        </w:rPr>
        <w:t>。</w:t>
      </w:r>
    </w:p>
    <w:p w14:paraId="06C21719" w14:textId="0D7C81FF" w:rsidR="00AA73AB" w:rsidRPr="00346BDD" w:rsidRDefault="008831F3" w:rsidP="00DA2751">
      <w:pPr>
        <w:overflowPunct w:val="0"/>
        <w:adjustRightInd w:val="0"/>
        <w:snapToGrid w:val="0"/>
        <w:spacing w:line="434" w:lineRule="exact"/>
        <w:ind w:firstLineChars="200" w:firstLine="480"/>
        <w:jc w:val="both"/>
        <w:rPr>
          <w:rFonts w:ascii="標楷體" w:eastAsia="標楷體" w:hAnsi="標楷體"/>
          <w:spacing w:val="-4"/>
          <w:szCs w:val="28"/>
        </w:rPr>
      </w:pPr>
      <w:r w:rsidRPr="009D11AD">
        <w:rPr>
          <w:rFonts w:ascii="標楷體" w:eastAsia="標楷體" w:hAnsi="標楷體" w:cs="新細明體"/>
          <w:noProof/>
          <w:kern w:val="0"/>
          <w:szCs w:val="28"/>
        </w:rPr>
        <mc:AlternateContent>
          <mc:Choice Requires="wps">
            <w:drawing>
              <wp:anchor distT="0" distB="0" distL="114300" distR="114300" simplePos="0" relativeHeight="251638272" behindDoc="1" locked="0" layoutInCell="1" allowOverlap="1" wp14:anchorId="09B8AF34" wp14:editId="3CA9B9D2">
                <wp:simplePos x="0" y="0"/>
                <wp:positionH relativeFrom="margin">
                  <wp:posOffset>2425065</wp:posOffset>
                </wp:positionH>
                <wp:positionV relativeFrom="paragraph">
                  <wp:posOffset>2576739</wp:posOffset>
                </wp:positionV>
                <wp:extent cx="3870325" cy="1657985"/>
                <wp:effectExtent l="0" t="0" r="0" b="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0325" cy="1657985"/>
                        </a:xfrm>
                        <a:prstGeom prst="rect">
                          <a:avLst/>
                        </a:prstGeom>
                        <a:noFill/>
                        <a:ln w="9525">
                          <a:noFill/>
                          <a:miter lim="800000"/>
                          <a:headEnd/>
                          <a:tailEnd/>
                        </a:ln>
                      </wps:spPr>
                      <wps:txbx>
                        <w:txbxContent>
                          <w:tbl>
                            <w:tblPr>
                              <w:tblW w:w="0" w:type="auto"/>
                              <w:jc w:val="center"/>
                              <w:tblCellMar>
                                <w:left w:w="28" w:type="dxa"/>
                                <w:right w:w="28" w:type="dxa"/>
                              </w:tblCellMar>
                              <w:tblLook w:val="04A0" w:firstRow="1" w:lastRow="0" w:firstColumn="1" w:lastColumn="0" w:noHBand="0" w:noVBand="1"/>
                            </w:tblPr>
                            <w:tblGrid>
                              <w:gridCol w:w="1856"/>
                              <w:gridCol w:w="805"/>
                              <w:gridCol w:w="807"/>
                              <w:gridCol w:w="807"/>
                              <w:gridCol w:w="807"/>
                              <w:gridCol w:w="807"/>
                            </w:tblGrid>
                            <w:tr w:rsidR="00CE57F9" w:rsidRPr="00A9462E" w14:paraId="0074E1BC" w14:textId="77777777" w:rsidTr="00F72E6D">
                              <w:trPr>
                                <w:trHeight w:val="340"/>
                                <w:jc w:val="center"/>
                              </w:trPr>
                              <w:tc>
                                <w:tcPr>
                                  <w:tcW w:w="0" w:type="auto"/>
                                  <w:gridSpan w:val="6"/>
                                  <w:tcBorders>
                                    <w:bottom w:val="single" w:sz="4" w:space="0" w:color="auto"/>
                                  </w:tcBorders>
                                  <w:shd w:val="clear" w:color="auto" w:fill="auto"/>
                                  <w:noWrap/>
                                  <w:vAlign w:val="center"/>
                                  <w:hideMark/>
                                </w:tcPr>
                                <w:p w14:paraId="21228FC6" w14:textId="75548F55" w:rsidR="00CE57F9" w:rsidRDefault="00CE57F9" w:rsidP="00F72E6D">
                                  <w:pPr>
                                    <w:widowControl/>
                                    <w:jc w:val="center"/>
                                    <w:rPr>
                                      <w:rFonts w:ascii="標楷體" w:eastAsia="標楷體" w:hAnsi="標楷體" w:cs="新細明體"/>
                                      <w:b/>
                                      <w:color w:val="000000"/>
                                      <w:kern w:val="0"/>
                                      <w:szCs w:val="28"/>
                                    </w:rPr>
                                  </w:pPr>
                                  <w:r w:rsidRPr="00AC4718">
                                    <w:rPr>
                                      <w:rFonts w:ascii="標楷體" w:eastAsia="標楷體" w:hAnsi="標楷體" w:cs="新細明體" w:hint="eastAsia"/>
                                      <w:b/>
                                      <w:color w:val="000000"/>
                                      <w:kern w:val="0"/>
                                      <w:szCs w:val="28"/>
                                    </w:rPr>
                                    <w:t>表</w:t>
                                  </w:r>
                                  <w:r>
                                    <w:rPr>
                                      <w:rFonts w:ascii="標楷體" w:eastAsia="標楷體" w:hAnsi="標楷體" w:cs="新細明體"/>
                                      <w:b/>
                                      <w:color w:val="000000"/>
                                      <w:kern w:val="0"/>
                                      <w:szCs w:val="28"/>
                                    </w:rPr>
                                    <w:t>23</w:t>
                                  </w:r>
                                  <w:r w:rsidRPr="00240108">
                                    <w:rPr>
                                      <w:rFonts w:ascii="標楷體" w:eastAsia="標楷體" w:hAnsi="標楷體" w:cs="新細明體" w:hint="eastAsia"/>
                                      <w:b/>
                                      <w:color w:val="000000"/>
                                      <w:kern w:val="0"/>
                                      <w:szCs w:val="28"/>
                                    </w:rPr>
                                    <w:t xml:space="preserve">　</w:t>
                                  </w:r>
                                  <w:r w:rsidRPr="00AC4718">
                                    <w:rPr>
                                      <w:rFonts w:ascii="標楷體" w:eastAsia="標楷體" w:hAnsi="標楷體" w:cs="新細明體" w:hint="eastAsia"/>
                                      <w:b/>
                                      <w:color w:val="000000"/>
                                      <w:kern w:val="0"/>
                                      <w:szCs w:val="28"/>
                                    </w:rPr>
                                    <w:t>政府網站檢核系統使用情形</w:t>
                                  </w:r>
                                </w:p>
                                <w:p w14:paraId="45F26E0E" w14:textId="77777777" w:rsidR="00CE57F9" w:rsidRPr="00A9462E" w:rsidRDefault="00CE57F9" w:rsidP="00F72E6D">
                                  <w:pPr>
                                    <w:widowControl/>
                                    <w:spacing w:line="300" w:lineRule="exact"/>
                                    <w:jc w:val="right"/>
                                    <w:rPr>
                                      <w:rFonts w:ascii="標楷體" w:eastAsia="標楷體" w:hAnsi="標楷體" w:cs="新細明體"/>
                                      <w:b/>
                                      <w:color w:val="000000"/>
                                      <w:kern w:val="0"/>
                                      <w:sz w:val="28"/>
                                      <w:szCs w:val="28"/>
                                    </w:rPr>
                                  </w:pPr>
                                  <w:r w:rsidRPr="00A53FD1">
                                    <w:rPr>
                                      <w:rFonts w:ascii="標楷體" w:eastAsia="標楷體" w:hAnsi="標楷體" w:cs="新細明體" w:hint="eastAsia"/>
                                      <w:kern w:val="0"/>
                                      <w:sz w:val="20"/>
                                    </w:rPr>
                                    <w:t>單位：</w:t>
                                  </w:r>
                                  <w:r>
                                    <w:rPr>
                                      <w:rFonts w:ascii="標楷體" w:eastAsia="標楷體" w:hAnsi="標楷體" w:cs="新細明體" w:hint="eastAsia"/>
                                      <w:kern w:val="0"/>
                                      <w:sz w:val="20"/>
                                    </w:rPr>
                                    <w:t>個</w:t>
                                  </w:r>
                                  <w:r w:rsidRPr="00A53FD1">
                                    <w:rPr>
                                      <w:rFonts w:ascii="標楷體" w:eastAsia="標楷體" w:hAnsi="標楷體" w:cs="新細明體" w:hint="eastAsia"/>
                                      <w:kern w:val="0"/>
                                      <w:sz w:val="20"/>
                                    </w:rPr>
                                    <w:t>、</w:t>
                                  </w:r>
                                  <w:r>
                                    <w:rPr>
                                      <w:rFonts w:ascii="標楷體" w:eastAsia="標楷體" w:hAnsi="標楷體" w:cs="新細明體" w:hint="eastAsia"/>
                                      <w:kern w:val="0"/>
                                      <w:sz w:val="20"/>
                                    </w:rPr>
                                    <w:t>次</w:t>
                                  </w:r>
                                </w:p>
                              </w:tc>
                            </w:tr>
                            <w:tr w:rsidR="00CE57F9" w:rsidRPr="00A9462E" w14:paraId="18D5F614" w14:textId="77777777" w:rsidTr="000E4B6E">
                              <w:trPr>
                                <w:trHeight w:val="340"/>
                                <w:jc w:val="center"/>
                              </w:trPr>
                              <w:tc>
                                <w:tcPr>
                                  <w:tcW w:w="0" w:type="auto"/>
                                  <w:tcBorders>
                                    <w:top w:val="nil"/>
                                    <w:left w:val="single" w:sz="4" w:space="0" w:color="auto"/>
                                    <w:bottom w:val="single" w:sz="4" w:space="0" w:color="auto"/>
                                    <w:right w:val="single" w:sz="4" w:space="0" w:color="auto"/>
                                    <w:tl2br w:val="single" w:sz="4" w:space="0" w:color="auto"/>
                                  </w:tcBorders>
                                  <w:shd w:val="clear" w:color="auto" w:fill="auto"/>
                                  <w:noWrap/>
                                  <w:hideMark/>
                                </w:tcPr>
                                <w:p w14:paraId="1F04AA30" w14:textId="77777777" w:rsidR="00CE57F9" w:rsidRPr="00AC4718" w:rsidRDefault="00CE57F9" w:rsidP="00F72E6D">
                                  <w:pPr>
                                    <w:widowControl/>
                                    <w:jc w:val="right"/>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年度</w:t>
                                  </w:r>
                                </w:p>
                                <w:p w14:paraId="1101B275" w14:textId="480BA30B" w:rsidR="00CE57F9" w:rsidRPr="00840512" w:rsidRDefault="00CE57F9" w:rsidP="00F72E6D">
                                  <w:pPr>
                                    <w:widowControl/>
                                    <w:jc w:val="both"/>
                                    <w:rPr>
                                      <w:rFonts w:ascii="標楷體" w:eastAsia="標楷體" w:hAnsi="標楷體" w:cs="新細明體"/>
                                      <w:color w:val="000000"/>
                                      <w:kern w:val="0"/>
                                      <w:sz w:val="20"/>
                                    </w:rPr>
                                  </w:pPr>
                                  <w:r w:rsidRPr="00840512">
                                    <w:rPr>
                                      <w:rFonts w:ascii="標楷體" w:eastAsia="標楷體" w:hAnsi="標楷體" w:cs="新細明體" w:hint="eastAsia"/>
                                      <w:color w:val="000000"/>
                                      <w:kern w:val="0"/>
                                      <w:sz w:val="20"/>
                                    </w:rPr>
                                    <w:t>項目</w:t>
                                  </w:r>
                                </w:p>
                              </w:tc>
                              <w:tc>
                                <w:tcPr>
                                  <w:tcW w:w="805" w:type="dxa"/>
                                  <w:tcBorders>
                                    <w:top w:val="nil"/>
                                    <w:left w:val="nil"/>
                                    <w:bottom w:val="single" w:sz="4" w:space="0" w:color="auto"/>
                                    <w:right w:val="single" w:sz="4" w:space="0" w:color="auto"/>
                                  </w:tcBorders>
                                  <w:shd w:val="clear" w:color="auto" w:fill="auto"/>
                                  <w:noWrap/>
                                  <w:vAlign w:val="center"/>
                                  <w:hideMark/>
                                </w:tcPr>
                                <w:p w14:paraId="0927E845" w14:textId="77777777" w:rsidR="00CE57F9" w:rsidRPr="00AC4718" w:rsidRDefault="00CE57F9" w:rsidP="00F72E6D">
                                  <w:pPr>
                                    <w:widowControl/>
                                    <w:jc w:val="center"/>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107</w:t>
                                  </w:r>
                                </w:p>
                              </w:tc>
                              <w:tc>
                                <w:tcPr>
                                  <w:tcW w:w="807" w:type="dxa"/>
                                  <w:tcBorders>
                                    <w:top w:val="nil"/>
                                    <w:left w:val="nil"/>
                                    <w:bottom w:val="single" w:sz="4" w:space="0" w:color="auto"/>
                                    <w:right w:val="single" w:sz="4" w:space="0" w:color="auto"/>
                                  </w:tcBorders>
                                  <w:shd w:val="clear" w:color="auto" w:fill="auto"/>
                                  <w:noWrap/>
                                  <w:vAlign w:val="center"/>
                                  <w:hideMark/>
                                </w:tcPr>
                                <w:p w14:paraId="5B064BE9" w14:textId="77777777" w:rsidR="00CE57F9" w:rsidRPr="00AC4718" w:rsidRDefault="00CE57F9" w:rsidP="00F72E6D">
                                  <w:pPr>
                                    <w:widowControl/>
                                    <w:jc w:val="center"/>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108</w:t>
                                  </w:r>
                                </w:p>
                              </w:tc>
                              <w:tc>
                                <w:tcPr>
                                  <w:tcW w:w="807" w:type="dxa"/>
                                  <w:tcBorders>
                                    <w:top w:val="nil"/>
                                    <w:left w:val="nil"/>
                                    <w:bottom w:val="single" w:sz="4" w:space="0" w:color="auto"/>
                                    <w:right w:val="single" w:sz="4" w:space="0" w:color="auto"/>
                                  </w:tcBorders>
                                  <w:shd w:val="clear" w:color="auto" w:fill="auto"/>
                                  <w:noWrap/>
                                  <w:vAlign w:val="center"/>
                                  <w:hideMark/>
                                </w:tcPr>
                                <w:p w14:paraId="1B9B0B9E" w14:textId="77777777" w:rsidR="00CE57F9" w:rsidRPr="00AC4718" w:rsidRDefault="00CE57F9" w:rsidP="00F72E6D">
                                  <w:pPr>
                                    <w:widowControl/>
                                    <w:jc w:val="center"/>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109</w:t>
                                  </w:r>
                                </w:p>
                              </w:tc>
                              <w:tc>
                                <w:tcPr>
                                  <w:tcW w:w="807" w:type="dxa"/>
                                  <w:tcBorders>
                                    <w:top w:val="nil"/>
                                    <w:left w:val="nil"/>
                                    <w:bottom w:val="single" w:sz="4" w:space="0" w:color="auto"/>
                                    <w:right w:val="single" w:sz="4" w:space="0" w:color="auto"/>
                                  </w:tcBorders>
                                  <w:shd w:val="clear" w:color="auto" w:fill="auto"/>
                                  <w:noWrap/>
                                  <w:vAlign w:val="center"/>
                                  <w:hideMark/>
                                </w:tcPr>
                                <w:p w14:paraId="26195FA7" w14:textId="77777777" w:rsidR="00CE57F9" w:rsidRPr="00AC4718" w:rsidRDefault="00CE57F9" w:rsidP="00F72E6D">
                                  <w:pPr>
                                    <w:widowControl/>
                                    <w:jc w:val="center"/>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110</w:t>
                                  </w:r>
                                </w:p>
                              </w:tc>
                              <w:tc>
                                <w:tcPr>
                                  <w:tcW w:w="807" w:type="dxa"/>
                                  <w:tcBorders>
                                    <w:top w:val="nil"/>
                                    <w:left w:val="nil"/>
                                    <w:bottom w:val="single" w:sz="4" w:space="0" w:color="auto"/>
                                    <w:right w:val="single" w:sz="4" w:space="0" w:color="auto"/>
                                  </w:tcBorders>
                                  <w:shd w:val="clear" w:color="auto" w:fill="auto"/>
                                  <w:noWrap/>
                                  <w:vAlign w:val="center"/>
                                  <w:hideMark/>
                                </w:tcPr>
                                <w:p w14:paraId="36774670" w14:textId="77777777" w:rsidR="00CE57F9" w:rsidRPr="00AC4718" w:rsidRDefault="00CE57F9" w:rsidP="00F72E6D">
                                  <w:pPr>
                                    <w:widowControl/>
                                    <w:jc w:val="center"/>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111</w:t>
                                  </w:r>
                                </w:p>
                              </w:tc>
                            </w:tr>
                            <w:tr w:rsidR="00CE57F9" w:rsidRPr="00A9462E" w14:paraId="31089368" w14:textId="77777777" w:rsidTr="000E4B6E">
                              <w:trPr>
                                <w:trHeight w:val="34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34E2A5D" w14:textId="77777777" w:rsidR="00CE57F9" w:rsidRPr="00AC4718" w:rsidRDefault="00CE57F9" w:rsidP="00F72E6D">
                                  <w:pPr>
                                    <w:widowControl/>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受檢核網站數量</w:t>
                                  </w:r>
                                </w:p>
                              </w:tc>
                              <w:tc>
                                <w:tcPr>
                                  <w:tcW w:w="805" w:type="dxa"/>
                                  <w:tcBorders>
                                    <w:top w:val="nil"/>
                                    <w:left w:val="nil"/>
                                    <w:bottom w:val="single" w:sz="4" w:space="0" w:color="auto"/>
                                    <w:right w:val="single" w:sz="4" w:space="0" w:color="auto"/>
                                  </w:tcBorders>
                                  <w:shd w:val="clear" w:color="auto" w:fill="auto"/>
                                  <w:noWrap/>
                                  <w:vAlign w:val="center"/>
                                  <w:hideMark/>
                                </w:tcPr>
                                <w:p w14:paraId="48BC2E77" w14:textId="77777777" w:rsidR="00CE57F9" w:rsidRPr="00AC4718" w:rsidRDefault="00CE57F9" w:rsidP="00F72E6D">
                                  <w:pPr>
                                    <w:widowControl/>
                                    <w:jc w:val="right"/>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400</w:t>
                                  </w:r>
                                </w:p>
                              </w:tc>
                              <w:tc>
                                <w:tcPr>
                                  <w:tcW w:w="807" w:type="dxa"/>
                                  <w:tcBorders>
                                    <w:top w:val="nil"/>
                                    <w:left w:val="nil"/>
                                    <w:bottom w:val="single" w:sz="4" w:space="0" w:color="auto"/>
                                    <w:right w:val="single" w:sz="4" w:space="0" w:color="auto"/>
                                  </w:tcBorders>
                                  <w:shd w:val="clear" w:color="auto" w:fill="auto"/>
                                  <w:noWrap/>
                                  <w:vAlign w:val="center"/>
                                  <w:hideMark/>
                                </w:tcPr>
                                <w:p w14:paraId="764F6EA8" w14:textId="77777777" w:rsidR="00CE57F9" w:rsidRPr="00AC4718" w:rsidRDefault="00CE57F9" w:rsidP="00F72E6D">
                                  <w:pPr>
                                    <w:widowControl/>
                                    <w:jc w:val="right"/>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600</w:t>
                                  </w:r>
                                </w:p>
                              </w:tc>
                              <w:tc>
                                <w:tcPr>
                                  <w:tcW w:w="807" w:type="dxa"/>
                                  <w:tcBorders>
                                    <w:top w:val="nil"/>
                                    <w:left w:val="nil"/>
                                    <w:bottom w:val="single" w:sz="4" w:space="0" w:color="auto"/>
                                    <w:right w:val="single" w:sz="4" w:space="0" w:color="auto"/>
                                  </w:tcBorders>
                                  <w:shd w:val="clear" w:color="auto" w:fill="auto"/>
                                  <w:noWrap/>
                                  <w:vAlign w:val="center"/>
                                  <w:hideMark/>
                                </w:tcPr>
                                <w:p w14:paraId="605524A8" w14:textId="77777777" w:rsidR="00CE57F9" w:rsidRPr="00AC4718" w:rsidRDefault="00CE57F9" w:rsidP="00F72E6D">
                                  <w:pPr>
                                    <w:widowControl/>
                                    <w:jc w:val="right"/>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1</w:t>
                                  </w:r>
                                  <w:r w:rsidRPr="00AC4718">
                                    <w:rPr>
                                      <w:rFonts w:ascii="標楷體" w:eastAsia="標楷體" w:hAnsi="標楷體" w:cs="新細明體"/>
                                      <w:color w:val="000000"/>
                                      <w:kern w:val="0"/>
                                      <w:sz w:val="20"/>
                                    </w:rPr>
                                    <w:t>73</w:t>
                                  </w:r>
                                </w:p>
                              </w:tc>
                              <w:tc>
                                <w:tcPr>
                                  <w:tcW w:w="807" w:type="dxa"/>
                                  <w:tcBorders>
                                    <w:top w:val="nil"/>
                                    <w:left w:val="nil"/>
                                    <w:bottom w:val="single" w:sz="4" w:space="0" w:color="auto"/>
                                    <w:right w:val="single" w:sz="4" w:space="0" w:color="auto"/>
                                  </w:tcBorders>
                                  <w:shd w:val="clear" w:color="auto" w:fill="auto"/>
                                  <w:noWrap/>
                                  <w:vAlign w:val="center"/>
                                  <w:hideMark/>
                                </w:tcPr>
                                <w:p w14:paraId="3D6C2429" w14:textId="77777777" w:rsidR="00CE57F9" w:rsidRPr="00AC4718" w:rsidRDefault="00CE57F9" w:rsidP="00F72E6D">
                                  <w:pPr>
                                    <w:widowControl/>
                                    <w:jc w:val="right"/>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1</w:t>
                                  </w:r>
                                  <w:r w:rsidRPr="00AC4718">
                                    <w:rPr>
                                      <w:rFonts w:ascii="標楷體" w:eastAsia="標楷體" w:hAnsi="標楷體" w:cs="新細明體"/>
                                      <w:color w:val="000000"/>
                                      <w:kern w:val="0"/>
                                      <w:sz w:val="20"/>
                                    </w:rPr>
                                    <w:t>11</w:t>
                                  </w:r>
                                </w:p>
                              </w:tc>
                              <w:tc>
                                <w:tcPr>
                                  <w:tcW w:w="807" w:type="dxa"/>
                                  <w:tcBorders>
                                    <w:top w:val="nil"/>
                                    <w:left w:val="nil"/>
                                    <w:bottom w:val="single" w:sz="4" w:space="0" w:color="auto"/>
                                    <w:right w:val="single" w:sz="4" w:space="0" w:color="auto"/>
                                  </w:tcBorders>
                                  <w:shd w:val="clear" w:color="auto" w:fill="auto"/>
                                  <w:noWrap/>
                                  <w:vAlign w:val="center"/>
                                  <w:hideMark/>
                                </w:tcPr>
                                <w:p w14:paraId="78B41EA5" w14:textId="77777777" w:rsidR="00CE57F9" w:rsidRPr="00AC4718" w:rsidRDefault="00CE57F9" w:rsidP="00F72E6D">
                                  <w:pPr>
                                    <w:widowControl/>
                                    <w:jc w:val="right"/>
                                    <w:rPr>
                                      <w:rFonts w:ascii="標楷體" w:eastAsia="標楷體" w:hAnsi="標楷體" w:cs="新細明體"/>
                                      <w:color w:val="000000"/>
                                      <w:kern w:val="0"/>
                                      <w:sz w:val="20"/>
                                    </w:rPr>
                                  </w:pPr>
                                  <w:r w:rsidRPr="00AC4718">
                                    <w:rPr>
                                      <w:rFonts w:ascii="標楷體" w:eastAsia="標楷體" w:hAnsi="標楷體" w:cs="新細明體"/>
                                      <w:color w:val="000000"/>
                                      <w:kern w:val="0"/>
                                      <w:sz w:val="20"/>
                                    </w:rPr>
                                    <w:t>62</w:t>
                                  </w:r>
                                </w:p>
                              </w:tc>
                            </w:tr>
                            <w:tr w:rsidR="00CE57F9" w:rsidRPr="00A9462E" w14:paraId="2CF472E2" w14:textId="77777777" w:rsidTr="000E4B6E">
                              <w:trPr>
                                <w:trHeight w:val="34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0BD32D" w14:textId="77777777" w:rsidR="00CE57F9" w:rsidRPr="00AC4718" w:rsidRDefault="00CE57F9" w:rsidP="00F72E6D">
                                  <w:pPr>
                                    <w:widowControl/>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檢核系統總使用次數</w:t>
                                  </w:r>
                                </w:p>
                              </w:tc>
                              <w:tc>
                                <w:tcPr>
                                  <w:tcW w:w="805" w:type="dxa"/>
                                  <w:tcBorders>
                                    <w:top w:val="single" w:sz="4" w:space="0" w:color="auto"/>
                                    <w:left w:val="nil"/>
                                    <w:bottom w:val="single" w:sz="4" w:space="0" w:color="auto"/>
                                    <w:right w:val="single" w:sz="4" w:space="0" w:color="auto"/>
                                  </w:tcBorders>
                                  <w:shd w:val="clear" w:color="auto" w:fill="auto"/>
                                  <w:noWrap/>
                                  <w:vAlign w:val="center"/>
                                  <w:hideMark/>
                                </w:tcPr>
                                <w:p w14:paraId="2DB12962" w14:textId="77777777" w:rsidR="00CE57F9" w:rsidRPr="00AC4718" w:rsidRDefault="00CE57F9" w:rsidP="00F72E6D">
                                  <w:pPr>
                                    <w:widowControl/>
                                    <w:jc w:val="right"/>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1</w:t>
                                  </w:r>
                                  <w:r w:rsidRPr="00AC4718">
                                    <w:rPr>
                                      <w:rFonts w:ascii="標楷體" w:eastAsia="標楷體" w:hAnsi="標楷體" w:cs="新細明體"/>
                                      <w:color w:val="000000"/>
                                      <w:kern w:val="0"/>
                                      <w:sz w:val="20"/>
                                    </w:rPr>
                                    <w:t>,</w:t>
                                  </w:r>
                                  <w:r w:rsidRPr="00AC4718">
                                    <w:rPr>
                                      <w:rFonts w:ascii="標楷體" w:eastAsia="標楷體" w:hAnsi="標楷體" w:cs="新細明體" w:hint="eastAsia"/>
                                      <w:color w:val="000000"/>
                                      <w:kern w:val="0"/>
                                      <w:sz w:val="20"/>
                                    </w:rPr>
                                    <w:t>676</w:t>
                                  </w:r>
                                </w:p>
                              </w:tc>
                              <w:tc>
                                <w:tcPr>
                                  <w:tcW w:w="807" w:type="dxa"/>
                                  <w:tcBorders>
                                    <w:top w:val="single" w:sz="4" w:space="0" w:color="auto"/>
                                    <w:left w:val="nil"/>
                                    <w:bottom w:val="single" w:sz="4" w:space="0" w:color="auto"/>
                                    <w:right w:val="single" w:sz="4" w:space="0" w:color="auto"/>
                                  </w:tcBorders>
                                  <w:shd w:val="clear" w:color="auto" w:fill="auto"/>
                                  <w:noWrap/>
                                  <w:vAlign w:val="center"/>
                                  <w:hideMark/>
                                </w:tcPr>
                                <w:p w14:paraId="008D6BBF" w14:textId="77777777" w:rsidR="00CE57F9" w:rsidRPr="00AC4718" w:rsidRDefault="00CE57F9" w:rsidP="00F72E6D">
                                  <w:pPr>
                                    <w:widowControl/>
                                    <w:jc w:val="right"/>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2</w:t>
                                  </w:r>
                                  <w:r w:rsidRPr="00AC4718">
                                    <w:rPr>
                                      <w:rFonts w:ascii="標楷體" w:eastAsia="標楷體" w:hAnsi="標楷體" w:cs="新細明體"/>
                                      <w:color w:val="000000"/>
                                      <w:kern w:val="0"/>
                                      <w:sz w:val="20"/>
                                    </w:rPr>
                                    <w:t>,</w:t>
                                  </w:r>
                                  <w:r w:rsidRPr="00AC4718">
                                    <w:rPr>
                                      <w:rFonts w:ascii="標楷體" w:eastAsia="標楷體" w:hAnsi="標楷體" w:cs="新細明體" w:hint="eastAsia"/>
                                      <w:color w:val="000000"/>
                                      <w:kern w:val="0"/>
                                      <w:sz w:val="20"/>
                                    </w:rPr>
                                    <w:t>951</w:t>
                                  </w:r>
                                </w:p>
                              </w:tc>
                              <w:tc>
                                <w:tcPr>
                                  <w:tcW w:w="807" w:type="dxa"/>
                                  <w:tcBorders>
                                    <w:top w:val="single" w:sz="4" w:space="0" w:color="auto"/>
                                    <w:left w:val="nil"/>
                                    <w:bottom w:val="single" w:sz="4" w:space="0" w:color="auto"/>
                                    <w:right w:val="single" w:sz="4" w:space="0" w:color="auto"/>
                                  </w:tcBorders>
                                  <w:shd w:val="clear" w:color="auto" w:fill="auto"/>
                                  <w:noWrap/>
                                  <w:vAlign w:val="center"/>
                                  <w:hideMark/>
                                </w:tcPr>
                                <w:p w14:paraId="4C6B3B61" w14:textId="77777777" w:rsidR="00CE57F9" w:rsidRPr="00AC4718" w:rsidRDefault="00CE57F9" w:rsidP="00F72E6D">
                                  <w:pPr>
                                    <w:widowControl/>
                                    <w:jc w:val="right"/>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425</w:t>
                                  </w:r>
                                </w:p>
                              </w:tc>
                              <w:tc>
                                <w:tcPr>
                                  <w:tcW w:w="807" w:type="dxa"/>
                                  <w:tcBorders>
                                    <w:top w:val="single" w:sz="4" w:space="0" w:color="auto"/>
                                    <w:left w:val="nil"/>
                                    <w:bottom w:val="single" w:sz="4" w:space="0" w:color="auto"/>
                                    <w:right w:val="single" w:sz="4" w:space="0" w:color="auto"/>
                                  </w:tcBorders>
                                  <w:shd w:val="clear" w:color="auto" w:fill="auto"/>
                                  <w:noWrap/>
                                  <w:vAlign w:val="center"/>
                                  <w:hideMark/>
                                </w:tcPr>
                                <w:p w14:paraId="48D1CC89" w14:textId="77777777" w:rsidR="00CE57F9" w:rsidRPr="00AC4718" w:rsidRDefault="00CE57F9" w:rsidP="00F72E6D">
                                  <w:pPr>
                                    <w:widowControl/>
                                    <w:jc w:val="right"/>
                                    <w:rPr>
                                      <w:rFonts w:ascii="標楷體" w:eastAsia="標楷體" w:hAnsi="標楷體" w:cs="新細明體"/>
                                      <w:color w:val="000000"/>
                                      <w:kern w:val="0"/>
                                      <w:sz w:val="20"/>
                                    </w:rPr>
                                  </w:pPr>
                                  <w:r w:rsidRPr="00AC4718">
                                    <w:rPr>
                                      <w:rFonts w:ascii="標楷體" w:eastAsia="標楷體" w:hAnsi="標楷體" w:cs="新細明體"/>
                                      <w:color w:val="000000"/>
                                      <w:kern w:val="0"/>
                                      <w:sz w:val="20"/>
                                    </w:rPr>
                                    <w:t>342</w:t>
                                  </w:r>
                                </w:p>
                              </w:tc>
                              <w:tc>
                                <w:tcPr>
                                  <w:tcW w:w="807" w:type="dxa"/>
                                  <w:tcBorders>
                                    <w:top w:val="single" w:sz="4" w:space="0" w:color="auto"/>
                                    <w:left w:val="nil"/>
                                    <w:bottom w:val="single" w:sz="4" w:space="0" w:color="auto"/>
                                    <w:right w:val="single" w:sz="4" w:space="0" w:color="auto"/>
                                  </w:tcBorders>
                                  <w:shd w:val="clear" w:color="auto" w:fill="auto"/>
                                  <w:noWrap/>
                                  <w:vAlign w:val="center"/>
                                  <w:hideMark/>
                                </w:tcPr>
                                <w:p w14:paraId="33A06FF9" w14:textId="77777777" w:rsidR="00CE57F9" w:rsidRPr="00AC4718" w:rsidRDefault="00CE57F9" w:rsidP="00F72E6D">
                                  <w:pPr>
                                    <w:widowControl/>
                                    <w:jc w:val="right"/>
                                    <w:rPr>
                                      <w:rFonts w:ascii="標楷體" w:eastAsia="標楷體" w:hAnsi="標楷體" w:cs="新細明體"/>
                                      <w:color w:val="000000"/>
                                      <w:kern w:val="0"/>
                                      <w:sz w:val="20"/>
                                    </w:rPr>
                                  </w:pPr>
                                  <w:r w:rsidRPr="00AC4718">
                                    <w:rPr>
                                      <w:rFonts w:ascii="標楷體" w:eastAsia="標楷體" w:hAnsi="標楷體" w:cs="新細明體"/>
                                      <w:color w:val="000000"/>
                                      <w:kern w:val="0"/>
                                      <w:sz w:val="20"/>
                                    </w:rPr>
                                    <w:t>163</w:t>
                                  </w:r>
                                </w:p>
                              </w:tc>
                            </w:tr>
                          </w:tbl>
                          <w:p w14:paraId="5DA39E76" w14:textId="77777777" w:rsidR="00CE57F9" w:rsidRPr="00AC4718" w:rsidRDefault="00CE57F9" w:rsidP="000E4B6E">
                            <w:pPr>
                              <w:adjustRightInd w:val="0"/>
                              <w:snapToGrid w:val="0"/>
                              <w:spacing w:line="200" w:lineRule="exact"/>
                              <w:rPr>
                                <w:rFonts w:ascii="標楷體" w:eastAsia="標楷體" w:hAnsi="標楷體"/>
                                <w:sz w:val="18"/>
                              </w:rPr>
                            </w:pPr>
                            <w:r w:rsidRPr="00AC4718">
                              <w:rPr>
                                <w:rFonts w:ascii="標楷體" w:eastAsia="標楷體" w:hAnsi="標楷體" w:hint="eastAsia"/>
                                <w:sz w:val="18"/>
                              </w:rPr>
                              <w:t>註：1</w:t>
                            </w:r>
                            <w:r w:rsidRPr="00AC4718">
                              <w:rPr>
                                <w:rFonts w:ascii="標楷體" w:eastAsia="標楷體" w:hAnsi="標楷體"/>
                                <w:sz w:val="18"/>
                              </w:rPr>
                              <w:t>.</w:t>
                            </w:r>
                            <w:r w:rsidRPr="00AC4718">
                              <w:rPr>
                                <w:rFonts w:ascii="標楷體" w:eastAsia="標楷體" w:hAnsi="標楷體" w:hint="eastAsia"/>
                                <w:sz w:val="18"/>
                              </w:rPr>
                              <w:t>資料來源：整理自數位</w:t>
                            </w:r>
                            <w:r>
                              <w:rPr>
                                <w:rFonts w:ascii="標楷體" w:eastAsia="標楷體" w:hAnsi="標楷體" w:hint="eastAsia"/>
                                <w:sz w:val="18"/>
                              </w:rPr>
                              <w:t>發展</w:t>
                            </w:r>
                            <w:r w:rsidRPr="00AC4718">
                              <w:rPr>
                                <w:rFonts w:ascii="標楷體" w:eastAsia="標楷體" w:hAnsi="標楷體" w:hint="eastAsia"/>
                                <w:sz w:val="18"/>
                              </w:rPr>
                              <w:t>部提供資料。</w:t>
                            </w:r>
                          </w:p>
                          <w:p w14:paraId="08833D75" w14:textId="14F33FE3" w:rsidR="00CE57F9" w:rsidRPr="008C51FA" w:rsidRDefault="00CE57F9" w:rsidP="000E4B6E">
                            <w:pPr>
                              <w:spacing w:line="200" w:lineRule="exact"/>
                              <w:ind w:leftChars="150" w:left="540" w:hangingChars="100" w:hanging="180"/>
                            </w:pPr>
                            <w:r w:rsidRPr="00AC4718">
                              <w:rPr>
                                <w:rFonts w:ascii="標楷體" w:eastAsia="標楷體" w:hAnsi="標楷體"/>
                                <w:sz w:val="18"/>
                              </w:rPr>
                              <w:t>2.107</w:t>
                            </w:r>
                            <w:r w:rsidRPr="00AC4718">
                              <w:rPr>
                                <w:rFonts w:ascii="標楷體" w:eastAsia="標楷體" w:hAnsi="標楷體" w:hint="eastAsia"/>
                                <w:sz w:val="18"/>
                              </w:rPr>
                              <w:t>及108年度數據摘自「111年度跨域服務再造及網路參與計畫」</w:t>
                            </w:r>
                            <w:r>
                              <w:rPr>
                                <w:rFonts w:ascii="標楷體" w:eastAsia="標楷體" w:hAnsi="標楷體" w:hint="eastAsia"/>
                                <w:sz w:val="18"/>
                              </w:rPr>
                              <w:t>先期計畫書</w:t>
                            </w:r>
                            <w:r>
                              <w:rPr>
                                <w:rFonts w:ascii="標楷體" w:eastAsia="標楷體" w:hAnsi="標楷體"/>
                                <w:sz w:val="18"/>
                              </w:rPr>
                              <w:t>。</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9B8AF34" id="_x0000_s1140" type="#_x0000_t202" style="position:absolute;left:0;text-align:left;margin-left:190.95pt;margin-top:202.9pt;width:304.75pt;height:130.55pt;z-index:-251678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" filled="f" stroked="f">
                <v:textbox>
                  <w:txbxContent>
                    <w:tbl>
                      <w:tblPr>
                        <w:tblW w:w="0" w:type="auto"/>
                        <w:jc w:val="center"/>
                        <w:tblCellMar>
                          <w:left w:w="28" w:type="dxa"/>
                          <w:right w:w="28" w:type="dxa"/>
                        </w:tblCellMar>
                        <w:tblLook w:val="04A0" w:firstRow="1" w:lastRow="0" w:firstColumn="1" w:lastColumn="0" w:noHBand="0" w:noVBand="1"/>
                      </w:tblPr>
                      <w:tblGrid>
                        <w:gridCol w:w="1856"/>
                        <w:gridCol w:w="805"/>
                        <w:gridCol w:w="807"/>
                        <w:gridCol w:w="807"/>
                        <w:gridCol w:w="807"/>
                        <w:gridCol w:w="807"/>
                      </w:tblGrid>
                      <w:tr w:rsidR="00CE57F9" w:rsidRPr="00A9462E" w14:paraId="0074E1BC" w14:textId="77777777" w:rsidTr="00F72E6D">
                        <w:trPr>
                          <w:trHeight w:val="340"/>
                          <w:jc w:val="center"/>
                        </w:trPr>
                        <w:tc>
                          <w:tcPr>
                            <w:tcW w:w="0" w:type="auto"/>
                            <w:gridSpan w:val="6"/>
                            <w:tcBorders>
                              <w:bottom w:val="single" w:sz="4" w:space="0" w:color="auto"/>
                            </w:tcBorders>
                            <w:shd w:val="clear" w:color="auto" w:fill="auto"/>
                            <w:noWrap/>
                            <w:vAlign w:val="center"/>
                            <w:hideMark/>
                          </w:tcPr>
                          <w:p w14:paraId="21228FC6" w14:textId="75548F55" w:rsidR="00CE57F9" w:rsidRDefault="00CE57F9" w:rsidP="00F72E6D">
                            <w:pPr>
                              <w:widowControl/>
                              <w:jc w:val="center"/>
                              <w:rPr>
                                <w:rFonts w:ascii="標楷體" w:eastAsia="標楷體" w:hAnsi="標楷體" w:cs="新細明體"/>
                                <w:b/>
                                <w:color w:val="000000"/>
                                <w:kern w:val="0"/>
                                <w:szCs w:val="28"/>
                              </w:rPr>
                            </w:pPr>
                            <w:r w:rsidRPr="00AC4718">
                              <w:rPr>
                                <w:rFonts w:ascii="標楷體" w:eastAsia="標楷體" w:hAnsi="標楷體" w:cs="新細明體" w:hint="eastAsia"/>
                                <w:b/>
                                <w:color w:val="000000"/>
                                <w:kern w:val="0"/>
                                <w:szCs w:val="28"/>
                              </w:rPr>
                              <w:t>表</w:t>
                            </w:r>
                            <w:r>
                              <w:rPr>
                                <w:rFonts w:ascii="標楷體" w:eastAsia="標楷體" w:hAnsi="標楷體" w:cs="新細明體"/>
                                <w:b/>
                                <w:color w:val="000000"/>
                                <w:kern w:val="0"/>
                                <w:szCs w:val="28"/>
                              </w:rPr>
                              <w:t>23</w:t>
                            </w:r>
                            <w:r w:rsidRPr="00240108">
                              <w:rPr>
                                <w:rFonts w:ascii="標楷體" w:eastAsia="標楷體" w:hAnsi="標楷體" w:cs="新細明體" w:hint="eastAsia"/>
                                <w:b/>
                                <w:color w:val="000000"/>
                                <w:kern w:val="0"/>
                                <w:szCs w:val="28"/>
                              </w:rPr>
                              <w:t xml:space="preserve">　</w:t>
                            </w:r>
                            <w:r w:rsidRPr="00AC4718">
                              <w:rPr>
                                <w:rFonts w:ascii="標楷體" w:eastAsia="標楷體" w:hAnsi="標楷體" w:cs="新細明體" w:hint="eastAsia"/>
                                <w:b/>
                                <w:color w:val="000000"/>
                                <w:kern w:val="0"/>
                                <w:szCs w:val="28"/>
                              </w:rPr>
                              <w:t>政府網站檢核系統使用情形</w:t>
                            </w:r>
                          </w:p>
                          <w:p w14:paraId="45F26E0E" w14:textId="77777777" w:rsidR="00CE57F9" w:rsidRPr="00A9462E" w:rsidRDefault="00CE57F9" w:rsidP="00F72E6D">
                            <w:pPr>
                              <w:widowControl/>
                              <w:spacing w:line="300" w:lineRule="exact"/>
                              <w:jc w:val="right"/>
                              <w:rPr>
                                <w:rFonts w:ascii="標楷體" w:eastAsia="標楷體" w:hAnsi="標楷體" w:cs="新細明體"/>
                                <w:b/>
                                <w:color w:val="000000"/>
                                <w:kern w:val="0"/>
                                <w:sz w:val="28"/>
                                <w:szCs w:val="28"/>
                              </w:rPr>
                            </w:pPr>
                            <w:r w:rsidRPr="00A53FD1">
                              <w:rPr>
                                <w:rFonts w:ascii="標楷體" w:eastAsia="標楷體" w:hAnsi="標楷體" w:cs="新細明體" w:hint="eastAsia"/>
                                <w:kern w:val="0"/>
                                <w:sz w:val="20"/>
                              </w:rPr>
                              <w:t>單位：</w:t>
                            </w:r>
                            <w:r>
                              <w:rPr>
                                <w:rFonts w:ascii="標楷體" w:eastAsia="標楷體" w:hAnsi="標楷體" w:cs="新細明體" w:hint="eastAsia"/>
                                <w:kern w:val="0"/>
                                <w:sz w:val="20"/>
                              </w:rPr>
                              <w:t>個</w:t>
                            </w:r>
                            <w:r w:rsidRPr="00A53FD1">
                              <w:rPr>
                                <w:rFonts w:ascii="標楷體" w:eastAsia="標楷體" w:hAnsi="標楷體" w:cs="新細明體" w:hint="eastAsia"/>
                                <w:kern w:val="0"/>
                                <w:sz w:val="20"/>
                              </w:rPr>
                              <w:t>、</w:t>
                            </w:r>
                            <w:r>
                              <w:rPr>
                                <w:rFonts w:ascii="標楷體" w:eastAsia="標楷體" w:hAnsi="標楷體" w:cs="新細明體" w:hint="eastAsia"/>
                                <w:kern w:val="0"/>
                                <w:sz w:val="20"/>
                              </w:rPr>
                              <w:t>次</w:t>
                            </w:r>
                          </w:p>
                        </w:tc>
                      </w:tr>
                      <w:tr w:rsidR="00CE57F9" w:rsidRPr="00A9462E" w14:paraId="18D5F614" w14:textId="77777777" w:rsidTr="000E4B6E">
                        <w:trPr>
                          <w:trHeight w:val="340"/>
                          <w:jc w:val="center"/>
                        </w:trPr>
                        <w:tc>
                          <w:tcPr>
                            <w:tcW w:w="0" w:type="auto"/>
                            <w:tcBorders>
                              <w:top w:val="nil"/>
                              <w:left w:val="single" w:sz="4" w:space="0" w:color="auto"/>
                              <w:bottom w:val="single" w:sz="4" w:space="0" w:color="auto"/>
                              <w:right w:val="single" w:sz="4" w:space="0" w:color="auto"/>
                              <w:tl2br w:val="single" w:sz="4" w:space="0" w:color="auto"/>
                            </w:tcBorders>
                            <w:shd w:val="clear" w:color="auto" w:fill="auto"/>
                            <w:noWrap/>
                            <w:hideMark/>
                          </w:tcPr>
                          <w:p w14:paraId="1F04AA30" w14:textId="77777777" w:rsidR="00CE57F9" w:rsidRPr="00AC4718" w:rsidRDefault="00CE57F9" w:rsidP="00F72E6D">
                            <w:pPr>
                              <w:widowControl/>
                              <w:jc w:val="right"/>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年度</w:t>
                            </w:r>
                          </w:p>
                          <w:p w14:paraId="1101B275" w14:textId="480BA30B" w:rsidR="00CE57F9" w:rsidRPr="00840512" w:rsidRDefault="00CE57F9" w:rsidP="00F72E6D">
                            <w:pPr>
                              <w:widowControl/>
                              <w:jc w:val="both"/>
                              <w:rPr>
                                <w:rFonts w:ascii="標楷體" w:eastAsia="標楷體" w:hAnsi="標楷體" w:cs="新細明體"/>
                                <w:color w:val="000000"/>
                                <w:kern w:val="0"/>
                                <w:sz w:val="20"/>
                              </w:rPr>
                            </w:pPr>
                            <w:r w:rsidRPr="00840512">
                              <w:rPr>
                                <w:rFonts w:ascii="標楷體" w:eastAsia="標楷體" w:hAnsi="標楷體" w:cs="新細明體" w:hint="eastAsia"/>
                                <w:color w:val="000000"/>
                                <w:kern w:val="0"/>
                                <w:sz w:val="20"/>
                              </w:rPr>
                              <w:t>項目</w:t>
                            </w:r>
                          </w:p>
                        </w:tc>
                        <w:tc>
                          <w:tcPr>
                            <w:tcW w:w="805" w:type="dxa"/>
                            <w:tcBorders>
                              <w:top w:val="nil"/>
                              <w:left w:val="nil"/>
                              <w:bottom w:val="single" w:sz="4" w:space="0" w:color="auto"/>
                              <w:right w:val="single" w:sz="4" w:space="0" w:color="auto"/>
                            </w:tcBorders>
                            <w:shd w:val="clear" w:color="auto" w:fill="auto"/>
                            <w:noWrap/>
                            <w:vAlign w:val="center"/>
                            <w:hideMark/>
                          </w:tcPr>
                          <w:p w14:paraId="0927E845" w14:textId="77777777" w:rsidR="00CE57F9" w:rsidRPr="00AC4718" w:rsidRDefault="00CE57F9" w:rsidP="00F72E6D">
                            <w:pPr>
                              <w:widowControl/>
                              <w:jc w:val="center"/>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107</w:t>
                            </w:r>
                          </w:p>
                        </w:tc>
                        <w:tc>
                          <w:tcPr>
                            <w:tcW w:w="807" w:type="dxa"/>
                            <w:tcBorders>
                              <w:top w:val="nil"/>
                              <w:left w:val="nil"/>
                              <w:bottom w:val="single" w:sz="4" w:space="0" w:color="auto"/>
                              <w:right w:val="single" w:sz="4" w:space="0" w:color="auto"/>
                            </w:tcBorders>
                            <w:shd w:val="clear" w:color="auto" w:fill="auto"/>
                            <w:noWrap/>
                            <w:vAlign w:val="center"/>
                            <w:hideMark/>
                          </w:tcPr>
                          <w:p w14:paraId="5B064BE9" w14:textId="77777777" w:rsidR="00CE57F9" w:rsidRPr="00AC4718" w:rsidRDefault="00CE57F9" w:rsidP="00F72E6D">
                            <w:pPr>
                              <w:widowControl/>
                              <w:jc w:val="center"/>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108</w:t>
                            </w:r>
                          </w:p>
                        </w:tc>
                        <w:tc>
                          <w:tcPr>
                            <w:tcW w:w="807" w:type="dxa"/>
                            <w:tcBorders>
                              <w:top w:val="nil"/>
                              <w:left w:val="nil"/>
                              <w:bottom w:val="single" w:sz="4" w:space="0" w:color="auto"/>
                              <w:right w:val="single" w:sz="4" w:space="0" w:color="auto"/>
                            </w:tcBorders>
                            <w:shd w:val="clear" w:color="auto" w:fill="auto"/>
                            <w:noWrap/>
                            <w:vAlign w:val="center"/>
                            <w:hideMark/>
                          </w:tcPr>
                          <w:p w14:paraId="1B9B0B9E" w14:textId="77777777" w:rsidR="00CE57F9" w:rsidRPr="00AC4718" w:rsidRDefault="00CE57F9" w:rsidP="00F72E6D">
                            <w:pPr>
                              <w:widowControl/>
                              <w:jc w:val="center"/>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109</w:t>
                            </w:r>
                          </w:p>
                        </w:tc>
                        <w:tc>
                          <w:tcPr>
                            <w:tcW w:w="807" w:type="dxa"/>
                            <w:tcBorders>
                              <w:top w:val="nil"/>
                              <w:left w:val="nil"/>
                              <w:bottom w:val="single" w:sz="4" w:space="0" w:color="auto"/>
                              <w:right w:val="single" w:sz="4" w:space="0" w:color="auto"/>
                            </w:tcBorders>
                            <w:shd w:val="clear" w:color="auto" w:fill="auto"/>
                            <w:noWrap/>
                            <w:vAlign w:val="center"/>
                            <w:hideMark/>
                          </w:tcPr>
                          <w:p w14:paraId="26195FA7" w14:textId="77777777" w:rsidR="00CE57F9" w:rsidRPr="00AC4718" w:rsidRDefault="00CE57F9" w:rsidP="00F72E6D">
                            <w:pPr>
                              <w:widowControl/>
                              <w:jc w:val="center"/>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110</w:t>
                            </w:r>
                          </w:p>
                        </w:tc>
                        <w:tc>
                          <w:tcPr>
                            <w:tcW w:w="807" w:type="dxa"/>
                            <w:tcBorders>
                              <w:top w:val="nil"/>
                              <w:left w:val="nil"/>
                              <w:bottom w:val="single" w:sz="4" w:space="0" w:color="auto"/>
                              <w:right w:val="single" w:sz="4" w:space="0" w:color="auto"/>
                            </w:tcBorders>
                            <w:shd w:val="clear" w:color="auto" w:fill="auto"/>
                            <w:noWrap/>
                            <w:vAlign w:val="center"/>
                            <w:hideMark/>
                          </w:tcPr>
                          <w:p w14:paraId="36774670" w14:textId="77777777" w:rsidR="00CE57F9" w:rsidRPr="00AC4718" w:rsidRDefault="00CE57F9" w:rsidP="00F72E6D">
                            <w:pPr>
                              <w:widowControl/>
                              <w:jc w:val="center"/>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111</w:t>
                            </w:r>
                          </w:p>
                        </w:tc>
                      </w:tr>
                      <w:tr w:rsidR="00CE57F9" w:rsidRPr="00A9462E" w14:paraId="31089368" w14:textId="77777777" w:rsidTr="000E4B6E">
                        <w:trPr>
                          <w:trHeight w:val="34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34E2A5D" w14:textId="77777777" w:rsidR="00CE57F9" w:rsidRPr="00AC4718" w:rsidRDefault="00CE57F9" w:rsidP="00F72E6D">
                            <w:pPr>
                              <w:widowControl/>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受檢核網站數量</w:t>
                            </w:r>
                          </w:p>
                        </w:tc>
                        <w:tc>
                          <w:tcPr>
                            <w:tcW w:w="805" w:type="dxa"/>
                            <w:tcBorders>
                              <w:top w:val="nil"/>
                              <w:left w:val="nil"/>
                              <w:bottom w:val="single" w:sz="4" w:space="0" w:color="auto"/>
                              <w:right w:val="single" w:sz="4" w:space="0" w:color="auto"/>
                            </w:tcBorders>
                            <w:shd w:val="clear" w:color="auto" w:fill="auto"/>
                            <w:noWrap/>
                            <w:vAlign w:val="center"/>
                            <w:hideMark/>
                          </w:tcPr>
                          <w:p w14:paraId="48BC2E77" w14:textId="77777777" w:rsidR="00CE57F9" w:rsidRPr="00AC4718" w:rsidRDefault="00CE57F9" w:rsidP="00F72E6D">
                            <w:pPr>
                              <w:widowControl/>
                              <w:jc w:val="right"/>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400</w:t>
                            </w:r>
                          </w:p>
                        </w:tc>
                        <w:tc>
                          <w:tcPr>
                            <w:tcW w:w="807" w:type="dxa"/>
                            <w:tcBorders>
                              <w:top w:val="nil"/>
                              <w:left w:val="nil"/>
                              <w:bottom w:val="single" w:sz="4" w:space="0" w:color="auto"/>
                              <w:right w:val="single" w:sz="4" w:space="0" w:color="auto"/>
                            </w:tcBorders>
                            <w:shd w:val="clear" w:color="auto" w:fill="auto"/>
                            <w:noWrap/>
                            <w:vAlign w:val="center"/>
                            <w:hideMark/>
                          </w:tcPr>
                          <w:p w14:paraId="764F6EA8" w14:textId="77777777" w:rsidR="00CE57F9" w:rsidRPr="00AC4718" w:rsidRDefault="00CE57F9" w:rsidP="00F72E6D">
                            <w:pPr>
                              <w:widowControl/>
                              <w:jc w:val="right"/>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600</w:t>
                            </w:r>
                          </w:p>
                        </w:tc>
                        <w:tc>
                          <w:tcPr>
                            <w:tcW w:w="807" w:type="dxa"/>
                            <w:tcBorders>
                              <w:top w:val="nil"/>
                              <w:left w:val="nil"/>
                              <w:bottom w:val="single" w:sz="4" w:space="0" w:color="auto"/>
                              <w:right w:val="single" w:sz="4" w:space="0" w:color="auto"/>
                            </w:tcBorders>
                            <w:shd w:val="clear" w:color="auto" w:fill="auto"/>
                            <w:noWrap/>
                            <w:vAlign w:val="center"/>
                            <w:hideMark/>
                          </w:tcPr>
                          <w:p w14:paraId="605524A8" w14:textId="77777777" w:rsidR="00CE57F9" w:rsidRPr="00AC4718" w:rsidRDefault="00CE57F9" w:rsidP="00F72E6D">
                            <w:pPr>
                              <w:widowControl/>
                              <w:jc w:val="right"/>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1</w:t>
                            </w:r>
                            <w:r w:rsidRPr="00AC4718">
                              <w:rPr>
                                <w:rFonts w:ascii="標楷體" w:eastAsia="標楷體" w:hAnsi="標楷體" w:cs="新細明體"/>
                                <w:color w:val="000000"/>
                                <w:kern w:val="0"/>
                                <w:sz w:val="20"/>
                              </w:rPr>
                              <w:t>73</w:t>
                            </w:r>
                          </w:p>
                        </w:tc>
                        <w:tc>
                          <w:tcPr>
                            <w:tcW w:w="807" w:type="dxa"/>
                            <w:tcBorders>
                              <w:top w:val="nil"/>
                              <w:left w:val="nil"/>
                              <w:bottom w:val="single" w:sz="4" w:space="0" w:color="auto"/>
                              <w:right w:val="single" w:sz="4" w:space="0" w:color="auto"/>
                            </w:tcBorders>
                            <w:shd w:val="clear" w:color="auto" w:fill="auto"/>
                            <w:noWrap/>
                            <w:vAlign w:val="center"/>
                            <w:hideMark/>
                          </w:tcPr>
                          <w:p w14:paraId="3D6C2429" w14:textId="77777777" w:rsidR="00CE57F9" w:rsidRPr="00AC4718" w:rsidRDefault="00CE57F9" w:rsidP="00F72E6D">
                            <w:pPr>
                              <w:widowControl/>
                              <w:jc w:val="right"/>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1</w:t>
                            </w:r>
                            <w:r w:rsidRPr="00AC4718">
                              <w:rPr>
                                <w:rFonts w:ascii="標楷體" w:eastAsia="標楷體" w:hAnsi="標楷體" w:cs="新細明體"/>
                                <w:color w:val="000000"/>
                                <w:kern w:val="0"/>
                                <w:sz w:val="20"/>
                              </w:rPr>
                              <w:t>11</w:t>
                            </w:r>
                          </w:p>
                        </w:tc>
                        <w:tc>
                          <w:tcPr>
                            <w:tcW w:w="807" w:type="dxa"/>
                            <w:tcBorders>
                              <w:top w:val="nil"/>
                              <w:left w:val="nil"/>
                              <w:bottom w:val="single" w:sz="4" w:space="0" w:color="auto"/>
                              <w:right w:val="single" w:sz="4" w:space="0" w:color="auto"/>
                            </w:tcBorders>
                            <w:shd w:val="clear" w:color="auto" w:fill="auto"/>
                            <w:noWrap/>
                            <w:vAlign w:val="center"/>
                            <w:hideMark/>
                          </w:tcPr>
                          <w:p w14:paraId="78B41EA5" w14:textId="77777777" w:rsidR="00CE57F9" w:rsidRPr="00AC4718" w:rsidRDefault="00CE57F9" w:rsidP="00F72E6D">
                            <w:pPr>
                              <w:widowControl/>
                              <w:jc w:val="right"/>
                              <w:rPr>
                                <w:rFonts w:ascii="標楷體" w:eastAsia="標楷體" w:hAnsi="標楷體" w:cs="新細明體"/>
                                <w:color w:val="000000"/>
                                <w:kern w:val="0"/>
                                <w:sz w:val="20"/>
                              </w:rPr>
                            </w:pPr>
                            <w:r w:rsidRPr="00AC4718">
                              <w:rPr>
                                <w:rFonts w:ascii="標楷體" w:eastAsia="標楷體" w:hAnsi="標楷體" w:cs="新細明體"/>
                                <w:color w:val="000000"/>
                                <w:kern w:val="0"/>
                                <w:sz w:val="20"/>
                              </w:rPr>
                              <w:t>62</w:t>
                            </w:r>
                          </w:p>
                        </w:tc>
                      </w:tr>
                      <w:tr w:rsidR="00CE57F9" w:rsidRPr="00A9462E" w14:paraId="2CF472E2" w14:textId="77777777" w:rsidTr="000E4B6E">
                        <w:trPr>
                          <w:trHeight w:val="34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0BD32D" w14:textId="77777777" w:rsidR="00CE57F9" w:rsidRPr="00AC4718" w:rsidRDefault="00CE57F9" w:rsidP="00F72E6D">
                            <w:pPr>
                              <w:widowControl/>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檢核系統總使用次數</w:t>
                            </w:r>
                          </w:p>
                        </w:tc>
                        <w:tc>
                          <w:tcPr>
                            <w:tcW w:w="805" w:type="dxa"/>
                            <w:tcBorders>
                              <w:top w:val="single" w:sz="4" w:space="0" w:color="auto"/>
                              <w:left w:val="nil"/>
                              <w:bottom w:val="single" w:sz="4" w:space="0" w:color="auto"/>
                              <w:right w:val="single" w:sz="4" w:space="0" w:color="auto"/>
                            </w:tcBorders>
                            <w:shd w:val="clear" w:color="auto" w:fill="auto"/>
                            <w:noWrap/>
                            <w:vAlign w:val="center"/>
                            <w:hideMark/>
                          </w:tcPr>
                          <w:p w14:paraId="2DB12962" w14:textId="77777777" w:rsidR="00CE57F9" w:rsidRPr="00AC4718" w:rsidRDefault="00CE57F9" w:rsidP="00F72E6D">
                            <w:pPr>
                              <w:widowControl/>
                              <w:jc w:val="right"/>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1</w:t>
                            </w:r>
                            <w:r w:rsidRPr="00AC4718">
                              <w:rPr>
                                <w:rFonts w:ascii="標楷體" w:eastAsia="標楷體" w:hAnsi="標楷體" w:cs="新細明體"/>
                                <w:color w:val="000000"/>
                                <w:kern w:val="0"/>
                                <w:sz w:val="20"/>
                              </w:rPr>
                              <w:t>,</w:t>
                            </w:r>
                            <w:r w:rsidRPr="00AC4718">
                              <w:rPr>
                                <w:rFonts w:ascii="標楷體" w:eastAsia="標楷體" w:hAnsi="標楷體" w:cs="新細明體" w:hint="eastAsia"/>
                                <w:color w:val="000000"/>
                                <w:kern w:val="0"/>
                                <w:sz w:val="20"/>
                              </w:rPr>
                              <w:t>676</w:t>
                            </w:r>
                          </w:p>
                        </w:tc>
                        <w:tc>
                          <w:tcPr>
                            <w:tcW w:w="807" w:type="dxa"/>
                            <w:tcBorders>
                              <w:top w:val="single" w:sz="4" w:space="0" w:color="auto"/>
                              <w:left w:val="nil"/>
                              <w:bottom w:val="single" w:sz="4" w:space="0" w:color="auto"/>
                              <w:right w:val="single" w:sz="4" w:space="0" w:color="auto"/>
                            </w:tcBorders>
                            <w:shd w:val="clear" w:color="auto" w:fill="auto"/>
                            <w:noWrap/>
                            <w:vAlign w:val="center"/>
                            <w:hideMark/>
                          </w:tcPr>
                          <w:p w14:paraId="008D6BBF" w14:textId="77777777" w:rsidR="00CE57F9" w:rsidRPr="00AC4718" w:rsidRDefault="00CE57F9" w:rsidP="00F72E6D">
                            <w:pPr>
                              <w:widowControl/>
                              <w:jc w:val="right"/>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2</w:t>
                            </w:r>
                            <w:r w:rsidRPr="00AC4718">
                              <w:rPr>
                                <w:rFonts w:ascii="標楷體" w:eastAsia="標楷體" w:hAnsi="標楷體" w:cs="新細明體"/>
                                <w:color w:val="000000"/>
                                <w:kern w:val="0"/>
                                <w:sz w:val="20"/>
                              </w:rPr>
                              <w:t>,</w:t>
                            </w:r>
                            <w:r w:rsidRPr="00AC4718">
                              <w:rPr>
                                <w:rFonts w:ascii="標楷體" w:eastAsia="標楷體" w:hAnsi="標楷體" w:cs="新細明體" w:hint="eastAsia"/>
                                <w:color w:val="000000"/>
                                <w:kern w:val="0"/>
                                <w:sz w:val="20"/>
                              </w:rPr>
                              <w:t>951</w:t>
                            </w:r>
                          </w:p>
                        </w:tc>
                        <w:tc>
                          <w:tcPr>
                            <w:tcW w:w="807" w:type="dxa"/>
                            <w:tcBorders>
                              <w:top w:val="single" w:sz="4" w:space="0" w:color="auto"/>
                              <w:left w:val="nil"/>
                              <w:bottom w:val="single" w:sz="4" w:space="0" w:color="auto"/>
                              <w:right w:val="single" w:sz="4" w:space="0" w:color="auto"/>
                            </w:tcBorders>
                            <w:shd w:val="clear" w:color="auto" w:fill="auto"/>
                            <w:noWrap/>
                            <w:vAlign w:val="center"/>
                            <w:hideMark/>
                          </w:tcPr>
                          <w:p w14:paraId="4C6B3B61" w14:textId="77777777" w:rsidR="00CE57F9" w:rsidRPr="00AC4718" w:rsidRDefault="00CE57F9" w:rsidP="00F72E6D">
                            <w:pPr>
                              <w:widowControl/>
                              <w:jc w:val="right"/>
                              <w:rPr>
                                <w:rFonts w:ascii="標楷體" w:eastAsia="標楷體" w:hAnsi="標楷體" w:cs="新細明體"/>
                                <w:color w:val="000000"/>
                                <w:kern w:val="0"/>
                                <w:sz w:val="20"/>
                              </w:rPr>
                            </w:pPr>
                            <w:r w:rsidRPr="00AC4718">
                              <w:rPr>
                                <w:rFonts w:ascii="標楷體" w:eastAsia="標楷體" w:hAnsi="標楷體" w:cs="新細明體" w:hint="eastAsia"/>
                                <w:color w:val="000000"/>
                                <w:kern w:val="0"/>
                                <w:sz w:val="20"/>
                              </w:rPr>
                              <w:t>425</w:t>
                            </w:r>
                          </w:p>
                        </w:tc>
                        <w:tc>
                          <w:tcPr>
                            <w:tcW w:w="807" w:type="dxa"/>
                            <w:tcBorders>
                              <w:top w:val="single" w:sz="4" w:space="0" w:color="auto"/>
                              <w:left w:val="nil"/>
                              <w:bottom w:val="single" w:sz="4" w:space="0" w:color="auto"/>
                              <w:right w:val="single" w:sz="4" w:space="0" w:color="auto"/>
                            </w:tcBorders>
                            <w:shd w:val="clear" w:color="auto" w:fill="auto"/>
                            <w:noWrap/>
                            <w:vAlign w:val="center"/>
                            <w:hideMark/>
                          </w:tcPr>
                          <w:p w14:paraId="48D1CC89" w14:textId="77777777" w:rsidR="00CE57F9" w:rsidRPr="00AC4718" w:rsidRDefault="00CE57F9" w:rsidP="00F72E6D">
                            <w:pPr>
                              <w:widowControl/>
                              <w:jc w:val="right"/>
                              <w:rPr>
                                <w:rFonts w:ascii="標楷體" w:eastAsia="標楷體" w:hAnsi="標楷體" w:cs="新細明體"/>
                                <w:color w:val="000000"/>
                                <w:kern w:val="0"/>
                                <w:sz w:val="20"/>
                              </w:rPr>
                            </w:pPr>
                            <w:r w:rsidRPr="00AC4718">
                              <w:rPr>
                                <w:rFonts w:ascii="標楷體" w:eastAsia="標楷體" w:hAnsi="標楷體" w:cs="新細明體"/>
                                <w:color w:val="000000"/>
                                <w:kern w:val="0"/>
                                <w:sz w:val="20"/>
                              </w:rPr>
                              <w:t>342</w:t>
                            </w:r>
                          </w:p>
                        </w:tc>
                        <w:tc>
                          <w:tcPr>
                            <w:tcW w:w="807" w:type="dxa"/>
                            <w:tcBorders>
                              <w:top w:val="single" w:sz="4" w:space="0" w:color="auto"/>
                              <w:left w:val="nil"/>
                              <w:bottom w:val="single" w:sz="4" w:space="0" w:color="auto"/>
                              <w:right w:val="single" w:sz="4" w:space="0" w:color="auto"/>
                            </w:tcBorders>
                            <w:shd w:val="clear" w:color="auto" w:fill="auto"/>
                            <w:noWrap/>
                            <w:vAlign w:val="center"/>
                            <w:hideMark/>
                          </w:tcPr>
                          <w:p w14:paraId="33A06FF9" w14:textId="77777777" w:rsidR="00CE57F9" w:rsidRPr="00AC4718" w:rsidRDefault="00CE57F9" w:rsidP="00F72E6D">
                            <w:pPr>
                              <w:widowControl/>
                              <w:jc w:val="right"/>
                              <w:rPr>
                                <w:rFonts w:ascii="標楷體" w:eastAsia="標楷體" w:hAnsi="標楷體" w:cs="新細明體"/>
                                <w:color w:val="000000"/>
                                <w:kern w:val="0"/>
                                <w:sz w:val="20"/>
                              </w:rPr>
                            </w:pPr>
                            <w:r w:rsidRPr="00AC4718">
                              <w:rPr>
                                <w:rFonts w:ascii="標楷體" w:eastAsia="標楷體" w:hAnsi="標楷體" w:cs="新細明體"/>
                                <w:color w:val="000000"/>
                                <w:kern w:val="0"/>
                                <w:sz w:val="20"/>
                              </w:rPr>
                              <w:t>163</w:t>
                            </w:r>
                          </w:p>
                        </w:tc>
                      </w:tr>
                    </w:tbl>
                    <w:p w14:paraId="5DA39E76" w14:textId="77777777" w:rsidR="00CE57F9" w:rsidRPr="00AC4718" w:rsidRDefault="00CE57F9" w:rsidP="000E4B6E">
                      <w:pPr>
                        <w:adjustRightInd w:val="0"/>
                        <w:snapToGrid w:val="0"/>
                        <w:spacing w:line="200" w:lineRule="exact"/>
                        <w:rPr>
                          <w:rFonts w:ascii="標楷體" w:eastAsia="標楷體" w:hAnsi="標楷體"/>
                          <w:sz w:val="18"/>
                        </w:rPr>
                      </w:pPr>
                      <w:r w:rsidRPr="00AC4718">
                        <w:rPr>
                          <w:rFonts w:ascii="標楷體" w:eastAsia="標楷體" w:hAnsi="標楷體" w:hint="eastAsia"/>
                          <w:sz w:val="18"/>
                        </w:rPr>
                        <w:t>註：1</w:t>
                      </w:r>
                      <w:r w:rsidRPr="00AC4718">
                        <w:rPr>
                          <w:rFonts w:ascii="標楷體" w:eastAsia="標楷體" w:hAnsi="標楷體"/>
                          <w:sz w:val="18"/>
                        </w:rPr>
                        <w:t>.</w:t>
                      </w:r>
                      <w:r w:rsidRPr="00AC4718">
                        <w:rPr>
                          <w:rFonts w:ascii="標楷體" w:eastAsia="標楷體" w:hAnsi="標楷體" w:hint="eastAsia"/>
                          <w:sz w:val="18"/>
                        </w:rPr>
                        <w:t>資料來源：整理自數位</w:t>
                      </w:r>
                      <w:r>
                        <w:rPr>
                          <w:rFonts w:ascii="標楷體" w:eastAsia="標楷體" w:hAnsi="標楷體" w:hint="eastAsia"/>
                          <w:sz w:val="18"/>
                        </w:rPr>
                        <w:t>發展</w:t>
                      </w:r>
                      <w:r w:rsidRPr="00AC4718">
                        <w:rPr>
                          <w:rFonts w:ascii="標楷體" w:eastAsia="標楷體" w:hAnsi="標楷體" w:hint="eastAsia"/>
                          <w:sz w:val="18"/>
                        </w:rPr>
                        <w:t>部提供資料。</w:t>
                      </w:r>
                    </w:p>
                    <w:p w14:paraId="08833D75" w14:textId="14F33FE3" w:rsidR="00CE57F9" w:rsidRPr="008C51FA" w:rsidRDefault="00CE57F9" w:rsidP="000E4B6E">
                      <w:pPr>
                        <w:spacing w:line="200" w:lineRule="exact"/>
                        <w:ind w:leftChars="150" w:left="540" w:hangingChars="100" w:hanging="180"/>
                      </w:pPr>
                      <w:r w:rsidRPr="00AC4718">
                        <w:rPr>
                          <w:rFonts w:ascii="標楷體" w:eastAsia="標楷體" w:hAnsi="標楷體"/>
                          <w:sz w:val="18"/>
                        </w:rPr>
                        <w:t>2.107</w:t>
                      </w:r>
                      <w:r w:rsidRPr="00AC4718">
                        <w:rPr>
                          <w:rFonts w:ascii="標楷體" w:eastAsia="標楷體" w:hAnsi="標楷體" w:hint="eastAsia"/>
                          <w:sz w:val="18"/>
                        </w:rPr>
                        <w:t>及108年度數據摘自「111年度跨域服務再造及網路參與計畫」</w:t>
                      </w:r>
                      <w:r>
                        <w:rPr>
                          <w:rFonts w:ascii="標楷體" w:eastAsia="標楷體" w:hAnsi="標楷體" w:hint="eastAsia"/>
                          <w:sz w:val="18"/>
                        </w:rPr>
                        <w:t>先期計畫書</w:t>
                      </w:r>
                      <w:r>
                        <w:rPr>
                          <w:rFonts w:ascii="標楷體" w:eastAsia="標楷體" w:hAnsi="標楷體"/>
                          <w:sz w:val="18"/>
                        </w:rPr>
                        <w:t>。</w:t>
                      </w:r>
                    </w:p>
                  </w:txbxContent>
                </v:textbox>
                <w10:wrap type="square" anchorx="margin"/>
              </v:shape>
            </w:pict>
          </mc:Fallback>
        </mc:AlternateContent>
      </w:r>
      <w:r w:rsidR="00AA73AB" w:rsidRPr="00DA2751">
        <w:rPr>
          <w:rFonts w:ascii="標楷體" w:eastAsia="標楷體" w:hAnsi="標楷體" w:hint="eastAsia"/>
          <w:szCs w:val="28"/>
        </w:rPr>
        <w:t>政府為深化及擴大公共政策網路參與、提升政府網站品質及協助地方政府發展資料治理，由國家發展委員會辦理「跨域服務再造及網路參與計畫」，計畫總經費2億1,254萬餘元，計畫期程為110至114年，截至111年底止，已編列預算數8,815萬餘元，執行數7,986萬餘元。該計畫有關提升政府網站品質及協助地方政府發展資料治理業務，自111年8月27日數位發展部成立後，由該部承接辦理，其具體執行內容包含辦理數據分析與應用課程、維運「政府網站營運交流平臺」、「政府網站即時檢核系統」</w:t>
      </w:r>
      <w:r w:rsidR="00931C29">
        <w:rPr>
          <w:rFonts w:ascii="標楷體" w:eastAsia="標楷體" w:hAnsi="標楷體" w:hint="eastAsia"/>
          <w:szCs w:val="28"/>
        </w:rPr>
        <w:t>及</w:t>
      </w:r>
      <w:r w:rsidR="00AA73AB" w:rsidRPr="00DA2751">
        <w:rPr>
          <w:rFonts w:ascii="標楷體" w:eastAsia="標楷體" w:hAnsi="標楷體" w:hint="eastAsia"/>
          <w:szCs w:val="28"/>
        </w:rPr>
        <w:t>「政府網站流量儀表板」等。經查執行情形，核有：1.</w:t>
      </w:r>
      <w:r w:rsidR="00D274C2" w:rsidRPr="00DA2751">
        <w:rPr>
          <w:rFonts w:ascii="標楷體" w:eastAsia="標楷體" w:hAnsi="標楷體" w:hint="eastAsia"/>
          <w:szCs w:val="28"/>
        </w:rPr>
        <w:t>國家發展委員會</w:t>
      </w:r>
      <w:r w:rsidR="00AA73AB" w:rsidRPr="00DA2751">
        <w:rPr>
          <w:rFonts w:ascii="標楷體" w:eastAsia="標楷體" w:hAnsi="標楷體" w:hint="eastAsia"/>
          <w:szCs w:val="28"/>
        </w:rPr>
        <w:t>為提升政府網站品質，自105年起建置政府網站即時檢核系統，並依相關計畫明定每年受檢核對象及作業期程。惟自109年起改由各主管機關自主辦理檢核作業後，</w:t>
      </w:r>
      <w:r w:rsidR="00931C29">
        <w:rPr>
          <w:rFonts w:ascii="標楷體" w:eastAsia="標楷體" w:hAnsi="標楷體" w:hint="eastAsia"/>
          <w:szCs w:val="28"/>
        </w:rPr>
        <w:t>該</w:t>
      </w:r>
      <w:r w:rsidR="00D274C2" w:rsidRPr="00DA2751">
        <w:rPr>
          <w:rFonts w:ascii="標楷體" w:eastAsia="標楷體" w:hAnsi="標楷體" w:hint="eastAsia"/>
          <w:szCs w:val="28"/>
        </w:rPr>
        <w:t>會</w:t>
      </w:r>
      <w:r w:rsidR="00AA73AB" w:rsidRPr="00DA2751">
        <w:rPr>
          <w:rFonts w:ascii="標楷體" w:eastAsia="標楷體" w:hAnsi="標楷體" w:hint="eastAsia"/>
          <w:szCs w:val="28"/>
        </w:rPr>
        <w:t>雖持續精進調整檢核系統功能，並新增使用者體驗檢核類別及搜尋引擎最佳化、使用者需求調查及表單設計等多項檢核指標，檢核系統之使用次數由108年度之2,951次，下滑至111年度之163次（</w:t>
      </w:r>
      <w:r w:rsidR="00AA73AB" w:rsidRPr="00346BDD">
        <w:rPr>
          <w:rFonts w:ascii="標楷體" w:eastAsia="標楷體" w:hAnsi="標楷體" w:hint="eastAsia"/>
          <w:szCs w:val="28"/>
        </w:rPr>
        <w:t>表2</w:t>
      </w:r>
      <w:r w:rsidR="00B729E6" w:rsidRPr="00346BDD">
        <w:rPr>
          <w:rFonts w:ascii="標楷體" w:eastAsia="標楷體" w:hAnsi="標楷體" w:hint="eastAsia"/>
          <w:szCs w:val="28"/>
        </w:rPr>
        <w:t>3</w:t>
      </w:r>
      <w:r w:rsidR="00AA73AB" w:rsidRPr="00346BDD">
        <w:rPr>
          <w:rFonts w:ascii="標楷體" w:eastAsia="標楷體" w:hAnsi="標楷體" w:hint="eastAsia"/>
          <w:szCs w:val="28"/>
        </w:rPr>
        <w:t>），</w:t>
      </w:r>
      <w:r w:rsidR="00AA73AB" w:rsidRPr="00DA2751">
        <w:rPr>
          <w:rFonts w:ascii="標楷體" w:eastAsia="標楷體" w:hAnsi="標楷體" w:hint="eastAsia"/>
          <w:szCs w:val="28"/>
        </w:rPr>
        <w:t>顯示多數機關未能持續檢核機關各網站是否符合最新版之檢核指標；2.</w:t>
      </w:r>
      <w:r w:rsidR="00D274C2" w:rsidRPr="00DA2751">
        <w:rPr>
          <w:rFonts w:ascii="標楷體" w:eastAsia="標楷體" w:hAnsi="標楷體" w:hint="eastAsia"/>
          <w:szCs w:val="28"/>
        </w:rPr>
        <w:t>國家發展委員會</w:t>
      </w:r>
      <w:r w:rsidR="00AA73AB" w:rsidRPr="00DA2751">
        <w:rPr>
          <w:rFonts w:ascii="標楷體" w:eastAsia="標楷體" w:hAnsi="標楷體" w:hint="eastAsia"/>
          <w:szCs w:val="28"/>
        </w:rPr>
        <w:t>自109年起委託廠商輔導各機關導入網站易用性測試及使用者中心設計概念，以提升政府網站服務品質，惟109至111年間獲得上開輔導之網站僅95個（易用性測試80個、使用者中心設計15個），相較108年度政府網站營運績效檢核計畫之檢核名單600個，顯示現行作法尚難擴大推廣辦理導入使用者中心設計與易用性測試等情</w:t>
      </w:r>
      <w:r w:rsidR="007958CF">
        <w:rPr>
          <w:rFonts w:ascii="標楷體" w:eastAsia="標楷體" w:hAnsi="標楷體" w:hint="eastAsia"/>
          <w:szCs w:val="28"/>
        </w:rPr>
        <w:t>事</w:t>
      </w:r>
      <w:r w:rsidR="00AA73AB" w:rsidRPr="00DA2751">
        <w:rPr>
          <w:rFonts w:ascii="標楷體" w:eastAsia="標楷體" w:hAnsi="標楷體" w:hint="eastAsia"/>
          <w:szCs w:val="28"/>
        </w:rPr>
        <w:t>，經函請</w:t>
      </w:r>
      <w:r w:rsidR="002932A6" w:rsidRPr="00DA2751">
        <w:rPr>
          <w:rFonts w:ascii="標楷體" w:eastAsia="標楷體" w:hAnsi="標楷體" w:hint="eastAsia"/>
          <w:szCs w:val="28"/>
        </w:rPr>
        <w:t>數位發展部</w:t>
      </w:r>
      <w:r w:rsidR="00AA73AB" w:rsidRPr="00DA2751">
        <w:rPr>
          <w:rFonts w:ascii="標楷體" w:eastAsia="標楷體" w:hAnsi="標楷體" w:hint="eastAsia"/>
          <w:szCs w:val="28"/>
        </w:rPr>
        <w:t>檢討妥處。據復：</w:t>
      </w:r>
      <w:r w:rsidR="008510FF" w:rsidRPr="00346BDD">
        <w:rPr>
          <w:rFonts w:ascii="標楷體" w:eastAsia="標楷體" w:hAnsi="標楷體" w:hint="eastAsia"/>
          <w:szCs w:val="28"/>
        </w:rPr>
        <w:t>已參採先進民主國家政府網站品質推升策略與相關措施，著手研擬「政府網站服務品質量測與精進機制」草案，將透過易用性測試及使用者中心設計工作坊，協助機關運用網站檢核指標檢測機關網站達成必要要求之符合程度，進而評估影響服務品質之問題，以系統化方式建立網站服務品質之自我量測基準</w:t>
      </w:r>
      <w:r w:rsidR="00AA73AB" w:rsidRPr="00346BDD">
        <w:rPr>
          <w:rFonts w:ascii="標楷體" w:eastAsia="標楷體" w:hAnsi="標楷體" w:hint="eastAsia"/>
          <w:szCs w:val="28"/>
        </w:rPr>
        <w:t>。</w:t>
      </w:r>
    </w:p>
    <w:p w14:paraId="6E7512C7" w14:textId="3B96E8FF" w:rsidR="00247330" w:rsidRPr="00DA2751" w:rsidRDefault="00AA73AB" w:rsidP="00DA2751">
      <w:pPr>
        <w:pStyle w:val="2"/>
        <w:overflowPunct w:val="0"/>
        <w:spacing w:beforeLines="20" w:before="72" w:afterLines="20" w:after="72" w:line="460" w:lineRule="exact"/>
        <w:ind w:left="0" w:firstLineChars="200" w:firstLine="561"/>
        <w:rPr>
          <w:rFonts w:hAnsi="標楷體"/>
          <w:b/>
          <w:spacing w:val="-2"/>
        </w:rPr>
      </w:pPr>
      <w:r w:rsidRPr="009D11AD">
        <w:rPr>
          <w:rFonts w:hAnsi="標楷體" w:hint="eastAsia"/>
          <w:b/>
          <w:color w:val="000000" w:themeColor="text1"/>
          <w:sz w:val="28"/>
          <w:szCs w:val="28"/>
        </w:rPr>
        <w:t>（二十六）　故宮為維護文物及庫房保存環境，辦理文物安全、管理與修護計畫，惟間有文物保存方式及整理空間動線規劃欠妥，人員專業知能、法規遵循及文物安全維護控管機制尚待強化等情事，亟待研謀改善。</w:t>
      </w:r>
    </w:p>
    <w:p w14:paraId="4FA200EB" w14:textId="26680B81" w:rsidR="00AA73AB" w:rsidRPr="009D11AD" w:rsidRDefault="00AA73AB" w:rsidP="006F04AF">
      <w:pPr>
        <w:overflowPunct w:val="0"/>
        <w:snapToGrid w:val="0"/>
        <w:spacing w:line="420" w:lineRule="exact"/>
        <w:ind w:firstLineChars="200" w:firstLine="480"/>
        <w:jc w:val="both"/>
        <w:rPr>
          <w:rFonts w:ascii="標楷體" w:eastAsia="標楷體" w:hAnsi="標楷體"/>
          <w:kern w:val="0"/>
          <w:szCs w:val="24"/>
        </w:rPr>
      </w:pPr>
      <w:r w:rsidRPr="009D11AD">
        <w:rPr>
          <w:rFonts w:ascii="標楷體" w:eastAsia="標楷體" w:hAnsi="標楷體" w:hint="eastAsia"/>
          <w:kern w:val="0"/>
          <w:szCs w:val="24"/>
        </w:rPr>
        <w:t>國立故宮博物院（下稱故宮</w:t>
      </w:r>
      <w:r w:rsidRPr="009D11AD">
        <w:rPr>
          <w:rFonts w:ascii="標楷體" w:eastAsia="標楷體" w:hAnsi="標楷體"/>
          <w:kern w:val="0"/>
          <w:szCs w:val="24"/>
        </w:rPr>
        <w:t>）</w:t>
      </w:r>
      <w:r w:rsidRPr="009D11AD">
        <w:rPr>
          <w:rFonts w:ascii="標楷體" w:eastAsia="標楷體" w:hAnsi="標楷體" w:hint="eastAsia"/>
          <w:kern w:val="0"/>
          <w:szCs w:val="24"/>
        </w:rPr>
        <w:t>掌理古文物及藝術品之保管、蒐購、推廣、展覽及有關業務之研究發展等事宜，館內蒐藏以歷代古文物及藝術品為主，地方文物為輔，截至111年底止，</w:t>
      </w:r>
      <w:r w:rsidRPr="009D11AD">
        <w:rPr>
          <w:rFonts w:ascii="標楷體" w:eastAsia="標楷體" w:hAnsi="標楷體" w:hint="eastAsia"/>
          <w:kern w:val="0"/>
          <w:szCs w:val="24"/>
        </w:rPr>
        <w:lastRenderedPageBreak/>
        <w:t>其承繼政府遷臺文物圖書、歷年徵集蒐購及捐贈（永久入藏</w:t>
      </w:r>
      <w:r w:rsidRPr="009D11AD">
        <w:rPr>
          <w:rFonts w:ascii="標楷體" w:eastAsia="標楷體" w:hAnsi="標楷體"/>
          <w:kern w:val="0"/>
          <w:szCs w:val="24"/>
        </w:rPr>
        <w:t>）</w:t>
      </w:r>
      <w:r w:rsidRPr="009D11AD">
        <w:rPr>
          <w:rFonts w:ascii="標楷體" w:eastAsia="標楷體" w:hAnsi="標楷體" w:hint="eastAsia"/>
          <w:kern w:val="0"/>
          <w:szCs w:val="24"/>
        </w:rPr>
        <w:t>或寄存（暫時入藏</w:t>
      </w:r>
      <w:r w:rsidRPr="009D11AD">
        <w:rPr>
          <w:rFonts w:ascii="標楷體" w:eastAsia="標楷體" w:hAnsi="標楷體"/>
          <w:kern w:val="0"/>
          <w:szCs w:val="24"/>
        </w:rPr>
        <w:t>）</w:t>
      </w:r>
      <w:r w:rsidRPr="009D11AD">
        <w:rPr>
          <w:rFonts w:ascii="標楷體" w:eastAsia="標楷體" w:hAnsi="標楷體" w:hint="eastAsia"/>
          <w:kern w:val="0"/>
          <w:szCs w:val="24"/>
        </w:rPr>
        <w:t>文物計698,856件/冊，數量龐巨。該院為維護文物及庫房保存環境，辦理文物安全、管理與修護計畫，111年度預算數1億5,480萬餘元，執行數1億5,216萬餘元，執行率98.29％。經查執行情形，核有下列事項：</w:t>
      </w:r>
    </w:p>
    <w:p w14:paraId="150A2093" w14:textId="6723A5BD" w:rsidR="00AA73AB" w:rsidRPr="009D11AD" w:rsidRDefault="00AA73AB" w:rsidP="00860D54">
      <w:pPr>
        <w:overflowPunct w:val="0"/>
        <w:snapToGrid w:val="0"/>
        <w:spacing w:line="420" w:lineRule="exact"/>
        <w:ind w:firstLineChars="450" w:firstLine="1081"/>
        <w:jc w:val="both"/>
        <w:rPr>
          <w:rFonts w:ascii="標楷體" w:eastAsia="標楷體" w:hAnsi="標楷體"/>
          <w:kern w:val="0"/>
          <w:szCs w:val="24"/>
        </w:rPr>
      </w:pPr>
      <w:r w:rsidRPr="009D11AD">
        <w:rPr>
          <w:rFonts w:ascii="標楷體" w:eastAsia="標楷體" w:hAnsi="標楷體" w:hint="eastAsia"/>
          <w:b/>
          <w:kern w:val="0"/>
          <w:szCs w:val="24"/>
        </w:rPr>
        <w:t>1.</w:t>
      </w:r>
      <w:r w:rsidRPr="009D11AD">
        <w:rPr>
          <w:rFonts w:ascii="標楷體" w:eastAsia="標楷體" w:hAnsi="標楷體" w:hint="eastAsia"/>
          <w:b/>
          <w:szCs w:val="24"/>
        </w:rPr>
        <w:t xml:space="preserve">　器物處雖研議將瓷器文物改以「一物一盒」及「改箱為櫃」方式保存，惟囿於經費不足仍處於規劃階段，允宜寬籌預算積極執行，俾妥適保存國寶文物：</w:t>
      </w:r>
      <w:r w:rsidRPr="009D11AD">
        <w:rPr>
          <w:rFonts w:ascii="標楷體" w:eastAsia="標楷體" w:hAnsi="標楷體" w:hint="eastAsia"/>
          <w:kern w:val="0"/>
          <w:szCs w:val="24"/>
        </w:rPr>
        <w:t>依據故宮典藏文物基本資料檔，各單位典藏文物數量分別為南院處2,670件/冊、書畫文獻處（圖書文獻）611,954件/冊、書畫文獻處（書畫）13,526件/冊、器物處70,706件/冊。再據故宮提供截至111年11月18日之典藏文物歷年修復查核紀錄檔，修復紀錄計有22,268筆，分別為</w:t>
      </w:r>
      <w:r w:rsidR="007D07F2" w:rsidRPr="00773173">
        <w:rPr>
          <w:rFonts w:ascii="標楷體" w:eastAsia="標楷體" w:hAnsi="標楷體" w:hint="eastAsia"/>
          <w:kern w:val="0"/>
          <w:szCs w:val="24"/>
        </w:rPr>
        <w:t>南院處</w:t>
      </w:r>
      <w:r w:rsidRPr="009D11AD">
        <w:rPr>
          <w:rFonts w:ascii="標楷體" w:eastAsia="標楷體" w:hAnsi="標楷體" w:hint="eastAsia"/>
          <w:kern w:val="0"/>
          <w:szCs w:val="24"/>
        </w:rPr>
        <w:t>282筆、書畫文獻處（文獻）13,596</w:t>
      </w:r>
      <w:r w:rsidR="007D07F2">
        <w:rPr>
          <w:rFonts w:ascii="標楷體" w:eastAsia="標楷體" w:hAnsi="標楷體" w:hint="eastAsia"/>
          <w:kern w:val="0"/>
          <w:szCs w:val="24"/>
        </w:rPr>
        <w:t>筆、書畫文</w:t>
      </w:r>
      <w:r w:rsidR="007D07F2" w:rsidRPr="00346BDD">
        <w:rPr>
          <w:rFonts w:ascii="標楷體" w:eastAsia="標楷體" w:hAnsi="標楷體" w:hint="eastAsia"/>
          <w:kern w:val="0"/>
          <w:szCs w:val="24"/>
        </w:rPr>
        <w:t>獻處</w:t>
      </w:r>
      <w:r w:rsidRPr="009D11AD">
        <w:rPr>
          <w:rFonts w:ascii="標楷體" w:eastAsia="標楷體" w:hAnsi="標楷體" w:hint="eastAsia"/>
          <w:kern w:val="0"/>
          <w:szCs w:val="24"/>
        </w:rPr>
        <w:t>（書畫）6,311筆、器物處2,079筆。又器物處典藏文物類型涵括銅器、陶瓷器、玉器、漆器、琺瑯器等，該處送修文物中屬陶瓷器文物傷損破裂計有359筆，占送修總筆數2,079件之17.27％。故宮109至111年度編列由器物處、書畫文獻處及</w:t>
      </w:r>
      <w:r w:rsidR="007D07F2" w:rsidRPr="00773173">
        <w:rPr>
          <w:rFonts w:ascii="標楷體" w:eastAsia="標楷體" w:hAnsi="標楷體" w:hint="eastAsia"/>
          <w:kern w:val="0"/>
          <w:szCs w:val="24"/>
        </w:rPr>
        <w:t>南院處</w:t>
      </w:r>
      <w:r w:rsidRPr="009D11AD">
        <w:rPr>
          <w:rFonts w:ascii="標楷體" w:eastAsia="標楷體" w:hAnsi="標楷體" w:hint="eastAsia"/>
          <w:kern w:val="0"/>
          <w:szCs w:val="24"/>
        </w:rPr>
        <w:t>執行之文物安全、管理與修護業務預算之執行率分別為98.45％、98.53％及98.29％，惟器物處111年度辦理「器物典藏與庫房管理」預算數520萬餘元，用於庫房設備維護汰換預算數僅10萬元，以器物處典藏文物70,706件/冊計算，平均每件典藏文物之設備汰換經費僅1.41元，顯有不足。另現行係以每一箱、盒同時保存多件陶瓷器文物，恐有搬動碰觸而致受損之風險，據器物處110年8月25日山洞庫房日誌載述，雖著手規劃辦理保存文物改箱為櫃作業，惟囿於經費預算有限，未能提出具體改善方案或執行策略與進程，顯示器物處典藏之陶瓷器類國寶文物保存方式仍持續存在因搬動碰觸致生裂璺或暗傷之風險，經函請故宮允宜寬籌預算研謀改善，以妥適保存國寶文物。據復：已獲行政院核准自113至116年分年編列2.06億元之中程歲出概算額度，著手進行陶瓷器文物典藏庫房科學化管理，訂製鋼製典藏櫃取代鐵箱，同時規劃新製專屬典藏匣盒，採「一物一盒」逐年更新陶瓷藏品包裝。</w:t>
      </w:r>
    </w:p>
    <w:p w14:paraId="40905BC7" w14:textId="77777777" w:rsidR="00AA73AB" w:rsidRPr="009D11AD" w:rsidRDefault="00AA73AB" w:rsidP="00DA2751">
      <w:pPr>
        <w:overflowPunct w:val="0"/>
        <w:snapToGrid w:val="0"/>
        <w:spacing w:line="430" w:lineRule="exact"/>
        <w:ind w:firstLineChars="450" w:firstLine="1081"/>
        <w:jc w:val="both"/>
        <w:rPr>
          <w:rFonts w:ascii="標楷體" w:eastAsia="標楷體" w:hAnsi="標楷體"/>
          <w:kern w:val="0"/>
          <w:szCs w:val="24"/>
        </w:rPr>
      </w:pPr>
      <w:r w:rsidRPr="009D11AD">
        <w:rPr>
          <w:rFonts w:ascii="標楷體" w:eastAsia="標楷體" w:hAnsi="標楷體" w:hint="eastAsia"/>
          <w:b/>
          <w:kern w:val="0"/>
          <w:szCs w:val="24"/>
        </w:rPr>
        <w:t>2</w:t>
      </w:r>
      <w:r w:rsidRPr="009D11AD">
        <w:rPr>
          <w:rFonts w:ascii="標楷體" w:eastAsia="標楷體" w:hAnsi="標楷體"/>
          <w:b/>
          <w:kern w:val="0"/>
          <w:szCs w:val="24"/>
        </w:rPr>
        <w:t>.</w:t>
      </w:r>
      <w:r w:rsidRPr="009D11AD">
        <w:rPr>
          <w:rFonts w:ascii="標楷體" w:eastAsia="標楷體" w:hAnsi="標楷體" w:hint="eastAsia"/>
          <w:b/>
          <w:szCs w:val="24"/>
        </w:rPr>
        <w:t xml:space="preserve">　</w:t>
      </w:r>
      <w:r w:rsidRPr="009D11AD">
        <w:rPr>
          <w:rFonts w:ascii="標楷體" w:eastAsia="標楷體" w:hAnsi="標楷體" w:hint="eastAsia"/>
          <w:b/>
          <w:kern w:val="0"/>
          <w:szCs w:val="24"/>
        </w:rPr>
        <w:t>部分負責搬運文物員工或外包廠商助理未完成專業訓練，且文物整理工作現場凌亂，欠缺專業工作區域及設施：</w:t>
      </w:r>
      <w:r w:rsidRPr="009D11AD">
        <w:rPr>
          <w:rFonts w:ascii="標楷體" w:eastAsia="標楷體" w:hAnsi="標楷體" w:hint="eastAsia"/>
          <w:kern w:val="0"/>
          <w:szCs w:val="24"/>
        </w:rPr>
        <w:t>故宮</w:t>
      </w:r>
      <w:r w:rsidRPr="009D11AD">
        <w:rPr>
          <w:rFonts w:ascii="標楷體" w:eastAsia="標楷體" w:hAnsi="標楷體"/>
          <w:kern w:val="0"/>
          <w:szCs w:val="24"/>
        </w:rPr>
        <w:t>為</w:t>
      </w:r>
      <w:r w:rsidRPr="009D11AD">
        <w:rPr>
          <w:rFonts w:ascii="標楷體" w:eastAsia="標楷體" w:hAnsi="標楷體" w:hint="eastAsia"/>
          <w:kern w:val="0"/>
          <w:szCs w:val="24"/>
        </w:rPr>
        <w:t>我國</w:t>
      </w:r>
      <w:r w:rsidRPr="009D11AD">
        <w:rPr>
          <w:rFonts w:ascii="標楷體" w:eastAsia="標楷體" w:hAnsi="標楷體"/>
          <w:kern w:val="0"/>
          <w:szCs w:val="24"/>
        </w:rPr>
        <w:t>具獨立文物保存修護部門之博物館，</w:t>
      </w:r>
      <w:r w:rsidRPr="009D11AD">
        <w:rPr>
          <w:rFonts w:ascii="標楷體" w:eastAsia="標楷體" w:hAnsi="標楷體" w:hint="eastAsia"/>
          <w:kern w:val="0"/>
          <w:szCs w:val="24"/>
        </w:rPr>
        <w:t>依據故宮典藏文物管理作業要點規定，典藏單位員工對</w:t>
      </w:r>
      <w:r w:rsidRPr="009D11AD">
        <w:rPr>
          <w:rFonts w:ascii="標楷體" w:eastAsia="標楷體" w:hAnsi="標楷體"/>
          <w:kern w:val="0"/>
          <w:szCs w:val="24"/>
        </w:rPr>
        <w:t>文物實施開箱（櫃）清點、整理、編目、攝影、備展、提件，及文物箱（櫃）之開啟、提件、歸位、封鎖、簽封等工作，並詳實記錄</w:t>
      </w:r>
      <w:r w:rsidRPr="009D11AD">
        <w:rPr>
          <w:rFonts w:ascii="標楷體" w:eastAsia="標楷體" w:hAnsi="標楷體" w:hint="eastAsia"/>
          <w:kern w:val="0"/>
          <w:szCs w:val="24"/>
        </w:rPr>
        <w:t>；</w:t>
      </w:r>
      <w:r w:rsidRPr="009D11AD">
        <w:rPr>
          <w:rFonts w:ascii="標楷體" w:eastAsia="標楷體" w:hAnsi="標楷體"/>
          <w:kern w:val="0"/>
          <w:szCs w:val="24"/>
        </w:rPr>
        <w:t>典藏單位主管</w:t>
      </w:r>
      <w:r w:rsidRPr="009D11AD">
        <w:rPr>
          <w:rFonts w:ascii="標楷體" w:eastAsia="標楷體" w:hAnsi="標楷體" w:hint="eastAsia"/>
          <w:kern w:val="0"/>
          <w:szCs w:val="24"/>
        </w:rPr>
        <w:t>則應</w:t>
      </w:r>
      <w:r w:rsidRPr="009D11AD">
        <w:rPr>
          <w:rFonts w:ascii="標楷體" w:eastAsia="標楷體" w:hAnsi="標楷體"/>
          <w:kern w:val="0"/>
          <w:szCs w:val="24"/>
        </w:rPr>
        <w:t>隨時查閱紀錄</w:t>
      </w:r>
      <w:r w:rsidRPr="009D11AD">
        <w:rPr>
          <w:rFonts w:ascii="標楷體" w:eastAsia="標楷體" w:hAnsi="標楷體" w:hint="eastAsia"/>
          <w:kern w:val="0"/>
          <w:szCs w:val="24"/>
        </w:rPr>
        <w:t>。經查故宮政風室為</w:t>
      </w:r>
      <w:r w:rsidRPr="009D11AD">
        <w:rPr>
          <w:rFonts w:ascii="標楷體" w:eastAsia="標楷體" w:hAnsi="標楷體"/>
          <w:kern w:val="0"/>
          <w:szCs w:val="24"/>
        </w:rPr>
        <w:t>110</w:t>
      </w:r>
      <w:r w:rsidRPr="009D11AD">
        <w:rPr>
          <w:rFonts w:ascii="標楷體" w:eastAsia="標楷體" w:hAnsi="標楷體" w:hint="eastAsia"/>
          <w:kern w:val="0"/>
          <w:szCs w:val="24"/>
        </w:rPr>
        <w:t>年</w:t>
      </w:r>
      <w:r w:rsidRPr="009D11AD">
        <w:rPr>
          <w:rFonts w:ascii="標楷體" w:eastAsia="標楷體" w:hAnsi="標楷體"/>
          <w:kern w:val="0"/>
          <w:szCs w:val="24"/>
        </w:rPr>
        <w:t>2</w:t>
      </w:r>
      <w:r w:rsidRPr="009D11AD">
        <w:rPr>
          <w:rFonts w:ascii="標楷體" w:eastAsia="標楷體" w:hAnsi="標楷體" w:hint="eastAsia"/>
          <w:kern w:val="0"/>
          <w:szCs w:val="24"/>
        </w:rPr>
        <w:t>月</w:t>
      </w:r>
      <w:r w:rsidRPr="009D11AD">
        <w:rPr>
          <w:rFonts w:ascii="標楷體" w:eastAsia="標楷體" w:hAnsi="標楷體"/>
          <w:kern w:val="0"/>
          <w:szCs w:val="24"/>
        </w:rPr>
        <w:t>3</w:t>
      </w:r>
      <w:r w:rsidRPr="009D11AD">
        <w:rPr>
          <w:rFonts w:ascii="標楷體" w:eastAsia="標楷體" w:hAnsi="標楷體" w:hint="eastAsia"/>
          <w:kern w:val="0"/>
          <w:szCs w:val="24"/>
        </w:rPr>
        <w:t>日「明</w:t>
      </w:r>
      <w:r w:rsidRPr="009D11AD">
        <w:rPr>
          <w:rFonts w:ascii="標楷體" w:eastAsia="標楷體" w:hAnsi="標楷體"/>
          <w:kern w:val="0"/>
          <w:szCs w:val="24"/>
        </w:rPr>
        <w:t xml:space="preserve"> </w:t>
      </w:r>
      <w:r w:rsidRPr="009D11AD">
        <w:rPr>
          <w:rFonts w:ascii="標楷體" w:eastAsia="標楷體" w:hAnsi="標楷體" w:hint="eastAsia"/>
          <w:kern w:val="0"/>
          <w:szCs w:val="24"/>
        </w:rPr>
        <w:t>弘治款</w:t>
      </w:r>
      <w:r w:rsidRPr="009D11AD">
        <w:rPr>
          <w:rFonts w:ascii="標楷體" w:eastAsia="標楷體" w:hAnsi="標楷體"/>
          <w:kern w:val="0"/>
          <w:szCs w:val="24"/>
        </w:rPr>
        <w:t xml:space="preserve"> </w:t>
      </w:r>
      <w:r w:rsidRPr="009D11AD">
        <w:rPr>
          <w:rFonts w:ascii="標楷體" w:eastAsia="標楷體" w:hAnsi="標楷體" w:hint="eastAsia"/>
          <w:kern w:val="0"/>
          <w:szCs w:val="24"/>
        </w:rPr>
        <w:t>嬌黃綠彩雙龍小碗（故瓷16896）」破損之調查報告載述，研究人員及行政人員確有導致文物破損之可能性，惟研究助理、技工友及外包廠商助理因未被規範須接</w:t>
      </w:r>
      <w:r w:rsidRPr="009D11AD">
        <w:rPr>
          <w:rFonts w:ascii="標楷體" w:eastAsia="標楷體" w:hAnsi="標楷體"/>
          <w:kern w:val="0"/>
          <w:szCs w:val="24"/>
        </w:rPr>
        <w:t>受</w:t>
      </w:r>
      <w:r w:rsidRPr="009D11AD">
        <w:rPr>
          <w:rFonts w:ascii="標楷體" w:eastAsia="標楷體" w:hAnsi="標楷體" w:hint="eastAsia"/>
          <w:kern w:val="0"/>
          <w:szCs w:val="24"/>
        </w:rPr>
        <w:t>充分、完整之文</w:t>
      </w:r>
      <w:r w:rsidRPr="009D11AD">
        <w:rPr>
          <w:rFonts w:ascii="標楷體" w:eastAsia="標楷體" w:hAnsi="標楷體"/>
          <w:kern w:val="0"/>
          <w:szCs w:val="24"/>
        </w:rPr>
        <w:t>物保存修護專業人才養成</w:t>
      </w:r>
      <w:r w:rsidRPr="009D11AD">
        <w:rPr>
          <w:rFonts w:ascii="標楷體" w:eastAsia="標楷體" w:hAnsi="標楷體" w:hint="eastAsia"/>
          <w:kern w:val="0"/>
          <w:szCs w:val="24"/>
        </w:rPr>
        <w:t>訓練，在文物整理過程中被指派擔任搬運或開啟鐵箱、協助將箱內原本填充之木絲取出換成棉墊（花）等工作，亦有可能造成文物晃動甚至受損。又</w:t>
      </w:r>
      <w:r w:rsidRPr="009D11AD">
        <w:rPr>
          <w:rFonts w:ascii="標楷體" w:eastAsia="標楷體" w:hAnsi="標楷體"/>
          <w:kern w:val="0"/>
          <w:szCs w:val="24"/>
        </w:rPr>
        <w:t>111</w:t>
      </w:r>
      <w:r w:rsidRPr="009D11AD">
        <w:rPr>
          <w:rFonts w:ascii="標楷體" w:eastAsia="標楷體" w:hAnsi="標楷體" w:hint="eastAsia"/>
          <w:kern w:val="0"/>
          <w:szCs w:val="24"/>
        </w:rPr>
        <w:t>年</w:t>
      </w:r>
      <w:r w:rsidRPr="009D11AD">
        <w:rPr>
          <w:rFonts w:ascii="標楷體" w:eastAsia="標楷體" w:hAnsi="標楷體"/>
          <w:kern w:val="0"/>
          <w:szCs w:val="24"/>
        </w:rPr>
        <w:t>5</w:t>
      </w:r>
      <w:r w:rsidRPr="009D11AD">
        <w:rPr>
          <w:rFonts w:ascii="標楷體" w:eastAsia="標楷體" w:hAnsi="標楷體" w:hint="eastAsia"/>
          <w:kern w:val="0"/>
          <w:szCs w:val="24"/>
        </w:rPr>
        <w:t>月</w:t>
      </w:r>
      <w:r w:rsidRPr="009D11AD">
        <w:rPr>
          <w:rFonts w:ascii="標楷體" w:eastAsia="標楷體" w:hAnsi="標楷體"/>
          <w:kern w:val="0"/>
          <w:szCs w:val="24"/>
        </w:rPr>
        <w:t>19</w:t>
      </w:r>
      <w:r w:rsidRPr="009D11AD">
        <w:rPr>
          <w:rFonts w:ascii="標楷體" w:eastAsia="標楷體" w:hAnsi="標楷體" w:hint="eastAsia"/>
          <w:kern w:val="0"/>
          <w:szCs w:val="24"/>
        </w:rPr>
        <w:t>日「清</w:t>
      </w:r>
      <w:r w:rsidRPr="009D11AD">
        <w:rPr>
          <w:rFonts w:ascii="標楷體" w:eastAsia="標楷體" w:hAnsi="標楷體"/>
          <w:kern w:val="0"/>
          <w:szCs w:val="24"/>
        </w:rPr>
        <w:t xml:space="preserve"> </w:t>
      </w:r>
      <w:r w:rsidRPr="009D11AD">
        <w:rPr>
          <w:rFonts w:ascii="標楷體" w:eastAsia="標楷體" w:hAnsi="標楷體" w:hint="eastAsia"/>
          <w:kern w:val="0"/>
          <w:szCs w:val="24"/>
        </w:rPr>
        <w:t>乾隆</w:t>
      </w:r>
      <w:r w:rsidRPr="009D11AD">
        <w:rPr>
          <w:rFonts w:ascii="標楷體" w:eastAsia="標楷體" w:hAnsi="標楷體"/>
          <w:kern w:val="0"/>
          <w:szCs w:val="24"/>
        </w:rPr>
        <w:t xml:space="preserve"> </w:t>
      </w:r>
      <w:r w:rsidRPr="009D11AD">
        <w:rPr>
          <w:rFonts w:ascii="標楷體" w:eastAsia="標楷體" w:hAnsi="標楷體" w:hint="eastAsia"/>
          <w:kern w:val="0"/>
          <w:szCs w:val="24"/>
        </w:rPr>
        <w:t>青花花卉盤（故瓷290）」掉落破損之錄影畫面，文物整理室之工作現場一次提出多件物品進行作業，專業文物保存人員與研究助理、技工友及外包廠商助理等行政職務員工共處一室，復因尚乏標準工作動線規範，</w:t>
      </w:r>
      <w:r w:rsidRPr="009D11AD">
        <w:rPr>
          <w:rFonts w:ascii="標楷體" w:eastAsia="標楷體" w:hAnsi="標楷體" w:hint="eastAsia"/>
          <w:kern w:val="0"/>
          <w:szCs w:val="24"/>
        </w:rPr>
        <w:lastRenderedPageBreak/>
        <w:t>而致工作區域現場同時整理數項文物而互相影響，顯示研究助理、技工友及外包廠商助理仍待專業訓練或具備充分專業之文物保存管理維護知能，文物整理工作區域亦須建立流暢之動線，經函請故宮研謀改善。據復：已邀請2位國內外陶瓷史及修復專家，針對庫房工作人員辦理「文物持拿教育訓練」，再針對專案協力人員辦理入庫工作教育訓練；</w:t>
      </w:r>
      <w:r w:rsidRPr="009D11AD">
        <w:rPr>
          <w:rFonts w:ascii="標楷體" w:eastAsia="標楷體" w:hAnsi="標楷體"/>
          <w:kern w:val="0"/>
          <w:szCs w:val="24"/>
        </w:rPr>
        <w:t>重新安排</w:t>
      </w:r>
      <w:r w:rsidRPr="009D11AD">
        <w:rPr>
          <w:rFonts w:ascii="標楷體" w:eastAsia="標楷體" w:hAnsi="標楷體" w:hint="eastAsia"/>
          <w:kern w:val="0"/>
          <w:szCs w:val="24"/>
        </w:rPr>
        <w:t>庫房</w:t>
      </w:r>
      <w:r w:rsidRPr="009D11AD">
        <w:rPr>
          <w:rFonts w:ascii="標楷體" w:eastAsia="標楷體" w:hAnsi="標楷體"/>
          <w:kern w:val="0"/>
          <w:szCs w:val="24"/>
        </w:rPr>
        <w:t>工作間，分為「鐵箱暫存」、「實盒暫存」、「空盒暫存」、「文物整理」</w:t>
      </w:r>
      <w:r w:rsidRPr="009D11AD">
        <w:rPr>
          <w:rFonts w:ascii="標楷體" w:eastAsia="標楷體" w:hAnsi="標楷體" w:hint="eastAsia"/>
          <w:kern w:val="0"/>
          <w:szCs w:val="24"/>
        </w:rPr>
        <w:t>4</w:t>
      </w:r>
      <w:r w:rsidRPr="009D11AD">
        <w:rPr>
          <w:rFonts w:ascii="標楷體" w:eastAsia="標楷體" w:hAnsi="標楷體"/>
          <w:kern w:val="0"/>
          <w:szCs w:val="24"/>
        </w:rPr>
        <w:t>區</w:t>
      </w:r>
      <w:r w:rsidRPr="009D11AD">
        <w:rPr>
          <w:rFonts w:ascii="標楷體" w:eastAsia="標楷體" w:hAnsi="標楷體" w:hint="eastAsia"/>
          <w:kern w:val="0"/>
          <w:szCs w:val="24"/>
        </w:rPr>
        <w:t>，</w:t>
      </w:r>
      <w:r w:rsidRPr="009D11AD">
        <w:rPr>
          <w:rFonts w:ascii="標楷體" w:eastAsia="標楷體" w:hAnsi="標楷體"/>
          <w:kern w:val="0"/>
          <w:szCs w:val="24"/>
        </w:rPr>
        <w:t>同時將文物整理桌面四周加裝高密度海綿護欄，地面鋪設3M安全防撞地墊，強化文物整理動線之流暢與安全防護。</w:t>
      </w:r>
    </w:p>
    <w:p w14:paraId="7D1DB9DB" w14:textId="77777777" w:rsidR="00AA73AB" w:rsidRPr="009D11AD" w:rsidRDefault="00AA73AB" w:rsidP="00DA2751">
      <w:pPr>
        <w:overflowPunct w:val="0"/>
        <w:snapToGrid w:val="0"/>
        <w:spacing w:line="430" w:lineRule="exact"/>
        <w:ind w:firstLineChars="450" w:firstLine="1081"/>
        <w:jc w:val="both"/>
        <w:rPr>
          <w:rFonts w:ascii="標楷體" w:eastAsia="標楷體" w:hAnsi="標楷體"/>
          <w:kern w:val="0"/>
          <w:szCs w:val="24"/>
        </w:rPr>
      </w:pPr>
      <w:r w:rsidRPr="00EA5DA9">
        <w:rPr>
          <w:rFonts w:ascii="標楷體" w:eastAsia="標楷體" w:hAnsi="標楷體" w:hint="eastAsia"/>
          <w:b/>
          <w:kern w:val="0"/>
          <w:szCs w:val="24"/>
        </w:rPr>
        <w:t>3.</w:t>
      </w:r>
      <w:r w:rsidRPr="009D11AD">
        <w:rPr>
          <w:rFonts w:ascii="標楷體" w:eastAsia="標楷體" w:hAnsi="標楷體" w:hint="eastAsia"/>
          <w:b/>
          <w:szCs w:val="24"/>
        </w:rPr>
        <w:t xml:space="preserve">　</w:t>
      </w:r>
      <w:r w:rsidRPr="009D11AD">
        <w:rPr>
          <w:rFonts w:ascii="標楷體" w:eastAsia="標楷體" w:hAnsi="標楷體" w:hint="eastAsia"/>
          <w:b/>
          <w:szCs w:val="28"/>
        </w:rPr>
        <w:t>於策展及文物整理過程中均曾發生人為之文物毀損事件，相關人員責任分工規範容有不足，亟待建立規範以為依循：</w:t>
      </w:r>
      <w:r w:rsidRPr="009D11AD">
        <w:rPr>
          <w:rFonts w:ascii="標楷體" w:eastAsia="標楷體" w:hAnsi="標楷體" w:hint="eastAsia"/>
          <w:szCs w:val="28"/>
        </w:rPr>
        <w:t>故宮雖</w:t>
      </w:r>
      <w:r w:rsidRPr="009D11AD">
        <w:rPr>
          <w:rFonts w:ascii="標楷體" w:eastAsia="標楷體" w:hAnsi="標楷體"/>
          <w:szCs w:val="28"/>
        </w:rPr>
        <w:t>已訂定典藏文物管理作業要點</w:t>
      </w:r>
      <w:r w:rsidRPr="009D11AD">
        <w:rPr>
          <w:rFonts w:ascii="標楷體" w:eastAsia="標楷體" w:hAnsi="標楷體" w:hint="eastAsia"/>
          <w:szCs w:val="28"/>
        </w:rPr>
        <w:t>作</w:t>
      </w:r>
      <w:r w:rsidRPr="009D11AD">
        <w:rPr>
          <w:rFonts w:ascii="標楷體" w:eastAsia="標楷體" w:hAnsi="標楷體"/>
          <w:szCs w:val="28"/>
        </w:rPr>
        <w:t>為典藏文物之登錄、庫房門禁、庫房作業及展陳安全等事項之準據，惟101年9月策展期間，仍</w:t>
      </w:r>
      <w:r w:rsidRPr="009D11AD">
        <w:rPr>
          <w:rFonts w:ascii="標楷體" w:eastAsia="標楷體" w:hAnsi="標楷體" w:hint="eastAsia"/>
          <w:szCs w:val="28"/>
        </w:rPr>
        <w:t>因展櫃無法容納「黃河蘭州浮橋圖」展出，策展人指示工作人員將左右兩側原裝裱花綾部分裁切，以配合展櫃尺寸之人為毀損事件，至102年4月因圖書文獻處副研究員學術研究需求蒐集參考資料時始發現上述情節，案經故宮檢討，該策展人之決定未曾口頭請示，亦未正式簽報，於同年5月將其調離主管職務。另故宮器物處4位人員</w:t>
      </w:r>
      <w:r w:rsidRPr="009D11AD">
        <w:rPr>
          <w:rFonts w:ascii="標楷體" w:eastAsia="標楷體" w:hAnsi="標楷體"/>
          <w:szCs w:val="28"/>
        </w:rPr>
        <w:t>於111</w:t>
      </w:r>
      <w:r w:rsidRPr="009D11AD">
        <w:rPr>
          <w:rFonts w:ascii="標楷體" w:eastAsia="標楷體" w:hAnsi="標楷體" w:hint="eastAsia"/>
          <w:szCs w:val="28"/>
        </w:rPr>
        <w:t>年</w:t>
      </w:r>
      <w:r w:rsidRPr="009D11AD">
        <w:rPr>
          <w:rFonts w:ascii="標楷體" w:eastAsia="標楷體" w:hAnsi="標楷體"/>
          <w:szCs w:val="28"/>
        </w:rPr>
        <w:t>5</w:t>
      </w:r>
      <w:r w:rsidRPr="009D11AD">
        <w:rPr>
          <w:rFonts w:ascii="標楷體" w:eastAsia="標楷體" w:hAnsi="標楷體" w:hint="eastAsia"/>
          <w:szCs w:val="28"/>
        </w:rPr>
        <w:t>月</w:t>
      </w:r>
      <w:r w:rsidRPr="009D11AD">
        <w:rPr>
          <w:rFonts w:ascii="標楷體" w:eastAsia="標楷體" w:hAnsi="標楷體"/>
          <w:szCs w:val="28"/>
        </w:rPr>
        <w:t>19</w:t>
      </w:r>
      <w:r w:rsidRPr="009D11AD">
        <w:rPr>
          <w:rFonts w:ascii="標楷體" w:eastAsia="標楷體" w:hAnsi="標楷體" w:hint="eastAsia"/>
          <w:szCs w:val="28"/>
        </w:rPr>
        <w:t>日入庫例行整理文物時，因協議以每人2件文物方式共同整理，其中1人從裝有6件「清</w:t>
      </w:r>
      <w:r w:rsidRPr="009D11AD">
        <w:rPr>
          <w:rFonts w:ascii="標楷體" w:eastAsia="標楷體" w:hAnsi="標楷體"/>
          <w:szCs w:val="28"/>
        </w:rPr>
        <w:t xml:space="preserve"> </w:t>
      </w:r>
      <w:r w:rsidRPr="009D11AD">
        <w:rPr>
          <w:rFonts w:ascii="標楷體" w:eastAsia="標楷體" w:hAnsi="標楷體" w:hint="eastAsia"/>
          <w:szCs w:val="28"/>
        </w:rPr>
        <w:t>乾隆</w:t>
      </w:r>
      <w:r w:rsidRPr="009D11AD">
        <w:rPr>
          <w:rFonts w:ascii="標楷體" w:eastAsia="標楷體" w:hAnsi="標楷體"/>
          <w:szCs w:val="28"/>
        </w:rPr>
        <w:t xml:space="preserve"> </w:t>
      </w:r>
      <w:r w:rsidRPr="009D11AD">
        <w:rPr>
          <w:rFonts w:ascii="標楷體" w:eastAsia="標楷體" w:hAnsi="標楷體" w:hint="eastAsia"/>
          <w:szCs w:val="28"/>
        </w:rPr>
        <w:t>青花花卉盤（故瓷290）」藍布盒內取出4件文物置於桌上，其餘2件文物尚存藍布盒內，另1人誤以為全部文物均已取出，見藍布盒底部之白布脫落，為塗黏白膠修復，致盒內一件文物滑出摔落地面而破裂，顯示故宮</w:t>
      </w:r>
      <w:r w:rsidRPr="009D11AD">
        <w:rPr>
          <w:rFonts w:ascii="標楷體" w:eastAsia="標楷體" w:hAnsi="標楷體"/>
          <w:szCs w:val="28"/>
        </w:rPr>
        <w:t>現行對文物之清點、整理、編目、</w:t>
      </w:r>
      <w:r w:rsidRPr="009D11AD">
        <w:rPr>
          <w:rFonts w:ascii="標楷體" w:eastAsia="標楷體" w:hAnsi="標楷體" w:hint="eastAsia"/>
          <w:szCs w:val="28"/>
        </w:rPr>
        <w:t>攝影、備展及提件作業等涉及多人同時協力作業，未訂定人員責任分工規範</w:t>
      </w:r>
      <w:r w:rsidRPr="009D11AD">
        <w:rPr>
          <w:rFonts w:ascii="標楷體" w:eastAsia="標楷體" w:hAnsi="標楷體"/>
          <w:szCs w:val="28"/>
        </w:rPr>
        <w:t>以為依循，</w:t>
      </w:r>
      <w:r w:rsidRPr="009D11AD">
        <w:rPr>
          <w:rFonts w:ascii="標楷體" w:eastAsia="標楷體" w:hAnsi="標楷體" w:hint="eastAsia"/>
          <w:szCs w:val="28"/>
        </w:rPr>
        <w:t>易滋人為因素</w:t>
      </w:r>
      <w:r w:rsidRPr="009D11AD">
        <w:rPr>
          <w:rFonts w:ascii="標楷體" w:eastAsia="標楷體" w:hAnsi="標楷體"/>
          <w:szCs w:val="28"/>
        </w:rPr>
        <w:t>而造成文物毀損之情事</w:t>
      </w:r>
      <w:r w:rsidRPr="009D11AD">
        <w:rPr>
          <w:rFonts w:ascii="標楷體" w:eastAsia="標楷體" w:hAnsi="標楷體" w:hint="eastAsia"/>
          <w:kern w:val="0"/>
          <w:szCs w:val="24"/>
        </w:rPr>
        <w:t>，經函請故宮研謀改善。據復：器物處已訂定庫房文物提件及通報作業、歸件及通報作業流程圖，明確人員辦理文物提件、取件、還件及歸件入庫之作業程序。</w:t>
      </w:r>
    </w:p>
    <w:p w14:paraId="786FFB38" w14:textId="7006503A" w:rsidR="00AA73AB" w:rsidRPr="009D11AD" w:rsidRDefault="00AA73AB" w:rsidP="00DA2751">
      <w:pPr>
        <w:overflowPunct w:val="0"/>
        <w:snapToGrid w:val="0"/>
        <w:spacing w:line="430" w:lineRule="exact"/>
        <w:ind w:firstLineChars="450" w:firstLine="1081"/>
        <w:jc w:val="both"/>
        <w:rPr>
          <w:rFonts w:ascii="標楷體" w:eastAsia="標楷體" w:hAnsi="標楷體"/>
          <w:kern w:val="0"/>
          <w:szCs w:val="24"/>
        </w:rPr>
      </w:pPr>
      <w:r w:rsidRPr="009D11AD">
        <w:rPr>
          <w:rFonts w:ascii="標楷體" w:eastAsia="標楷體" w:hAnsi="標楷體" w:hint="eastAsia"/>
          <w:b/>
          <w:kern w:val="0"/>
          <w:szCs w:val="24"/>
        </w:rPr>
        <w:t>4.</w:t>
      </w:r>
      <w:r w:rsidRPr="009D11AD">
        <w:rPr>
          <w:rFonts w:ascii="標楷體" w:eastAsia="標楷體" w:hAnsi="標楷體" w:hint="eastAsia"/>
          <w:b/>
          <w:szCs w:val="24"/>
        </w:rPr>
        <w:t xml:space="preserve">　</w:t>
      </w:r>
      <w:r w:rsidRPr="009D11AD">
        <w:rPr>
          <w:rFonts w:ascii="標楷體" w:eastAsia="標楷體" w:hAnsi="標楷體" w:hint="eastAsia"/>
          <w:b/>
          <w:kern w:val="0"/>
          <w:szCs w:val="24"/>
        </w:rPr>
        <w:t>未能及時掌握文物之保存狀態，又未</w:t>
      </w:r>
      <w:r w:rsidRPr="009D11AD">
        <w:rPr>
          <w:rFonts w:ascii="標楷體" w:eastAsia="標楷體" w:hAnsi="標楷體"/>
          <w:b/>
          <w:kern w:val="0"/>
          <w:szCs w:val="24"/>
        </w:rPr>
        <w:t>完整記錄</w:t>
      </w:r>
      <w:r w:rsidRPr="009D11AD">
        <w:rPr>
          <w:rFonts w:ascii="標楷體" w:eastAsia="標楷體" w:hAnsi="標楷體" w:hint="eastAsia"/>
          <w:b/>
          <w:kern w:val="0"/>
          <w:szCs w:val="24"/>
        </w:rPr>
        <w:t>與</w:t>
      </w:r>
      <w:r w:rsidRPr="009D11AD">
        <w:rPr>
          <w:rFonts w:ascii="標楷體" w:eastAsia="標楷體" w:hAnsi="標楷體"/>
          <w:b/>
          <w:kern w:val="0"/>
          <w:szCs w:val="24"/>
        </w:rPr>
        <w:t>文物接觸之相關資訊，或</w:t>
      </w:r>
      <w:r w:rsidRPr="009D11AD">
        <w:rPr>
          <w:rFonts w:ascii="標楷體" w:eastAsia="標楷體" w:hAnsi="標楷體" w:hint="eastAsia"/>
          <w:b/>
          <w:kern w:val="0"/>
          <w:szCs w:val="24"/>
        </w:rPr>
        <w:t>未覈</w:t>
      </w:r>
      <w:r w:rsidRPr="009D11AD">
        <w:rPr>
          <w:rFonts w:ascii="標楷體" w:eastAsia="標楷體" w:hAnsi="標楷體"/>
          <w:b/>
          <w:kern w:val="0"/>
          <w:szCs w:val="24"/>
        </w:rPr>
        <w:t>實</w:t>
      </w:r>
      <w:r w:rsidRPr="009D11AD">
        <w:rPr>
          <w:rFonts w:ascii="標楷體" w:eastAsia="標楷體" w:hAnsi="標楷體" w:hint="eastAsia"/>
          <w:b/>
          <w:kern w:val="0"/>
          <w:szCs w:val="24"/>
        </w:rPr>
        <w:t>登</w:t>
      </w:r>
      <w:r w:rsidRPr="009D11AD">
        <w:rPr>
          <w:rFonts w:ascii="標楷體" w:eastAsia="標楷體" w:hAnsi="標楷體"/>
          <w:b/>
          <w:kern w:val="0"/>
          <w:szCs w:val="24"/>
        </w:rPr>
        <w:t>載</w:t>
      </w:r>
      <w:r w:rsidRPr="009D11AD">
        <w:rPr>
          <w:rFonts w:ascii="標楷體" w:eastAsia="標楷體" w:hAnsi="標楷體" w:hint="eastAsia"/>
          <w:b/>
          <w:kern w:val="0"/>
          <w:szCs w:val="24"/>
        </w:rPr>
        <w:t>數位化紀錄，致不可預期事件發生時難以釐清究責</w:t>
      </w:r>
      <w:r w:rsidRPr="009D11AD">
        <w:rPr>
          <w:rFonts w:ascii="標楷體" w:eastAsia="標楷體" w:hAnsi="標楷體" w:hint="eastAsia"/>
          <w:kern w:val="0"/>
          <w:szCs w:val="24"/>
        </w:rPr>
        <w:t>：故宮承繼政府遷臺之文物圖書，於43年首次完整點查建立在臺文物原始清冊；復於78至80年間逐件清點文物，詳加登錄尺寸、重量與保存狀況及統一編號拍照存檔，完成院藏文物正式帳籍清冊；再於97至101年間聘請</w:t>
      </w:r>
      <w:r w:rsidRPr="009D11AD">
        <w:rPr>
          <w:rFonts w:ascii="標楷體" w:eastAsia="標楷體" w:hAnsi="標楷體"/>
          <w:kern w:val="0"/>
          <w:szCs w:val="24"/>
        </w:rPr>
        <w:t>62位學者專家</w:t>
      </w:r>
      <w:r w:rsidRPr="009D11AD">
        <w:rPr>
          <w:rFonts w:ascii="標楷體" w:eastAsia="標楷體" w:hAnsi="標楷體" w:hint="eastAsia"/>
          <w:kern w:val="0"/>
          <w:szCs w:val="24"/>
        </w:rPr>
        <w:t>啟動文物總盤點</w:t>
      </w:r>
      <w:r w:rsidRPr="009D11AD">
        <w:rPr>
          <w:rFonts w:ascii="標楷體" w:eastAsia="標楷體" w:hAnsi="標楷體"/>
          <w:kern w:val="0"/>
          <w:szCs w:val="24"/>
        </w:rPr>
        <w:t>，審視現存狀況及確認簽署盤點</w:t>
      </w:r>
      <w:r w:rsidRPr="009D11AD">
        <w:rPr>
          <w:rFonts w:ascii="標楷體" w:eastAsia="標楷體" w:hAnsi="標楷體" w:hint="eastAsia"/>
          <w:kern w:val="0"/>
          <w:szCs w:val="24"/>
        </w:rPr>
        <w:t>情形。惟3次大盤點距今均逾10年，故宮雖依其典藏品盤點作業配套措施例行年度部分文物盤點計畫，惟依該措施粗估須201年始能完成一輪全面盤點作業，未能及時掌握文物之保存狀態。另</w:t>
      </w:r>
      <w:r w:rsidRPr="009D11AD">
        <w:rPr>
          <w:rFonts w:ascii="標楷體" w:eastAsia="標楷體" w:hAnsi="標楷體"/>
          <w:kern w:val="0"/>
          <w:szCs w:val="24"/>
        </w:rPr>
        <w:t>據</w:t>
      </w:r>
      <w:r w:rsidRPr="009D11AD">
        <w:rPr>
          <w:rFonts w:ascii="標楷體" w:eastAsia="標楷體" w:hAnsi="標楷體" w:hint="eastAsia"/>
          <w:kern w:val="0"/>
          <w:szCs w:val="24"/>
        </w:rPr>
        <w:t>故宮政風室為</w:t>
      </w:r>
      <w:r w:rsidRPr="009D11AD">
        <w:rPr>
          <w:rFonts w:ascii="標楷體" w:eastAsia="標楷體" w:hAnsi="標楷體"/>
          <w:kern w:val="0"/>
          <w:szCs w:val="24"/>
        </w:rPr>
        <w:t>110</w:t>
      </w:r>
      <w:r w:rsidRPr="009D11AD">
        <w:rPr>
          <w:rFonts w:ascii="標楷體" w:eastAsia="標楷體" w:hAnsi="標楷體" w:hint="eastAsia"/>
          <w:kern w:val="0"/>
          <w:szCs w:val="24"/>
        </w:rPr>
        <w:t>年</w:t>
      </w:r>
      <w:r w:rsidRPr="009D11AD">
        <w:rPr>
          <w:rFonts w:ascii="標楷體" w:eastAsia="標楷體" w:hAnsi="標楷體"/>
          <w:kern w:val="0"/>
          <w:szCs w:val="24"/>
        </w:rPr>
        <w:t>2</w:t>
      </w:r>
      <w:r w:rsidRPr="009D11AD">
        <w:rPr>
          <w:rFonts w:ascii="標楷體" w:eastAsia="標楷體" w:hAnsi="標楷體" w:hint="eastAsia"/>
          <w:kern w:val="0"/>
          <w:szCs w:val="24"/>
        </w:rPr>
        <w:t>月</w:t>
      </w:r>
      <w:r w:rsidRPr="009D11AD">
        <w:rPr>
          <w:rFonts w:ascii="標楷體" w:eastAsia="標楷體" w:hAnsi="標楷體"/>
          <w:kern w:val="0"/>
          <w:szCs w:val="24"/>
        </w:rPr>
        <w:t>3</w:t>
      </w:r>
      <w:r w:rsidRPr="009D11AD">
        <w:rPr>
          <w:rFonts w:ascii="標楷體" w:eastAsia="標楷體" w:hAnsi="標楷體" w:hint="eastAsia"/>
          <w:kern w:val="0"/>
          <w:szCs w:val="24"/>
        </w:rPr>
        <w:t>日「明</w:t>
      </w:r>
      <w:r w:rsidRPr="009D11AD">
        <w:rPr>
          <w:rFonts w:ascii="標楷體" w:eastAsia="標楷體" w:hAnsi="標楷體"/>
          <w:kern w:val="0"/>
          <w:szCs w:val="24"/>
        </w:rPr>
        <w:t xml:space="preserve"> </w:t>
      </w:r>
      <w:r w:rsidRPr="009D11AD">
        <w:rPr>
          <w:rFonts w:ascii="標楷體" w:eastAsia="標楷體" w:hAnsi="標楷體" w:hint="eastAsia"/>
          <w:kern w:val="0"/>
          <w:szCs w:val="24"/>
        </w:rPr>
        <w:t>弘治款</w:t>
      </w:r>
      <w:r w:rsidRPr="009D11AD">
        <w:rPr>
          <w:rFonts w:ascii="標楷體" w:eastAsia="標楷體" w:hAnsi="標楷體"/>
          <w:kern w:val="0"/>
          <w:szCs w:val="24"/>
        </w:rPr>
        <w:t xml:space="preserve"> </w:t>
      </w:r>
      <w:r w:rsidRPr="009D11AD">
        <w:rPr>
          <w:rFonts w:ascii="標楷體" w:eastAsia="標楷體" w:hAnsi="標楷體" w:hint="eastAsia"/>
          <w:kern w:val="0"/>
          <w:szCs w:val="24"/>
        </w:rPr>
        <w:t>嬌黃綠彩雙龍小碗（故瓷16896）」破損之調查報告載述，</w:t>
      </w:r>
      <w:r w:rsidRPr="009D11AD">
        <w:rPr>
          <w:rFonts w:ascii="標楷體" w:eastAsia="標楷體" w:hAnsi="標楷體"/>
          <w:kern w:val="0"/>
          <w:szCs w:val="24"/>
        </w:rPr>
        <w:t>器物處僅於例行整理文物時登打記錄文物狀況、整理人員及整理日期等資訊，其他因特別參觀、文物策展、文物修復甚或盤點作業等均未登入，數位化紀錄</w:t>
      </w:r>
      <w:r w:rsidRPr="009D11AD">
        <w:rPr>
          <w:rFonts w:ascii="標楷體" w:eastAsia="標楷體" w:hAnsi="標楷體" w:hint="eastAsia"/>
          <w:kern w:val="0"/>
          <w:szCs w:val="24"/>
        </w:rPr>
        <w:t>未完整記錄文物保存管理過程相關訊息，顯示文物保存現狀未完整記錄及覈實登載數位化紀錄，如</w:t>
      </w:r>
      <w:r w:rsidRPr="009D11AD">
        <w:rPr>
          <w:rFonts w:ascii="標楷體" w:eastAsia="標楷體" w:hAnsi="標楷體"/>
          <w:kern w:val="0"/>
          <w:szCs w:val="24"/>
        </w:rPr>
        <w:t>遇有不可預期事件發生</w:t>
      </w:r>
      <w:r w:rsidRPr="009D11AD">
        <w:rPr>
          <w:rFonts w:ascii="標楷體" w:eastAsia="標楷體" w:hAnsi="標楷體" w:hint="eastAsia"/>
          <w:kern w:val="0"/>
          <w:szCs w:val="24"/>
        </w:rPr>
        <w:t>，將</w:t>
      </w:r>
      <w:r w:rsidRPr="009D11AD">
        <w:rPr>
          <w:rFonts w:ascii="標楷體" w:eastAsia="標楷體" w:hAnsi="標楷體"/>
          <w:kern w:val="0"/>
          <w:szCs w:val="24"/>
        </w:rPr>
        <w:t>無法完整追蹤接觸文物之歷次</w:t>
      </w:r>
      <w:r w:rsidRPr="009D11AD">
        <w:rPr>
          <w:rFonts w:ascii="標楷體" w:eastAsia="標楷體" w:hAnsi="標楷體" w:hint="eastAsia"/>
          <w:kern w:val="0"/>
          <w:szCs w:val="24"/>
        </w:rPr>
        <w:t>紀錄</w:t>
      </w:r>
      <w:r w:rsidRPr="009D11AD">
        <w:rPr>
          <w:rFonts w:ascii="標楷體" w:eastAsia="標楷體" w:hAnsi="標楷體"/>
          <w:kern w:val="0"/>
          <w:szCs w:val="24"/>
        </w:rPr>
        <w:t>，難以釐清責任</w:t>
      </w:r>
      <w:r w:rsidRPr="009D11AD">
        <w:rPr>
          <w:rFonts w:ascii="標楷體" w:eastAsia="標楷體" w:hAnsi="標楷體" w:hint="eastAsia"/>
          <w:kern w:val="0"/>
          <w:szCs w:val="24"/>
        </w:rPr>
        <w:t>。鑑於文化部已於所屬國立臺灣歷史博物館、國立臺灣史前文化博</w:t>
      </w:r>
      <w:r w:rsidRPr="009D11AD">
        <w:rPr>
          <w:rFonts w:ascii="標楷體" w:eastAsia="標楷體" w:hAnsi="標楷體" w:hint="eastAsia"/>
          <w:kern w:val="0"/>
          <w:szCs w:val="24"/>
        </w:rPr>
        <w:lastRenderedPageBreak/>
        <w:t>物館及國立臺灣美術館建置典藏庫房無線射頻</w:t>
      </w:r>
      <w:r w:rsidR="00E81087" w:rsidRPr="00FE5EE4">
        <w:rPr>
          <w:rFonts w:ascii="標楷體" w:eastAsia="標楷體" w:hAnsi="標楷體" w:hint="eastAsia"/>
          <w:kern w:val="0"/>
          <w:szCs w:val="24"/>
        </w:rPr>
        <w:t>辨識</w:t>
      </w:r>
      <w:r w:rsidRPr="009D11AD">
        <w:rPr>
          <w:rFonts w:ascii="標楷體" w:eastAsia="標楷體" w:hAnsi="標楷體"/>
          <w:kern w:val="0"/>
          <w:szCs w:val="24"/>
        </w:rPr>
        <w:t>（Radio Frequency IDentification</w:t>
      </w:r>
      <w:r w:rsidRPr="009D11AD">
        <w:rPr>
          <w:rFonts w:ascii="標楷體" w:eastAsia="標楷體" w:hAnsi="標楷體" w:hint="eastAsia"/>
          <w:kern w:val="0"/>
          <w:szCs w:val="24"/>
        </w:rPr>
        <w:t>，RFID）系統，以強化典藏管理效能，經函請故宮檢討及參酌改善。</w:t>
      </w:r>
      <w:r w:rsidRPr="009D11AD">
        <w:rPr>
          <w:rFonts w:ascii="標楷體" w:eastAsia="標楷體" w:hAnsi="標楷體" w:hint="eastAsia"/>
          <w:szCs w:val="28"/>
        </w:rPr>
        <w:t>據復：</w:t>
      </w:r>
      <w:r w:rsidRPr="009D11AD">
        <w:rPr>
          <w:rFonts w:ascii="標楷體" w:eastAsia="標楷體" w:hAnsi="標楷體" w:hint="eastAsia"/>
          <w:kern w:val="0"/>
          <w:szCs w:val="24"/>
        </w:rPr>
        <w:t>已</w:t>
      </w:r>
      <w:r w:rsidRPr="009D11AD">
        <w:rPr>
          <w:rFonts w:ascii="標楷體" w:eastAsia="標楷體" w:hAnsi="標楷體"/>
          <w:kern w:val="0"/>
          <w:szCs w:val="24"/>
        </w:rPr>
        <w:t>分別訂定</w:t>
      </w:r>
      <w:r w:rsidRPr="009D11AD">
        <w:rPr>
          <w:rFonts w:ascii="標楷體" w:eastAsia="標楷體" w:hAnsi="標楷體" w:hint="eastAsia"/>
          <w:kern w:val="0"/>
          <w:szCs w:val="24"/>
        </w:rPr>
        <w:t>南院處庫房、器物庫房、</w:t>
      </w:r>
      <w:r w:rsidRPr="009D11AD">
        <w:rPr>
          <w:rFonts w:ascii="標楷體" w:eastAsia="標楷體" w:hAnsi="標楷體"/>
          <w:kern w:val="0"/>
          <w:szCs w:val="24"/>
        </w:rPr>
        <w:t>書畫庫房</w:t>
      </w:r>
      <w:r w:rsidRPr="009D11AD">
        <w:rPr>
          <w:rFonts w:ascii="標楷體" w:eastAsia="標楷體" w:hAnsi="標楷體" w:hint="eastAsia"/>
          <w:kern w:val="0"/>
          <w:szCs w:val="24"/>
        </w:rPr>
        <w:t>、</w:t>
      </w:r>
      <w:r w:rsidRPr="009D11AD">
        <w:rPr>
          <w:rFonts w:ascii="標楷體" w:eastAsia="標楷體" w:hAnsi="標楷體"/>
          <w:kern w:val="0"/>
          <w:szCs w:val="24"/>
        </w:rPr>
        <w:t>古籍庫房</w:t>
      </w:r>
      <w:r w:rsidRPr="009D11AD">
        <w:rPr>
          <w:rFonts w:ascii="標楷體" w:eastAsia="標楷體" w:hAnsi="標楷體" w:hint="eastAsia"/>
          <w:kern w:val="0"/>
          <w:szCs w:val="24"/>
        </w:rPr>
        <w:t>及</w:t>
      </w:r>
      <w:r w:rsidRPr="009D11AD">
        <w:rPr>
          <w:rFonts w:ascii="標楷體" w:eastAsia="標楷體" w:hAnsi="標楷體"/>
          <w:kern w:val="0"/>
          <w:szCs w:val="24"/>
        </w:rPr>
        <w:t>文獻庫房</w:t>
      </w:r>
      <w:r w:rsidRPr="009D11AD">
        <w:rPr>
          <w:rFonts w:ascii="標楷體" w:eastAsia="標楷體" w:hAnsi="標楷體" w:hint="eastAsia"/>
          <w:kern w:val="0"/>
          <w:szCs w:val="24"/>
        </w:rPr>
        <w:t>之</w:t>
      </w:r>
      <w:r w:rsidRPr="009D11AD">
        <w:rPr>
          <w:rFonts w:ascii="標楷體" w:eastAsia="標楷體" w:hAnsi="標楷體"/>
          <w:kern w:val="0"/>
          <w:szCs w:val="24"/>
        </w:rPr>
        <w:t>人員進出、文物提件歸</w:t>
      </w:r>
      <w:r w:rsidRPr="009D11AD">
        <w:rPr>
          <w:rFonts w:ascii="標楷體" w:eastAsia="標楷體" w:hAnsi="標楷體" w:hint="eastAsia"/>
          <w:kern w:val="0"/>
          <w:szCs w:val="24"/>
        </w:rPr>
        <w:t>件（</w:t>
      </w:r>
      <w:r w:rsidRPr="009D11AD">
        <w:rPr>
          <w:rFonts w:ascii="標楷體" w:eastAsia="標楷體" w:hAnsi="標楷體"/>
          <w:kern w:val="0"/>
          <w:szCs w:val="24"/>
        </w:rPr>
        <w:t>架）、事件通報流程等標準作業程序，及</w:t>
      </w:r>
      <w:r w:rsidRPr="009D11AD">
        <w:rPr>
          <w:rFonts w:ascii="標楷體" w:eastAsia="標楷體" w:hAnsi="標楷體" w:hint="eastAsia"/>
          <w:kern w:val="0"/>
          <w:szCs w:val="24"/>
        </w:rPr>
        <w:t>於112年3月13日參訪國立臺灣美術館及國立自然科學博物館典藏RFID庫房，規劃於</w:t>
      </w:r>
      <w:r w:rsidRPr="009D11AD">
        <w:rPr>
          <w:rFonts w:ascii="標楷體" w:eastAsia="標楷體" w:hAnsi="標楷體"/>
          <w:kern w:val="0"/>
          <w:szCs w:val="24"/>
        </w:rPr>
        <w:t>112年度以</w:t>
      </w:r>
      <w:r w:rsidRPr="009D11AD">
        <w:rPr>
          <w:rFonts w:ascii="標楷體" w:eastAsia="標楷體" w:hAnsi="標楷體" w:hint="eastAsia"/>
          <w:kern w:val="0"/>
          <w:szCs w:val="24"/>
        </w:rPr>
        <w:t>南院處</w:t>
      </w:r>
      <w:r w:rsidRPr="009D11AD">
        <w:rPr>
          <w:rFonts w:ascii="標楷體" w:eastAsia="標楷體" w:hAnsi="標楷體"/>
          <w:kern w:val="0"/>
          <w:szCs w:val="24"/>
        </w:rPr>
        <w:t>庫房先行導入無線射頻辨識</w:t>
      </w:r>
      <w:r w:rsidR="00D441FD" w:rsidRPr="009D11AD">
        <w:rPr>
          <w:rFonts w:ascii="標楷體" w:eastAsia="標楷體" w:hAnsi="標楷體" w:hint="eastAsia"/>
          <w:kern w:val="0"/>
          <w:szCs w:val="24"/>
        </w:rPr>
        <w:t>（</w:t>
      </w:r>
      <w:r w:rsidRPr="009D11AD">
        <w:rPr>
          <w:rFonts w:ascii="標楷體" w:eastAsia="標楷體" w:hAnsi="標楷體" w:hint="eastAsia"/>
          <w:kern w:val="0"/>
          <w:szCs w:val="24"/>
        </w:rPr>
        <w:t>RFID</w:t>
      </w:r>
      <w:r w:rsidR="00D441FD" w:rsidRPr="009D11AD">
        <w:rPr>
          <w:rFonts w:ascii="標楷體" w:eastAsia="標楷體" w:hAnsi="標楷體" w:hint="eastAsia"/>
          <w:kern w:val="0"/>
          <w:szCs w:val="24"/>
        </w:rPr>
        <w:t>）</w:t>
      </w:r>
      <w:r w:rsidRPr="009D11AD">
        <w:rPr>
          <w:rFonts w:ascii="標楷體" w:eastAsia="標楷體" w:hAnsi="標楷體" w:hint="eastAsia"/>
          <w:kern w:val="0"/>
          <w:szCs w:val="24"/>
        </w:rPr>
        <w:t>文物管理，再依據全院架構以逐區域及逐庫房方式循序分年導入北部院區各庫房。</w:t>
      </w:r>
    </w:p>
    <w:p w14:paraId="39A7738D" w14:textId="4ED8C09B" w:rsidR="00AA73AB" w:rsidRPr="009D11AD" w:rsidRDefault="00AA73AB" w:rsidP="0008692E">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（二十七）　原住民族委員會原住民族文化發展中心辦理「臺灣原住民族文化園區綠珠雕琢再造7年（106至112年度</w:t>
      </w:r>
      <w:r w:rsidR="00D441FD" w:rsidRPr="009D11AD">
        <w:rPr>
          <w:rFonts w:hAnsi="標楷體" w:hint="eastAsia"/>
          <w:b/>
          <w:color w:val="000000" w:themeColor="text1"/>
          <w:sz w:val="28"/>
          <w:szCs w:val="28"/>
        </w:rPr>
        <w:t>）</w:t>
      </w:r>
      <w:r w:rsidRPr="009D11AD">
        <w:rPr>
          <w:rFonts w:hAnsi="標楷體" w:hint="eastAsia"/>
          <w:b/>
          <w:color w:val="000000" w:themeColor="text1"/>
          <w:sz w:val="28"/>
          <w:szCs w:val="28"/>
        </w:rPr>
        <w:t>中長程計畫」，未落實評估遊園車使用效益、駕駛人力勞務委外契約規範過於粗略及未訂定相關油料使用管理作業；</w:t>
      </w:r>
      <w:r w:rsidR="00931C29">
        <w:rPr>
          <w:rFonts w:hAnsi="標楷體" w:hint="eastAsia"/>
          <w:b/>
          <w:color w:val="000000" w:themeColor="text1"/>
          <w:sz w:val="28"/>
          <w:szCs w:val="28"/>
        </w:rPr>
        <w:t>又</w:t>
      </w:r>
      <w:r w:rsidRPr="009D11AD">
        <w:rPr>
          <w:rFonts w:hAnsi="標楷體" w:hint="eastAsia"/>
          <w:b/>
          <w:color w:val="000000" w:themeColor="text1"/>
          <w:sz w:val="28"/>
          <w:szCs w:val="28"/>
        </w:rPr>
        <w:t>未覈實評估計畫財務效益</w:t>
      </w:r>
      <w:r w:rsidR="00931C29">
        <w:rPr>
          <w:rFonts w:hAnsi="標楷體" w:hint="eastAsia"/>
          <w:b/>
          <w:color w:val="000000" w:themeColor="text1"/>
          <w:sz w:val="28"/>
          <w:szCs w:val="28"/>
        </w:rPr>
        <w:t>，</w:t>
      </w:r>
      <w:r w:rsidRPr="009D11AD">
        <w:rPr>
          <w:rFonts w:hAnsi="標楷體" w:hint="eastAsia"/>
          <w:b/>
          <w:color w:val="000000" w:themeColor="text1"/>
          <w:sz w:val="28"/>
          <w:szCs w:val="28"/>
        </w:rPr>
        <w:t>園區內橋梁劣損構件未依檢測結果進行維修與補強作業</w:t>
      </w:r>
      <w:r w:rsidR="00931C29">
        <w:rPr>
          <w:rFonts w:hAnsi="標楷體" w:hint="eastAsia"/>
          <w:b/>
          <w:color w:val="000000" w:themeColor="text1"/>
          <w:sz w:val="28"/>
          <w:szCs w:val="28"/>
        </w:rPr>
        <w:t>，及</w:t>
      </w:r>
      <w:r w:rsidRPr="009D11AD">
        <w:rPr>
          <w:rFonts w:hAnsi="標楷體" w:hint="eastAsia"/>
          <w:b/>
          <w:color w:val="000000" w:themeColor="text1"/>
          <w:sz w:val="28"/>
          <w:szCs w:val="28"/>
        </w:rPr>
        <w:t>歷年製作之樂舞舞碼逾半數不適合演出</w:t>
      </w:r>
      <w:r w:rsidR="00931C29">
        <w:rPr>
          <w:rFonts w:hAnsi="標楷體" w:hint="eastAsia"/>
          <w:b/>
          <w:color w:val="000000" w:themeColor="text1"/>
          <w:sz w:val="28"/>
          <w:szCs w:val="28"/>
        </w:rPr>
        <w:t>等</w:t>
      </w:r>
      <w:r w:rsidRPr="009D11AD">
        <w:rPr>
          <w:rFonts w:hAnsi="標楷體" w:hint="eastAsia"/>
          <w:b/>
          <w:color w:val="000000" w:themeColor="text1"/>
          <w:sz w:val="28"/>
          <w:szCs w:val="28"/>
        </w:rPr>
        <w:t>，均待研謀改善</w:t>
      </w:r>
      <w:r w:rsidRPr="009D11AD">
        <w:rPr>
          <w:rFonts w:hAnsi="標楷體" w:hint="eastAsia"/>
          <w:b/>
          <w:color w:val="000000" w:themeColor="text1"/>
          <w:spacing w:val="-2"/>
          <w:sz w:val="28"/>
          <w:szCs w:val="28"/>
        </w:rPr>
        <w:t>。</w:t>
      </w:r>
    </w:p>
    <w:p w14:paraId="6808CA14" w14:textId="22B7F407" w:rsidR="00AA73AB" w:rsidRPr="009D11AD" w:rsidRDefault="00AA73AB" w:rsidP="0072054D">
      <w:pPr>
        <w:pStyle w:val="affb"/>
        <w:kinsoku/>
        <w:overflowPunct w:val="0"/>
        <w:adjustRightInd/>
        <w:spacing w:line="440" w:lineRule="exact"/>
        <w:ind w:left="0" w:firstLineChars="200" w:firstLine="480"/>
        <w:jc w:val="both"/>
        <w:rPr>
          <w:rFonts w:hAnsi="標楷體"/>
          <w:sz w:val="24"/>
          <w:szCs w:val="24"/>
        </w:rPr>
      </w:pPr>
      <w:r w:rsidRPr="009D11AD">
        <w:rPr>
          <w:rFonts w:hAnsi="標楷體" w:hint="eastAsia"/>
          <w:noProof/>
          <w:sz w:val="24"/>
          <w:szCs w:val="24"/>
        </w:rPr>
        <w:t>原住民族委員會原住民族文化發展中心（下稱原發中心）所轄臺灣原住民族文化園區（下稱文化園區）於76年成立開園，因文化園區內展示內容、服務設施不符需求，且部分設施、館舍、傳統部落老舊建物嚴重毀損，為修復文化園區內傳統建築、建置友善觀光設施及重現原住民族傳統生活風貌，原發中心提報「臺灣原住民族文化園區綠珠雕琢再造6年</w:t>
      </w:r>
      <w:r w:rsidR="00D441FD" w:rsidRPr="009D11AD">
        <w:rPr>
          <w:rFonts w:hAnsi="標楷體" w:hint="eastAsia"/>
          <w:noProof/>
          <w:sz w:val="24"/>
          <w:szCs w:val="24"/>
        </w:rPr>
        <w:t>（</w:t>
      </w:r>
      <w:r w:rsidRPr="009D11AD">
        <w:rPr>
          <w:rFonts w:hAnsi="標楷體" w:hint="eastAsia"/>
          <w:noProof/>
          <w:sz w:val="24"/>
          <w:szCs w:val="24"/>
        </w:rPr>
        <w:t>106至111年度</w:t>
      </w:r>
      <w:r w:rsidR="00D441FD" w:rsidRPr="009D11AD">
        <w:rPr>
          <w:rFonts w:hAnsi="標楷體" w:hint="eastAsia"/>
          <w:noProof/>
          <w:sz w:val="24"/>
          <w:szCs w:val="24"/>
        </w:rPr>
        <w:t>）</w:t>
      </w:r>
      <w:r w:rsidRPr="009D11AD">
        <w:rPr>
          <w:rFonts w:hAnsi="標楷體" w:hint="eastAsia"/>
          <w:noProof/>
          <w:sz w:val="24"/>
          <w:szCs w:val="24"/>
        </w:rPr>
        <w:t>中長程計畫」（下稱綠珠雕琢計畫），經行政院於105年3月</w:t>
      </w:r>
      <w:r w:rsidR="00CF4D9B">
        <w:rPr>
          <w:rFonts w:hAnsi="標楷體" w:hint="eastAsia"/>
          <w:noProof/>
          <w:sz w:val="24"/>
          <w:szCs w:val="24"/>
        </w:rPr>
        <w:t>2</w:t>
      </w:r>
      <w:r w:rsidRPr="009D11AD">
        <w:rPr>
          <w:rFonts w:hAnsi="標楷體" w:hint="eastAsia"/>
          <w:noProof/>
          <w:sz w:val="24"/>
          <w:szCs w:val="24"/>
        </w:rPr>
        <w:t>8日核定，總計畫經費15億5,190萬元，辦理文化園區內歌舞館、民族劇場、文物館、傳統展示建築、遊客服務設施及載運遊園車等老舊設施及車輛之改善及充實。嗣因營建工程物價指數調漲及受新型冠狀病毒肺炎</w:t>
      </w:r>
      <w:r w:rsidR="00D441FD" w:rsidRPr="009D11AD">
        <w:rPr>
          <w:rFonts w:hAnsi="標楷體" w:hint="eastAsia"/>
          <w:noProof/>
          <w:sz w:val="24"/>
          <w:szCs w:val="24"/>
        </w:rPr>
        <w:t>（</w:t>
      </w:r>
      <w:r w:rsidR="00FC413E" w:rsidRPr="009D11AD">
        <w:rPr>
          <w:rFonts w:hAnsi="標楷體" w:hint="eastAsia"/>
          <w:noProof/>
          <w:sz w:val="24"/>
          <w:szCs w:val="24"/>
        </w:rPr>
        <w:t>COVID－19</w:t>
      </w:r>
      <w:r w:rsidR="00D441FD" w:rsidRPr="009D11AD">
        <w:rPr>
          <w:rFonts w:hAnsi="標楷體" w:hint="eastAsia"/>
          <w:noProof/>
          <w:sz w:val="24"/>
          <w:szCs w:val="24"/>
        </w:rPr>
        <w:t>）</w:t>
      </w:r>
      <w:r w:rsidRPr="009D11AD">
        <w:rPr>
          <w:rFonts w:hAnsi="標楷體" w:hint="eastAsia"/>
          <w:noProof/>
          <w:sz w:val="24"/>
          <w:szCs w:val="24"/>
        </w:rPr>
        <w:t>疫情等影響，提報修正計畫，經行政院於111年4月19日核定修正計畫期程延長至112年，總經費調增至16億6,440萬元。</w:t>
      </w:r>
      <w:r w:rsidRPr="009D11AD">
        <w:rPr>
          <w:rFonts w:hAnsi="標楷體" w:hint="eastAsia"/>
          <w:sz w:val="24"/>
          <w:szCs w:val="24"/>
        </w:rPr>
        <w:t>經查執行情形，核有下列事項：</w:t>
      </w:r>
    </w:p>
    <w:p w14:paraId="343D43A6" w14:textId="5762F54F" w:rsidR="00AA73AB" w:rsidRPr="009D11AD" w:rsidRDefault="00AA73AB" w:rsidP="00DA2751">
      <w:pPr>
        <w:pStyle w:val="affb"/>
        <w:kinsoku/>
        <w:overflowPunct w:val="0"/>
        <w:adjustRightInd/>
        <w:spacing w:line="440" w:lineRule="exact"/>
        <w:ind w:left="0" w:firstLineChars="450" w:firstLine="1081"/>
        <w:jc w:val="both"/>
        <w:rPr>
          <w:rFonts w:hAnsi="標楷體"/>
          <w:sz w:val="16"/>
          <w:szCs w:val="24"/>
        </w:rPr>
      </w:pPr>
      <w:r w:rsidRPr="009D11AD">
        <w:rPr>
          <w:rFonts w:hAnsi="標楷體" w:hint="eastAsia"/>
          <w:b/>
          <w:sz w:val="24"/>
          <w:szCs w:val="24"/>
        </w:rPr>
        <w:t>1</w:t>
      </w:r>
      <w:r w:rsidRPr="009D11AD">
        <w:rPr>
          <w:rFonts w:hAnsi="標楷體"/>
          <w:b/>
          <w:sz w:val="24"/>
          <w:szCs w:val="24"/>
        </w:rPr>
        <w:t>.</w:t>
      </w:r>
      <w:r w:rsidRPr="009D11AD">
        <w:rPr>
          <w:rFonts w:hAnsi="標楷體" w:hint="eastAsia"/>
          <w:b/>
          <w:sz w:val="24"/>
          <w:szCs w:val="24"/>
        </w:rPr>
        <w:t xml:space="preserve">　原發中心遊園車</w:t>
      </w:r>
      <w:r w:rsidR="00931C29">
        <w:rPr>
          <w:rFonts w:hAnsi="標楷體" w:hint="eastAsia"/>
          <w:b/>
          <w:sz w:val="24"/>
          <w:szCs w:val="24"/>
        </w:rPr>
        <w:t>低度</w:t>
      </w:r>
      <w:r w:rsidRPr="009D11AD">
        <w:rPr>
          <w:rFonts w:hAnsi="標楷體" w:hint="eastAsia"/>
          <w:b/>
          <w:sz w:val="24"/>
          <w:szCs w:val="24"/>
        </w:rPr>
        <w:t>使用、駕駛人力勞務委外契約規範駕駛資格不符規定，且工作項目過於粗略，及未訂定相關油料使用管理作業，</w:t>
      </w:r>
      <w:r w:rsidR="00931C29">
        <w:rPr>
          <w:rFonts w:hAnsi="標楷體" w:hint="eastAsia"/>
          <w:b/>
          <w:sz w:val="24"/>
          <w:szCs w:val="24"/>
        </w:rPr>
        <w:t>恐</w:t>
      </w:r>
      <w:r w:rsidRPr="009D11AD">
        <w:rPr>
          <w:rFonts w:hAnsi="標楷體" w:hint="eastAsia"/>
          <w:b/>
          <w:sz w:val="24"/>
          <w:szCs w:val="24"/>
        </w:rPr>
        <w:t>增加遊客乘車風險，亦未能掌握園區每輛遊園車使用狀況及效率，不利後續車輛汰換及駕駛人力需求等評估作業：</w:t>
      </w:r>
      <w:r w:rsidRPr="009D11AD">
        <w:rPr>
          <w:rFonts w:hAnsi="標楷體" w:hint="eastAsia"/>
          <w:noProof/>
          <w:sz w:val="24"/>
          <w:szCs w:val="24"/>
        </w:rPr>
        <w:t>原發中心為服務入園遊客往來不同區域，提供遊園車輛供入園遊客搭乘，截至111年8月底止共經管16輛遊園車，其中8輛係以綠珠雕琢計畫經費5,330萬餘元購置。</w:t>
      </w:r>
      <w:r w:rsidRPr="009D11AD">
        <w:rPr>
          <w:rFonts w:hAnsi="標楷體" w:hint="eastAsia"/>
          <w:sz w:val="24"/>
          <w:szCs w:val="24"/>
        </w:rPr>
        <w:t>經查原發中心實際經管使用遊園車情形，核有</w:t>
      </w:r>
      <w:r w:rsidR="009009D8" w:rsidRPr="009D11AD">
        <w:rPr>
          <w:rFonts w:hAnsi="標楷體" w:hint="eastAsia"/>
          <w:sz w:val="24"/>
          <w:szCs w:val="24"/>
        </w:rPr>
        <w:t>：</w:t>
      </w:r>
      <w:r w:rsidRPr="009D11AD">
        <w:rPr>
          <w:rFonts w:hAnsi="標楷體" w:hint="eastAsia"/>
          <w:sz w:val="24"/>
          <w:szCs w:val="24"/>
        </w:rPr>
        <w:t>（1）僅以綠珠雕琢計畫執行期間陸續達報廢年限之遊園車輛數，作為評估須購置遊園車之依據，未依行政院核定綠珠雕琢計畫函檢附之審查意見，落實評估遊園車輛使用效益後依規定報經行政院核准再辦理汰購，另依據駕駛人111年10月份打卡資料，推估近年每日有9至11輛遊園車（占總數之56.25％至68.75％）呈現閒置未使用狀態，又按遊園車自購置使用日期至111年8月底止之使用里程數數據推估，16輛遊園車平均每日行駛趟數介於1至24趟間，其中平均每日行駛2趟以下者5輛、2至5趟者3輛，約5成遊園車每日僅行駛5趟以下，甚有新購</w:t>
      </w:r>
      <w:r w:rsidRPr="009D11AD">
        <w:rPr>
          <w:rFonts w:hAnsi="標楷體" w:hint="eastAsia"/>
          <w:sz w:val="24"/>
          <w:szCs w:val="24"/>
        </w:rPr>
        <w:lastRenderedPageBreak/>
        <w:t>置（108及109年底購置）之4輛遊園車（2輛電動遊園車、2輛環保節能遊園車，購置金額2,969萬餘元），平均每日行駛僅1.01至1.77趟，依遊園車行駛文化園區來回1趟約為10至15分鐘，顯低度使用；（2）執行「111年度公益彩券回饋金計畫－清淨園區幸福遊園推廣人才訓用計畫－遊客載送及隨車導覽服務」勞務採購案（下稱文化園區遊園車駕駛人力勞務委外案），決標金額466萬元，辦理文化園區遊客載運服務及遊園車輛基本保養、清潔等工作，惟未依道路交通安全規則及車輛管理手冊規定要求駕駛人力均應取得職業大客車以上駕駛執照，逕行放寬委外駕駛人力資格，任由領有普通駕駛執照者以駕駛為職業，又未落實審查及驗收受託廠商提報駕駛人力資料，致使不符契約駕駛條件者駕駛遊園車輛；且契約規範工作項目或駕駛人員執勤方式過於粗略，原發中心並未依車輛管理手冊所列應記錄事項，要求受託廠商製作每日各遊園車實際出車趟次、里程及當次駕駛人（即實際調派使用紀錄），各車輛行駛前後檢查、保養紀錄等，在無相關資料可稽情況下，該中心難以考核駕駛人勤務執行情形及駕駛人力需求，長期未掌握遊園車使用效率，且因欠缺車輛保養紀錄，在車況未明情形下，恐增加遊客搭乘風險；另燃油遊園車之油料採購作業，係由原發中心人員至鄰近加油站以油桶購油，再回存至園區設置之儲油桶，後續由受託廠商負責遊園車加油作業，未訂定油料使用相關管理作業程序及應填報或製作之表單，納入契約規範要求受託廠商辦理，亦未管理各遊園車輛實際領用量，儲油桶之進、出數量及庫存量，難以檢視各遊園車用油有無異常等情事。經函請原住民族委員會督促原發中心妥為完備車輛相關管理制度，研議就每年參觀園區人數，以及車輛妥善率、遊客搭乘情形等，妥為評估應備遊園車數量及配套駕駛勞務外包需求人數，並研訂駕駛人資格條件、工作項目及值勤方式等，落實履約管理，另應檢討訂定油料使用管理作業程序，以為車輛保養汰換、駕駛人力需求、油料異常示警處理之參據。</w:t>
      </w:r>
    </w:p>
    <w:p w14:paraId="2D58FDBD" w14:textId="2C6263E9" w:rsidR="00AA73AB" w:rsidRPr="009D11AD" w:rsidRDefault="00AA73AB" w:rsidP="00DA2751">
      <w:pPr>
        <w:overflowPunct w:val="0"/>
        <w:snapToGrid w:val="0"/>
        <w:spacing w:line="430" w:lineRule="exact"/>
        <w:ind w:firstLineChars="450" w:firstLine="1081"/>
        <w:jc w:val="both"/>
        <w:rPr>
          <w:rFonts w:ascii="標楷體" w:eastAsia="標楷體" w:hAnsi="標楷體"/>
          <w:szCs w:val="24"/>
        </w:rPr>
      </w:pPr>
      <w:r w:rsidRPr="009D11AD">
        <w:rPr>
          <w:rFonts w:ascii="標楷體" w:eastAsia="標楷體" w:hAnsi="標楷體" w:hint="eastAsia"/>
          <w:b/>
          <w:szCs w:val="24"/>
        </w:rPr>
        <w:t>2</w:t>
      </w:r>
      <w:r w:rsidRPr="009D11AD">
        <w:rPr>
          <w:rFonts w:ascii="標楷體" w:eastAsia="標楷體" w:hAnsi="標楷體"/>
          <w:b/>
          <w:szCs w:val="24"/>
        </w:rPr>
        <w:t>.</w:t>
      </w:r>
      <w:r w:rsidRPr="009D11AD">
        <w:rPr>
          <w:rFonts w:ascii="標楷體" w:eastAsia="標楷體" w:hAnsi="標楷體" w:hint="eastAsia"/>
          <w:b/>
          <w:szCs w:val="24"/>
        </w:rPr>
        <w:t xml:space="preserve">　原發中心未覈實評估綠珠雕琢計畫財務效益情形，恐造成經營管理文化園區之財務缺口，增加政府財政負擔，允宜研提策略增裕財務收入：</w:t>
      </w:r>
      <w:r w:rsidRPr="009D11AD">
        <w:rPr>
          <w:rFonts w:ascii="標楷體" w:eastAsia="標楷體" w:hAnsi="標楷體" w:hint="eastAsia"/>
          <w:szCs w:val="24"/>
        </w:rPr>
        <w:t>原發中心研擬綠珠雕琢計畫之財務計畫，係以公共建設營運年限30年為基準，評估106至135年度之營運收支狀況，預計累計業務收入合計34億6,697萬餘元，主要為29座地方文物館文創商品及出版品產值23億1,245萬餘元</w:t>
      </w:r>
      <w:r w:rsidR="00D441FD" w:rsidRPr="009D11AD">
        <w:rPr>
          <w:rFonts w:ascii="標楷體" w:eastAsia="標楷體" w:hAnsi="標楷體" w:hint="eastAsia"/>
          <w:szCs w:val="24"/>
        </w:rPr>
        <w:t>（</w:t>
      </w:r>
      <w:r w:rsidRPr="009D11AD">
        <w:rPr>
          <w:rFonts w:ascii="標楷體" w:eastAsia="標楷體" w:hAnsi="標楷體" w:hint="eastAsia"/>
          <w:szCs w:val="24"/>
        </w:rPr>
        <w:t>占總額之66.70％</w:t>
      </w:r>
      <w:r w:rsidR="00D441FD" w:rsidRPr="009D11AD">
        <w:rPr>
          <w:rFonts w:ascii="標楷體" w:eastAsia="標楷體" w:hAnsi="標楷體" w:hint="eastAsia"/>
          <w:szCs w:val="24"/>
        </w:rPr>
        <w:t>）</w:t>
      </w:r>
      <w:r w:rsidRPr="009D11AD">
        <w:rPr>
          <w:rFonts w:ascii="標楷體" w:eastAsia="標楷體" w:hAnsi="標楷體" w:hint="eastAsia"/>
          <w:szCs w:val="24"/>
        </w:rPr>
        <w:t>，次為門票收入9億8,458萬餘元</w:t>
      </w:r>
      <w:r w:rsidR="00D441FD" w:rsidRPr="009D11AD">
        <w:rPr>
          <w:rFonts w:ascii="標楷體" w:eastAsia="標楷體" w:hAnsi="標楷體" w:hint="eastAsia"/>
          <w:szCs w:val="24"/>
        </w:rPr>
        <w:t>（</w:t>
      </w:r>
      <w:r w:rsidRPr="009D11AD">
        <w:rPr>
          <w:rFonts w:ascii="標楷體" w:eastAsia="標楷體" w:hAnsi="標楷體" w:hint="eastAsia"/>
          <w:szCs w:val="24"/>
        </w:rPr>
        <w:t>占總額之28.40％</w:t>
      </w:r>
      <w:r w:rsidR="00D441FD" w:rsidRPr="009D11AD">
        <w:rPr>
          <w:rFonts w:ascii="標楷體" w:eastAsia="標楷體" w:hAnsi="標楷體" w:hint="eastAsia"/>
          <w:szCs w:val="24"/>
        </w:rPr>
        <w:t>）</w:t>
      </w:r>
      <w:r w:rsidRPr="009D11AD">
        <w:rPr>
          <w:rFonts w:ascii="標楷體" w:eastAsia="標楷體" w:hAnsi="標楷體" w:hint="eastAsia"/>
          <w:szCs w:val="24"/>
        </w:rPr>
        <w:t>，2項收入占總額95.10％；另預計累計業務成本及費用合計30億6,705萬餘元，預計累計業務賸餘3億9,991萬餘元。111年10月原發中心重新評估文化園區營運收支及餘絀結果，累計業務收入大幅降低至5億1,271萬餘元，減幅</w:t>
      </w:r>
      <w:r w:rsidRPr="009D11AD">
        <w:rPr>
          <w:rFonts w:ascii="標楷體" w:eastAsia="標楷體" w:hAnsi="標楷體" w:hint="eastAsia"/>
          <w:color w:val="000000" w:themeColor="text1"/>
          <w:szCs w:val="24"/>
        </w:rPr>
        <w:t>達85.21％，其中29座地方文物館文創商品及出版品產值減至242萬餘元、減幅達99.90％，原估計平均每年7,708萬餘元收入，減少至每年僅8萬餘元，累計門票收入則減至4億341萬餘元，減幅59.03％，另累計業務支出雖亦減少為16億3,889萬元，惟累計業務收入支出增減結果，營運收支由原估計累積賸餘3億9,991萬餘元，調降為累積短絀11億2,617萬餘元，且30年營運期間每年營運收支均短絀逾3,400萬元，該缺口將由政府</w:t>
      </w:r>
      <w:r w:rsidRPr="009D11AD">
        <w:rPr>
          <w:rFonts w:ascii="標楷體" w:eastAsia="標楷體" w:hAnsi="標楷體" w:hint="eastAsia"/>
          <w:color w:val="000000" w:themeColor="text1"/>
          <w:szCs w:val="24"/>
        </w:rPr>
        <w:lastRenderedPageBreak/>
        <w:t>歲出預算支應而造成財政負擔。鑑於行政院於105年3月18日核定綠珠雕琢計畫時併同提供國家發展委員會綜整各部會審查意見略以，請持續評估適當之民間參與投資經營方式，並積極研提推動創新可行之財務策略，以期文化園區將來得以自主經營，減輕政府財政負擔等，經函請原住民族委員會依國家發展委員會建議，研提創新可行之財務策略，並研議提升</w:t>
      </w:r>
      <w:r w:rsidRPr="009D11AD">
        <w:rPr>
          <w:rFonts w:ascii="標楷體" w:eastAsia="標楷體" w:hAnsi="標楷體" w:hint="eastAsia"/>
          <w:szCs w:val="24"/>
        </w:rPr>
        <w:t>入園買票遊客人數之有效策略，帶動門票及停車場收入增加，以提高設施委外經營權利金、租金等，達到增裕財務收入之目標。據復：綠珠雕琢計畫將納入不可抗力因素風險管理，以確保計畫執行達到預期效益，並將針對年輕族群推出文化推廣及體驗活動、強化網路行銷、爭取「環境教育設施場所」認證，鼓勵學校團體、政府機關至文化園區參訪、結合鄰近部落機關或旅行業者設計客製化遊程等，以提高入園人數及規費收入。</w:t>
      </w:r>
    </w:p>
    <w:p w14:paraId="4A0B0B9C" w14:textId="0A69B391" w:rsidR="00AA73AB" w:rsidRPr="009D11AD" w:rsidRDefault="00AA73AB" w:rsidP="00DA2751">
      <w:pPr>
        <w:overflowPunct w:val="0"/>
        <w:snapToGrid w:val="0"/>
        <w:spacing w:line="430" w:lineRule="exact"/>
        <w:ind w:firstLineChars="450" w:firstLine="1081"/>
        <w:jc w:val="both"/>
        <w:rPr>
          <w:rFonts w:ascii="標楷體" w:eastAsia="標楷體" w:hAnsi="標楷體"/>
          <w:szCs w:val="24"/>
        </w:rPr>
      </w:pPr>
      <w:r w:rsidRPr="009D11AD">
        <w:rPr>
          <w:rFonts w:ascii="標楷體" w:eastAsia="標楷體" w:hAnsi="標楷體" w:hint="eastAsia"/>
          <w:b/>
          <w:szCs w:val="24"/>
        </w:rPr>
        <w:t>3</w:t>
      </w:r>
      <w:r w:rsidRPr="009D11AD">
        <w:rPr>
          <w:rFonts w:ascii="標楷體" w:eastAsia="標楷體" w:hAnsi="標楷體"/>
          <w:b/>
          <w:szCs w:val="24"/>
        </w:rPr>
        <w:t>.</w:t>
      </w:r>
      <w:r w:rsidRPr="009D11AD">
        <w:rPr>
          <w:rFonts w:ascii="標楷體" w:eastAsia="標楷體" w:hAnsi="標楷體" w:hint="eastAsia"/>
          <w:b/>
          <w:szCs w:val="24"/>
        </w:rPr>
        <w:t xml:space="preserve">　原發中心雖辦理2次文化園區人行橋梁檢測，惟未依檢測結果辦理橋梁劣損構件維修與補強作業，亦未依規定訂定轄管特殊性橋梁維護管理作業計畫，影響文化園區遊客通行安全：</w:t>
      </w:r>
      <w:r w:rsidRPr="009D11AD">
        <w:rPr>
          <w:rFonts w:ascii="標楷體" w:eastAsia="標楷體" w:hAnsi="標楷體" w:hint="eastAsia"/>
          <w:szCs w:val="24"/>
        </w:rPr>
        <w:t>依行政院訂頒橋梁維護管理作業要點第3點第3款、第7款及第8款規定：「（三）橋梁：指總長達6公尺且跨越地面、水面、道路或軌道之結構物</w:t>
      </w:r>
      <w:r w:rsidRPr="009D11AD">
        <w:rPr>
          <w:rFonts w:ascii="標楷體" w:eastAsia="標楷體" w:hAnsi="標楷體"/>
          <w:szCs w:val="24"/>
        </w:rPr>
        <w:t>……</w:t>
      </w:r>
      <w:r w:rsidRPr="009D11AD">
        <w:rPr>
          <w:rFonts w:ascii="標楷體" w:eastAsia="標楷體" w:hAnsi="標楷體" w:hint="eastAsia"/>
          <w:szCs w:val="24"/>
        </w:rPr>
        <w:t>。依性質分為車行橋梁、鐵道橋梁及人行天橋。（七）養護單位：橋梁養護作業實際執行單位。（八）養護管理機關：中央政府機關（構）所轄橋梁為其養護單位所屬機關（構）之上一級機關</w:t>
      </w:r>
      <w:r w:rsidRPr="009D11AD">
        <w:rPr>
          <w:rFonts w:ascii="標楷體" w:eastAsia="標楷體" w:hAnsi="標楷體"/>
          <w:szCs w:val="24"/>
        </w:rPr>
        <w:t>……</w:t>
      </w:r>
      <w:r w:rsidRPr="009D11AD">
        <w:rPr>
          <w:rFonts w:ascii="標楷體" w:eastAsia="標楷體" w:hAnsi="標楷體" w:hint="eastAsia"/>
          <w:szCs w:val="24"/>
        </w:rPr>
        <w:t>。」第4點及第6點規定，中央政府機關供公眾通行之橋梁，由其養護單位養護，養護管理機關定期考核養護情形，並訂定考核作業規定。又依內政部訂頒「人行天橋檢測與維修及補強規範」第一章總則第C1.1點一般說明：「</w:t>
      </w:r>
      <w:r w:rsidRPr="009D11AD">
        <w:rPr>
          <w:rFonts w:ascii="標楷體" w:eastAsia="標楷體" w:hAnsi="標楷體"/>
          <w:szCs w:val="24"/>
        </w:rPr>
        <w:t>……</w:t>
      </w:r>
      <w:r w:rsidRPr="009D11AD">
        <w:rPr>
          <w:rFonts w:ascii="標楷體" w:eastAsia="標楷體" w:hAnsi="標楷體" w:hint="eastAsia"/>
          <w:szCs w:val="24"/>
        </w:rPr>
        <w:t>2.特殊性人行天橋應考量其結構特性及現地狀況</w:t>
      </w:r>
      <w:r w:rsidRPr="009D11AD">
        <w:rPr>
          <w:rFonts w:ascii="標楷體" w:eastAsia="標楷體" w:hAnsi="標楷體"/>
          <w:szCs w:val="24"/>
        </w:rPr>
        <w:t>……</w:t>
      </w:r>
      <w:r w:rsidRPr="009D11AD">
        <w:rPr>
          <w:rFonts w:ascii="標楷體" w:eastAsia="標楷體" w:hAnsi="標楷體" w:hint="eastAsia"/>
          <w:szCs w:val="24"/>
        </w:rPr>
        <w:t>訂定維護管理作業計畫</w:t>
      </w:r>
      <w:r w:rsidRPr="009D11AD">
        <w:rPr>
          <w:rFonts w:ascii="標楷體" w:eastAsia="標楷體" w:hAnsi="標楷體"/>
          <w:szCs w:val="24"/>
        </w:rPr>
        <w:t>……</w:t>
      </w:r>
      <w:r w:rsidRPr="009D11AD">
        <w:rPr>
          <w:rFonts w:ascii="標楷體" w:eastAsia="標楷體" w:hAnsi="標楷體" w:hint="eastAsia"/>
          <w:szCs w:val="24"/>
        </w:rPr>
        <w:t>。」第C1.3點適用範圍：「</w:t>
      </w:r>
      <w:r w:rsidRPr="009D11AD">
        <w:rPr>
          <w:rFonts w:ascii="標楷體" w:eastAsia="標楷體" w:hAnsi="標楷體"/>
          <w:szCs w:val="24"/>
        </w:rPr>
        <w:t>……</w:t>
      </w:r>
      <w:r w:rsidRPr="009D11AD">
        <w:rPr>
          <w:rFonts w:ascii="標楷體" w:eastAsia="標楷體" w:hAnsi="標楷體" w:hint="eastAsia"/>
          <w:szCs w:val="24"/>
        </w:rPr>
        <w:t>4.除一般性人行天橋外，皆屬特殊性人行天橋，如吊橋、</w:t>
      </w:r>
      <w:r w:rsidRPr="009D11AD">
        <w:rPr>
          <w:rFonts w:ascii="標楷體" w:eastAsia="標楷體" w:hAnsi="標楷體"/>
          <w:szCs w:val="24"/>
        </w:rPr>
        <w:t>……</w:t>
      </w:r>
      <w:r w:rsidRPr="009D11AD">
        <w:rPr>
          <w:rFonts w:ascii="標楷體" w:eastAsia="標楷體" w:hAnsi="標楷體" w:hint="eastAsia"/>
          <w:szCs w:val="24"/>
        </w:rPr>
        <w:t>等。5.特殊性人行天橋因結構行為較為複雜，</w:t>
      </w:r>
      <w:r w:rsidRPr="009D11AD">
        <w:rPr>
          <w:rFonts w:ascii="標楷體" w:eastAsia="標楷體" w:hAnsi="標楷體"/>
          <w:szCs w:val="24"/>
        </w:rPr>
        <w:t>……</w:t>
      </w:r>
      <w:r w:rsidRPr="009D11AD">
        <w:rPr>
          <w:rFonts w:ascii="標楷體" w:eastAsia="標楷體" w:hAnsi="標楷體" w:hint="eastAsia"/>
          <w:szCs w:val="24"/>
        </w:rPr>
        <w:t>由養護管理機關、養護單位依人行天橋特性、現地狀況及養護條件參考本規範規定，訂定其檢測及養護作業規定，作為相關作業辦理之依據。」原發中心（養護單位）經管文化園區2座吊橋、5座人行拱橋，據該中心委外辦理「園區吊橋檢測與評估工作」案之108年11月成果報告書所列檢測結果，2座吊橋共有24處構件須於1年內完成維修，預估維修經費843</w:t>
      </w:r>
      <w:r w:rsidRPr="009D11AD">
        <w:rPr>
          <w:rFonts w:ascii="標楷體" w:eastAsia="標楷體" w:hAnsi="標楷體" w:hint="eastAsia"/>
          <w:color w:val="000000" w:themeColor="text1"/>
          <w:szCs w:val="24"/>
        </w:rPr>
        <w:t>萬餘元。109年12月9日再辦理「109年度文化園區人行拱橋定期檢測及人行吊橋詳細檢測評估」案，據110年3月期中定期檢測成果報告書所列檢測結果，2座吊橋共22處構件須於1年內完成維修、5座人行拱橋共10處構件須於1年內完成維修，預估維修經費2座吊橋317萬餘元，5座人行拱橋46萬餘元，110年9月期末成果報告書並建議儘速訂定特殊橋梁維護管理計畫。查截至111年11月16日原發中心迄未依上述檢測結果於1年內進行維修，僅於111年5月更換橋面木板、修理安全網及汰換相關五金零件，恐增生遊客使用風險，且原發中心未與原住民族委員會</w:t>
      </w:r>
      <w:r w:rsidR="00D441FD" w:rsidRPr="009D11AD">
        <w:rPr>
          <w:rFonts w:ascii="標楷體" w:eastAsia="標楷體" w:hAnsi="標楷體" w:hint="eastAsia"/>
          <w:color w:val="000000" w:themeColor="text1"/>
          <w:szCs w:val="24"/>
        </w:rPr>
        <w:t>（</w:t>
      </w:r>
      <w:r w:rsidRPr="009D11AD">
        <w:rPr>
          <w:rFonts w:ascii="標楷體" w:eastAsia="標楷體" w:hAnsi="標楷體" w:hint="eastAsia"/>
          <w:color w:val="000000" w:themeColor="text1"/>
          <w:szCs w:val="24"/>
        </w:rPr>
        <w:t>養護管理機關</w:t>
      </w:r>
      <w:r w:rsidR="00D441FD" w:rsidRPr="009D11AD">
        <w:rPr>
          <w:rFonts w:ascii="標楷體" w:eastAsia="標楷體" w:hAnsi="標楷體" w:hint="eastAsia"/>
          <w:color w:val="000000" w:themeColor="text1"/>
          <w:szCs w:val="24"/>
        </w:rPr>
        <w:t>）</w:t>
      </w:r>
      <w:r w:rsidRPr="009D11AD">
        <w:rPr>
          <w:rFonts w:ascii="標楷體" w:eastAsia="標楷體" w:hAnsi="標楷體" w:hint="eastAsia"/>
          <w:color w:val="000000" w:themeColor="text1"/>
          <w:szCs w:val="24"/>
        </w:rPr>
        <w:t>訂定相關維護管理、檢測及養護</w:t>
      </w:r>
      <w:r w:rsidRPr="009D11AD">
        <w:rPr>
          <w:rFonts w:ascii="標楷體" w:eastAsia="標楷體" w:hAnsi="標楷體" w:hint="eastAsia"/>
          <w:szCs w:val="24"/>
        </w:rPr>
        <w:t>等作業規定，原住民族委員會亦未依橋梁維護管理作業要點訂定配套考核作業規定，並定期考核，核與規定未合。經函請原住民族委員會檢討並督促原發中心改善。據復：</w:t>
      </w:r>
      <w:r w:rsidR="00931C29">
        <w:rPr>
          <w:rFonts w:ascii="標楷體" w:eastAsia="標楷體" w:hAnsi="標楷體" w:hint="eastAsia"/>
          <w:szCs w:val="24"/>
        </w:rPr>
        <w:t>該</w:t>
      </w:r>
      <w:r w:rsidRPr="009D11AD">
        <w:rPr>
          <w:rFonts w:ascii="標楷體" w:eastAsia="標楷體" w:hAnsi="標楷體" w:hint="eastAsia"/>
          <w:szCs w:val="24"/>
        </w:rPr>
        <w:t>會考核原發中心經</w:t>
      </w:r>
      <w:r w:rsidRPr="009D11AD">
        <w:rPr>
          <w:rFonts w:ascii="標楷體" w:eastAsia="標楷體" w:hAnsi="標楷體" w:hint="eastAsia"/>
          <w:szCs w:val="24"/>
        </w:rPr>
        <w:lastRenderedPageBreak/>
        <w:t>管橋梁等公共設施養護情形，係依原住民族委員會公共設施維護管理考核實施計畫辦理，另原發中心提報綠珠雕琢第二期計畫業納入人行吊橋改建，將依內政部規定訂定轄管特殊性橋梁維護管理作業計畫。</w:t>
      </w:r>
    </w:p>
    <w:p w14:paraId="24C9323F" w14:textId="246A5AC2" w:rsidR="00AA73AB" w:rsidRPr="009D11AD" w:rsidRDefault="00AA73AB" w:rsidP="00DA2751">
      <w:pPr>
        <w:overflowPunct w:val="0"/>
        <w:snapToGrid w:val="0"/>
        <w:spacing w:line="430" w:lineRule="exact"/>
        <w:ind w:firstLineChars="450" w:firstLine="1081"/>
        <w:jc w:val="both"/>
        <w:rPr>
          <w:rFonts w:ascii="標楷體" w:eastAsia="標楷體" w:hAnsi="標楷體"/>
          <w:szCs w:val="24"/>
        </w:rPr>
      </w:pPr>
      <w:r w:rsidRPr="009D11AD">
        <w:rPr>
          <w:rFonts w:ascii="標楷體" w:eastAsia="標楷體" w:hAnsi="標楷體" w:hint="eastAsia"/>
          <w:b/>
          <w:szCs w:val="24"/>
        </w:rPr>
        <w:t>4</w:t>
      </w:r>
      <w:r w:rsidRPr="009D11AD">
        <w:rPr>
          <w:rFonts w:ascii="標楷體" w:eastAsia="標楷體" w:hAnsi="標楷體"/>
          <w:b/>
          <w:szCs w:val="24"/>
        </w:rPr>
        <w:t>.</w:t>
      </w:r>
      <w:r w:rsidRPr="009D11AD">
        <w:rPr>
          <w:rFonts w:ascii="標楷體" w:eastAsia="標楷體" w:hAnsi="標楷體" w:hint="eastAsia"/>
          <w:b/>
          <w:szCs w:val="24"/>
        </w:rPr>
        <w:t xml:space="preserve">　原發中心歷年製作之樂舞舞碼，部分因與舞台形式未合或過於觀光化、或受限排練時間及原住民族對傳統智慧創作之保護等因素，導致逾半數舞碼不適合演出：</w:t>
      </w:r>
      <w:r w:rsidRPr="009D11AD">
        <w:rPr>
          <w:rFonts w:ascii="標楷體" w:eastAsia="標楷體" w:hAnsi="標楷體" w:hint="eastAsia"/>
          <w:szCs w:val="24"/>
        </w:rPr>
        <w:t>原發中心依組織職掌</w:t>
      </w:r>
      <w:r w:rsidRPr="009D11AD">
        <w:rPr>
          <w:rFonts w:ascii="標楷體" w:eastAsia="標楷體" w:hAnsi="標楷體" w:hint="eastAsia"/>
          <w:color w:val="000000" w:themeColor="text1"/>
          <w:szCs w:val="24"/>
        </w:rPr>
        <w:t>推動原住民族樂舞文化之傳承，於76年成立娜麓灣樂舞劇團，該劇團編排舞碼之元素常取自田野調查而習得之原住民族傳統智慧創作。依原住民族傳統智慧創作保護條例</w:t>
      </w:r>
      <w:r w:rsidR="00D441FD" w:rsidRPr="009D11AD">
        <w:rPr>
          <w:rFonts w:ascii="標楷體" w:eastAsia="標楷體" w:hAnsi="標楷體" w:hint="eastAsia"/>
          <w:color w:val="000000" w:themeColor="text1"/>
          <w:szCs w:val="24"/>
        </w:rPr>
        <w:t>（</w:t>
      </w:r>
      <w:r w:rsidRPr="009D11AD">
        <w:rPr>
          <w:rFonts w:ascii="標楷體" w:eastAsia="標楷體" w:hAnsi="標楷體" w:hint="eastAsia"/>
          <w:color w:val="000000" w:themeColor="text1"/>
          <w:szCs w:val="24"/>
        </w:rPr>
        <w:t>下稱傳智條例</w:t>
      </w:r>
      <w:r w:rsidR="00D441FD" w:rsidRPr="009D11AD">
        <w:rPr>
          <w:rFonts w:ascii="標楷體" w:eastAsia="標楷體" w:hAnsi="標楷體" w:hint="eastAsia"/>
          <w:color w:val="000000" w:themeColor="text1"/>
          <w:szCs w:val="24"/>
        </w:rPr>
        <w:t>）</w:t>
      </w:r>
      <w:r w:rsidRPr="009D11AD">
        <w:rPr>
          <w:rFonts w:ascii="標楷體" w:eastAsia="標楷體" w:hAnsi="標楷體" w:hint="eastAsia"/>
          <w:color w:val="000000" w:themeColor="text1"/>
          <w:szCs w:val="24"/>
        </w:rPr>
        <w:t>規定，原住民族或部落得以傳統之宗教祭儀、音樂、舞蹈、歌曲、雕塑、編織、圖案、服飾、民俗技藝或其他文化成果之表達等傳統智慧創作，向原住民族委員會申請登記，取得傳統智慧創作專用權。經查截至111年8月底止，原發中心娜麓灣樂舞劇團已製作涵蓋原住民族16族共36支舞碼，其中19支舞碼</w:t>
      </w:r>
      <w:r w:rsidR="00D441FD" w:rsidRPr="009D11AD">
        <w:rPr>
          <w:rFonts w:ascii="標楷體" w:eastAsia="標楷體" w:hAnsi="標楷體" w:hint="eastAsia"/>
          <w:color w:val="000000" w:themeColor="text1"/>
          <w:szCs w:val="24"/>
        </w:rPr>
        <w:t>（</w:t>
      </w:r>
      <w:r w:rsidRPr="009D11AD">
        <w:rPr>
          <w:rFonts w:ascii="標楷體" w:eastAsia="標楷體" w:hAnsi="標楷體" w:hint="eastAsia"/>
          <w:color w:val="000000" w:themeColor="text1"/>
          <w:szCs w:val="24"/>
        </w:rPr>
        <w:t>占52.78％</w:t>
      </w:r>
      <w:r w:rsidR="00D441FD" w:rsidRPr="009D11AD">
        <w:rPr>
          <w:rFonts w:ascii="標楷體" w:eastAsia="標楷體" w:hAnsi="標楷體" w:hint="eastAsia"/>
          <w:color w:val="000000" w:themeColor="text1"/>
          <w:szCs w:val="24"/>
        </w:rPr>
        <w:t>）</w:t>
      </w:r>
      <w:r w:rsidRPr="009D11AD">
        <w:rPr>
          <w:rFonts w:ascii="標楷體" w:eastAsia="標楷體" w:hAnsi="標楷體" w:hint="eastAsia"/>
          <w:szCs w:val="24"/>
        </w:rPr>
        <w:t>演出次數為零，主要係早年製作舞碼與現在舞台場地形式不合或過於觀光化，須再經改編方適合演出；或須較長排練時間而未選定為演出舞碼展演；或雖於舞碼製作初期取得部落認同，方應用其傳統智慧創作進行展演，惟取得部落認同作法係以口頭共識為基礎，於歷經部落領導人物更迭後，對於授權原發中心進行展演已缺乏共識或認為不適合演出所致，顯示歷年資源投入而積累之文化成果中，逾半數未能獲充分運用，亦影響原住民族樂舞文化被傳播、再現之可能性。經函請原住民族委員會督促原發中心適時檢討改編舞碼或調整排練規劃，並參酌民間企業及團體應用原住民族傳統智慧創作實務作法，研議書面取得使用授權或合作意向，並就應用原住民傳統智慧創作所生之權利與義務等，建立相關處理機制，期與原住民族族群或部落建立長期合作共識，遂行原住民族樂舞文化之傳承及推廣。據復：原發中心將通盤檢視歷年製作之樂舞舞碼，並每年逐步改編一支舊樂舞內容，另已成立原住民族傳統智慧財產權處理小組，持續與各族群、部落進行洽談授權簽約事宜，截至112年1月底，已完成拉阿魯哇族等5族非專屬授權簽約。</w:t>
      </w:r>
    </w:p>
    <w:p w14:paraId="74E1F136" w14:textId="5446FF46" w:rsidR="0070162B" w:rsidRPr="009D11AD" w:rsidRDefault="0070162B" w:rsidP="006F04AF">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（二十八）　原住民族委員會建置及營運原住民族產品電子商務平臺，推動前期未測試市場反應、中後期則未能提出有效行銷策略，致營運成效欠佳，且非屬短期完成之勞務採購案，卻以因應COVID－19疫情需求為由辦理緊急採購，允宜研謀改進</w:t>
      </w:r>
      <w:r w:rsidRPr="009D11AD">
        <w:rPr>
          <w:rFonts w:hAnsi="標楷體" w:hint="eastAsia"/>
          <w:b/>
          <w:color w:val="000000" w:themeColor="text1"/>
          <w:spacing w:val="-2"/>
          <w:sz w:val="28"/>
          <w:szCs w:val="28"/>
        </w:rPr>
        <w:t>。</w:t>
      </w:r>
    </w:p>
    <w:p w14:paraId="1AEF99CF" w14:textId="42BBF8C5" w:rsidR="0070162B" w:rsidRPr="009D11AD" w:rsidRDefault="0070162B" w:rsidP="00DA2751">
      <w:pPr>
        <w:overflowPunct w:val="0"/>
        <w:spacing w:line="430" w:lineRule="exact"/>
        <w:ind w:firstLineChars="200" w:firstLine="480"/>
        <w:jc w:val="both"/>
        <w:rPr>
          <w:rFonts w:ascii="標楷體" w:eastAsia="標楷體" w:hAnsi="標楷體"/>
        </w:rPr>
      </w:pPr>
      <w:r w:rsidRPr="009D11AD">
        <w:rPr>
          <w:rFonts w:ascii="標楷體" w:eastAsia="標楷體" w:hAnsi="標楷體" w:hint="eastAsia"/>
        </w:rPr>
        <w:t>原住民族委員會於107年規劃辦理「建置原住民族產品電子商務平臺」勞務採購案，經於107年12月辦理招標並經評選後，嗣考量民間企業建置之電子商務平臺</w:t>
      </w:r>
      <w:r w:rsidR="00D441FD" w:rsidRPr="009D11AD">
        <w:rPr>
          <w:rFonts w:ascii="標楷體" w:eastAsia="標楷體" w:hAnsi="標楷體" w:hint="eastAsia"/>
        </w:rPr>
        <w:t>（</w:t>
      </w:r>
      <w:r w:rsidRPr="009D11AD">
        <w:rPr>
          <w:rFonts w:ascii="標楷體" w:eastAsia="標楷體" w:hAnsi="標楷體" w:hint="eastAsia"/>
        </w:rPr>
        <w:t>下稱電商平臺</w:t>
      </w:r>
      <w:r w:rsidR="00D441FD" w:rsidRPr="009D11AD">
        <w:rPr>
          <w:rFonts w:ascii="標楷體" w:eastAsia="標楷體" w:hAnsi="標楷體" w:hint="eastAsia"/>
        </w:rPr>
        <w:t>）</w:t>
      </w:r>
      <w:r w:rsidRPr="009D11AD">
        <w:rPr>
          <w:rFonts w:ascii="標楷體" w:eastAsia="標楷體" w:hAnsi="標楷體" w:hint="eastAsia"/>
        </w:rPr>
        <w:t>繁多且具知名度者眾，原住民族商品市場曝光度尚待拓展，自建電商平臺，不易達成擴大產品銷售管道之目標，為避免浪費公帑及遭遇營運風險，爰於108年1月辦理廢標，並預計採分年分階段推動，108及109年度先測試市場反應，110年再評估自建電商平臺可行性。嗣原住民族委員</w:t>
      </w:r>
      <w:r w:rsidRPr="009D11AD">
        <w:rPr>
          <w:rFonts w:ascii="標楷體" w:eastAsia="標楷體" w:hAnsi="標楷體" w:hint="eastAsia"/>
        </w:rPr>
        <w:lastRenderedPageBreak/>
        <w:t>會為因應新型冠狀病毒肺炎</w:t>
      </w:r>
      <w:r w:rsidR="00D441FD" w:rsidRPr="009D11AD">
        <w:rPr>
          <w:rFonts w:ascii="標楷體" w:eastAsia="標楷體" w:hAnsi="標楷體" w:hint="eastAsia"/>
        </w:rPr>
        <w:t>（</w:t>
      </w:r>
      <w:r w:rsidRPr="009D11AD">
        <w:rPr>
          <w:rFonts w:ascii="標楷體" w:eastAsia="標楷體" w:hAnsi="標楷體" w:hint="eastAsia"/>
        </w:rPr>
        <w:t>COVID</w:t>
      </w:r>
      <w:r w:rsidRPr="009D11AD">
        <w:rPr>
          <w:rFonts w:ascii="標楷體" w:eastAsia="標楷體" w:hAnsi="標楷體"/>
        </w:rPr>
        <w:t>－</w:t>
      </w:r>
      <w:r w:rsidRPr="009D11AD">
        <w:rPr>
          <w:rFonts w:ascii="標楷體" w:eastAsia="標楷體" w:hAnsi="標楷體" w:hint="eastAsia"/>
        </w:rPr>
        <w:t>19</w:t>
      </w:r>
      <w:r w:rsidR="00D441FD" w:rsidRPr="009D11AD">
        <w:rPr>
          <w:rFonts w:ascii="標楷體" w:eastAsia="標楷體" w:hAnsi="標楷體" w:hint="eastAsia"/>
        </w:rPr>
        <w:t>）</w:t>
      </w:r>
      <w:r w:rsidRPr="009D11AD">
        <w:rPr>
          <w:rFonts w:ascii="標楷體" w:eastAsia="標楷體" w:hAnsi="標楷體" w:hint="eastAsia"/>
        </w:rPr>
        <w:t>疫情及振興原住民族業者經濟，於109年3月規劃設置「Ayoi阿優依」入口網</w:t>
      </w:r>
      <w:r w:rsidR="00D441FD" w:rsidRPr="009D11AD">
        <w:rPr>
          <w:rFonts w:ascii="標楷體" w:eastAsia="標楷體" w:hAnsi="標楷體" w:hint="eastAsia"/>
        </w:rPr>
        <w:t>（</w:t>
      </w:r>
      <w:r w:rsidRPr="009D11AD">
        <w:rPr>
          <w:rFonts w:ascii="標楷體" w:eastAsia="標楷體" w:hAnsi="標楷體" w:hint="eastAsia"/>
        </w:rPr>
        <w:t>含網站設計架設、行銷宣傳，提供商品資訊及相關品牌介紹</w:t>
      </w:r>
      <w:r w:rsidR="00D441FD" w:rsidRPr="009D11AD">
        <w:rPr>
          <w:rFonts w:ascii="標楷體" w:eastAsia="標楷體" w:hAnsi="標楷體" w:hint="eastAsia"/>
        </w:rPr>
        <w:t>）</w:t>
      </w:r>
      <w:r w:rsidRPr="009D11AD">
        <w:rPr>
          <w:rFonts w:ascii="標楷體" w:eastAsia="標楷體" w:hAnsi="標楷體" w:hint="eastAsia"/>
        </w:rPr>
        <w:t>，及擇定4家民間電商平臺設置原住民族商品專區，並提供「滿500送100」折扣優惠補助</w:t>
      </w:r>
      <w:r w:rsidR="00D441FD" w:rsidRPr="009D11AD">
        <w:rPr>
          <w:rFonts w:ascii="標楷體" w:eastAsia="標楷體" w:hAnsi="標楷體" w:hint="eastAsia"/>
        </w:rPr>
        <w:t>（</w:t>
      </w:r>
      <w:r w:rsidRPr="009D11AD">
        <w:rPr>
          <w:rFonts w:ascii="標楷體" w:eastAsia="標楷體" w:hAnsi="標楷體" w:hint="eastAsia"/>
        </w:rPr>
        <w:t>預算金額1,000萬元，其中「Ayoi阿優依」入口網200萬元、平臺上架及折扣優惠補助800萬元</w:t>
      </w:r>
      <w:r w:rsidR="00D441FD" w:rsidRPr="009D11AD">
        <w:rPr>
          <w:rFonts w:ascii="標楷體" w:eastAsia="標楷體" w:hAnsi="標楷體" w:hint="eastAsia"/>
        </w:rPr>
        <w:t>）</w:t>
      </w:r>
      <w:r w:rsidRPr="009D11AD">
        <w:rPr>
          <w:rFonts w:ascii="標楷體" w:eastAsia="標楷體" w:hAnsi="標楷體" w:hint="eastAsia"/>
        </w:rPr>
        <w:t>，惟該會於109年4月21日工作會議決議變更政策，再改為自建電商平臺，並委託原Ayoi阿優依實體通路廠商維運，除109年3月規劃之工作項目外，另規劃增建具購物及會員管理功能之「Ayoi阿優依」入口網、提高4家電商平臺行銷費、商品倉儲空間及管理人員等項目，預估經費需求增至3,046萬元，期能透過入口網結合4家電商、回饋促銷、購物免運費及免金流手續費（費用均由原住民族委員會負擔）等策略，帶動Ayoi阿優依購物網之曝光度，創造電商營業額3,000萬元、銷售件數4萬8,000件之商機。經查原住民族委員會於109年4月間由民間電商平臺設置原住民族商品專區，政策調整為自建電商平臺之過程，並未就108年1月決定廢止建置電商平臺標案當時所遇內外環境優劣情勢，重新評估自建平臺之可行性及營運風險，在未曾測試市場反應度及未具試辦營運經驗下，逕與原Ayoi阿優依實體通路廠商辦理契約變更，建置「Ayoi 阿優依電商平臺」並於109年6月1日啟用營運，平臺營運初期即面臨原住民族商品之上架業者規模、產業、需求差異大，商品產量及品質控管不易，產品類別繁多受委託團隊不易管理，網站設計風格難以配合各類型產品定位，電商廣告行銷成本高等問題，迄履約期限（110年7月）止，該會及承商仍未能提出有效行銷策略，Ayoi阿優依電商平臺自109年6月啟用，至110年7月契約屆期，委商建置Ayoi阿優依電商平臺花費1,931萬餘元，實際銷售營運僅787萬餘元，資源投入與成果產出顯不相當，對原計畫於COVID</w:t>
      </w:r>
      <w:r w:rsidRPr="009D11AD">
        <w:rPr>
          <w:rFonts w:ascii="標楷體" w:eastAsia="標楷體" w:hAnsi="標楷體"/>
        </w:rPr>
        <w:t>－</w:t>
      </w:r>
      <w:r w:rsidRPr="009D11AD">
        <w:rPr>
          <w:rFonts w:ascii="標楷體" w:eastAsia="標楷體" w:hAnsi="標楷體" w:hint="eastAsia"/>
        </w:rPr>
        <w:t>19疫情期間協助原住民族業者增進收益之效果有限。次查，電商平臺之建置及營運，非屬短期完成之勞務採購案，原住民族委員會卻以因應COVID</w:t>
      </w:r>
      <w:r w:rsidRPr="009D11AD">
        <w:rPr>
          <w:rFonts w:ascii="標楷體" w:eastAsia="標楷體" w:hAnsi="標楷體"/>
        </w:rPr>
        <w:t>－</w:t>
      </w:r>
      <w:r w:rsidRPr="009D11AD">
        <w:rPr>
          <w:rFonts w:ascii="標楷體" w:eastAsia="標楷體" w:hAnsi="標楷體" w:hint="eastAsia"/>
        </w:rPr>
        <w:t>19疫情需求為由，依政府採購法第22條第1項第3款規定辦理緊急採購，與品牌實體經營通路廠商辦理變更契約，新增工作項目金額為原契約之3倍餘，未妥善考量受託廠商實體通路成效不佳、市場上尚有眾多具履約能力之廠商等，致未能就採購標的之技術、品質、功能、商業條款或價格等條件，公開擇選最佳廠商。另原住民族委員會於原「建置原住民族產品電子商務平臺」案（下稱前案）履約期限（110年7月）屆期後，賡續辦理委託「原住民族商品電子商務平臺營運管理及品牌行銷」勞務採購案（下稱新案），履約期間</w:t>
      </w:r>
      <w:r w:rsidR="00931C29">
        <w:rPr>
          <w:rFonts w:ascii="標楷體" w:eastAsia="標楷體" w:hAnsi="標楷體" w:hint="eastAsia"/>
        </w:rPr>
        <w:t>為</w:t>
      </w:r>
      <w:r w:rsidRPr="009D11AD">
        <w:rPr>
          <w:rFonts w:ascii="標楷體" w:eastAsia="標楷體" w:hAnsi="標楷體" w:hint="eastAsia"/>
        </w:rPr>
        <w:t>110年8月至111年12月，契約金額1,850萬元，預計創造營業額938萬餘元。按原住民族商品電商平臺係由原住民族委員會出資建置，並負擔電商平臺之管理及營運、產品資源盤點、品牌經營、網路行銷及廣告計畫、行政管理、營業稅等費用，惟</w:t>
      </w:r>
      <w:r w:rsidR="00931C29">
        <w:rPr>
          <w:rFonts w:ascii="標楷體" w:eastAsia="標楷體" w:hAnsi="標楷體" w:hint="eastAsia"/>
        </w:rPr>
        <w:t>該</w:t>
      </w:r>
      <w:r w:rsidRPr="009D11AD">
        <w:rPr>
          <w:rFonts w:ascii="標楷體" w:eastAsia="標楷體" w:hAnsi="標楷體" w:hint="eastAsia"/>
        </w:rPr>
        <w:t>會同意承商向原住民族業者按售價抽取20％商品交易手續費及2％銷售獎勵金，顯不盡合宜，大幅度衝擊原住民族業者利潤，肇致產品下架，且該會未衡酌電商平臺營運不善現況，即未再執行前案期間之「滿500送100」或購物免運費等促銷補貼措施，在產品供應端種類、數量不足，需求端刺激消費力道減弱情境下，Ayoi阿優依</w:t>
      </w:r>
      <w:r w:rsidRPr="009D11AD">
        <w:rPr>
          <w:rFonts w:ascii="標楷體" w:eastAsia="標楷體" w:hAnsi="標楷體" w:hint="eastAsia"/>
        </w:rPr>
        <w:lastRenderedPageBreak/>
        <w:t>電商平臺（111年度起更名為LiMA原住民族購物商城）營運收入持續下滑，原住民族委員會長期漠視電商平臺營運銷售狀況欠佳，未有積極作為督促承商研謀提升營運收入之調整策略，致110年8月至111年6月1日提前終止契約止，花費552萬餘元，實際銷售額僅25萬餘元，經營效能明顯不彰。經依審計法第69條第1項前段規定，於111年11月2日函請行政院督促原住民族委員會借鑑此案經驗，落實政府採購法相關招標規範，運用已運作2年電商平臺之營運經驗及市場回饋之反應度，策定或調整營運模式、網站行銷對策，並報告監察院。據復：嗣後辦理類似案件將落實招標規範，電商平臺未來在設定評選指標、策定營運模式及履約管理等面向將汲取過往經驗調整，以利電商平臺結合實體通路，有效協助原住民族開拓銷售管道等。嗣經監察院112年4月18日函復准予備查。</w:t>
      </w:r>
    </w:p>
    <w:p w14:paraId="70DAEE0C" w14:textId="40437D53" w:rsidR="0070162B" w:rsidRPr="009D11AD" w:rsidRDefault="0070162B" w:rsidP="00860D54">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（二十九）　原住民族委員會辦理文化健康站實施計畫，文健站列冊長者之到站率與獲補助經費低度相關、部分文健站查核成績連年不佳、服務對象及照服員性別比例長年失衡，均待研謀改善</w:t>
      </w:r>
      <w:r w:rsidRPr="009D11AD">
        <w:rPr>
          <w:rFonts w:hAnsi="標楷體" w:hint="eastAsia"/>
          <w:b/>
          <w:color w:val="000000" w:themeColor="text1"/>
          <w:spacing w:val="-2"/>
          <w:sz w:val="28"/>
          <w:szCs w:val="28"/>
        </w:rPr>
        <w:t>。</w:t>
      </w:r>
    </w:p>
    <w:p w14:paraId="19EB2D36" w14:textId="77777777" w:rsidR="0070162B" w:rsidRPr="009D11AD" w:rsidRDefault="0070162B" w:rsidP="00DA2751">
      <w:pPr>
        <w:pStyle w:val="affb"/>
        <w:kinsoku/>
        <w:overflowPunct w:val="0"/>
        <w:adjustRightInd/>
        <w:spacing w:line="430" w:lineRule="exact"/>
        <w:ind w:left="0" w:firstLineChars="200" w:firstLine="480"/>
        <w:jc w:val="both"/>
        <w:rPr>
          <w:rFonts w:hAnsi="標楷體"/>
          <w:sz w:val="24"/>
          <w:szCs w:val="24"/>
        </w:rPr>
      </w:pPr>
      <w:r w:rsidRPr="009D11AD">
        <w:rPr>
          <w:rFonts w:hAnsi="標楷體" w:hint="eastAsia"/>
          <w:noProof/>
          <w:sz w:val="24"/>
          <w:szCs w:val="24"/>
        </w:rPr>
        <w:t>原住民族委員會為落實臺灣永續發展目標，暨長期照顧十年計畫2.0前端初級預防功能，保障原住民族長者獲得符合在地族群及文化特色之照顧服務、延緩失能及減少臥床時間、降低家庭醫療及長照之負擔，於原住民族社會安全發展第4期4年計畫（110年至113年）「提升原住民族衛生保健」分項計畫下，申請衛生福利部長照服務發展基金獎助辦理推展原住民族長期照顧－文化健康站實施計畫（下稱文健站實施計畫），110及111年度分別經核定獎助經費11億3,830萬餘元、12億5,800萬元，截至111年底止已布建481個文化健康站（下稱文健站），服務長者15,033人。</w:t>
      </w:r>
      <w:r w:rsidRPr="009D11AD">
        <w:rPr>
          <w:rFonts w:hAnsi="標楷體" w:hint="eastAsia"/>
          <w:sz w:val="24"/>
          <w:szCs w:val="24"/>
        </w:rPr>
        <w:t>經查文健站實施計畫執行情形，核有下列事項：</w:t>
      </w:r>
    </w:p>
    <w:p w14:paraId="6E3224FD" w14:textId="2C04D15C" w:rsidR="0070162B" w:rsidRPr="009D11AD" w:rsidRDefault="0070162B" w:rsidP="00DA2751">
      <w:pPr>
        <w:pStyle w:val="affb"/>
        <w:kinsoku/>
        <w:overflowPunct w:val="0"/>
        <w:adjustRightInd/>
        <w:spacing w:line="424" w:lineRule="exact"/>
        <w:ind w:left="0" w:firstLineChars="450" w:firstLine="1081"/>
        <w:jc w:val="both"/>
        <w:rPr>
          <w:rFonts w:hAnsi="標楷體"/>
          <w:sz w:val="24"/>
          <w:szCs w:val="24"/>
        </w:rPr>
      </w:pPr>
      <w:r w:rsidRPr="009D11AD">
        <w:rPr>
          <w:rFonts w:hAnsi="標楷體" w:hint="eastAsia"/>
          <w:b/>
          <w:sz w:val="24"/>
          <w:szCs w:val="24"/>
        </w:rPr>
        <w:t>1</w:t>
      </w:r>
      <w:r w:rsidRPr="009D11AD">
        <w:rPr>
          <w:rFonts w:hAnsi="標楷體"/>
          <w:b/>
          <w:sz w:val="24"/>
          <w:szCs w:val="24"/>
        </w:rPr>
        <w:t>.</w:t>
      </w:r>
      <w:r w:rsidRPr="009D11AD">
        <w:rPr>
          <w:rFonts w:hAnsi="標楷體" w:hint="eastAsia"/>
          <w:b/>
          <w:sz w:val="24"/>
          <w:szCs w:val="24"/>
        </w:rPr>
        <w:t xml:space="preserve">　文健站列冊長者之到站率及服務長者數與獲補助經費低度相關，允宜檢討依實際接受服務之長者數及服務項目，調整補助級距，並督促市縣政府落實督導轄內文健站長者到站接受服務情形：</w:t>
      </w:r>
      <w:r w:rsidRPr="009D11AD">
        <w:rPr>
          <w:rFonts w:hAnsi="標楷體" w:hint="eastAsia"/>
          <w:sz w:val="24"/>
          <w:szCs w:val="24"/>
        </w:rPr>
        <w:t>依111年文健站執行單位執行本計畫注意事項（下稱注意事項）規定，若經發現每日上午到站人數低於60％達3次者，市縣政府將行文輔導文健站執行單位限期改善或依實際到站人數調整服務級距。經本部抽查111年度文健站長者實際到站情形發現，截至111年底止，已獲文健站實施計畫補助且已開站及提供到站資料者計有479站，其中183站</w:t>
      </w:r>
      <w:r w:rsidR="00D441FD" w:rsidRPr="009D11AD">
        <w:rPr>
          <w:rFonts w:hAnsi="標楷體" w:hint="eastAsia"/>
          <w:sz w:val="24"/>
          <w:szCs w:val="24"/>
        </w:rPr>
        <w:t>（</w:t>
      </w:r>
      <w:r w:rsidRPr="009D11AD">
        <w:rPr>
          <w:rFonts w:hAnsi="標楷體" w:hint="eastAsia"/>
          <w:sz w:val="24"/>
          <w:szCs w:val="24"/>
        </w:rPr>
        <w:t>38.20％</w:t>
      </w:r>
      <w:r w:rsidR="00D441FD" w:rsidRPr="009D11AD">
        <w:rPr>
          <w:rFonts w:hAnsi="標楷體" w:hint="eastAsia"/>
          <w:sz w:val="24"/>
          <w:szCs w:val="24"/>
        </w:rPr>
        <w:t>）</w:t>
      </w:r>
      <w:r w:rsidRPr="009D11AD">
        <w:rPr>
          <w:rFonts w:hAnsi="標楷體" w:hint="eastAsia"/>
          <w:sz w:val="24"/>
          <w:szCs w:val="24"/>
        </w:rPr>
        <w:t>長者到站率不及格日數已達年度開站日數25％以上，存有須限期改善或依實際到站人數調整服務級距之情事，惟多數市縣政府僅仰賴每月或每季1次之實地訪視督考，未適度輔以「原住民族文化健康站平台網路系統」報表，隨時檢核轄內文健站長者到站情形，致未能及時依注</w:t>
      </w:r>
      <w:r w:rsidRPr="00DA2751">
        <w:rPr>
          <w:rFonts w:hAnsi="標楷體" w:hint="eastAsia"/>
          <w:spacing w:val="4"/>
          <w:sz w:val="24"/>
          <w:szCs w:val="24"/>
        </w:rPr>
        <w:t>意事項行文輔導改善或調整服務級距，另經運用</w:t>
      </w:r>
      <w:r w:rsidRPr="00DA2751">
        <w:rPr>
          <w:rFonts w:hAnsi="標楷體"/>
          <w:spacing w:val="4"/>
          <w:sz w:val="24"/>
          <w:szCs w:val="24"/>
        </w:rPr>
        <w:t>CORREL函數分析原住民族委員會112年核定之477個文健站長者111年度到站率與112年度獲配補助經費相關性結果，亦屬低度相關，顯示文健站當年度到站率多寡不影響次年度獲配補助經費；且前述不及格日數達25％以上之183站中，除2站申請調降級距外</w:t>
      </w:r>
      <w:r w:rsidRPr="009D11AD">
        <w:rPr>
          <w:rFonts w:hAnsi="標楷體" w:hint="eastAsia"/>
          <w:sz w:val="24"/>
          <w:szCs w:val="24"/>
        </w:rPr>
        <w:t>，餘181站仍經原住民族委員會按原111年度級距核給112</w:t>
      </w:r>
      <w:r w:rsidR="00E23047" w:rsidRPr="009D11AD">
        <w:rPr>
          <w:rFonts w:hAnsi="標楷體"/>
          <w:noProof/>
        </w:rPr>
        <w:lastRenderedPageBreak/>
        <w:drawing>
          <wp:anchor distT="0" distB="0" distL="114300" distR="114300" simplePos="0" relativeHeight="251646464" behindDoc="0" locked="0" layoutInCell="1" allowOverlap="1" wp14:anchorId="2447911B" wp14:editId="0143C697">
            <wp:simplePos x="0" y="0"/>
            <wp:positionH relativeFrom="column">
              <wp:posOffset>2906706</wp:posOffset>
            </wp:positionH>
            <wp:positionV relativeFrom="paragraph">
              <wp:posOffset>-1678</wp:posOffset>
            </wp:positionV>
            <wp:extent cx="3383280" cy="2567305"/>
            <wp:effectExtent l="0" t="0" r="7620" b="4445"/>
            <wp:wrapSquare wrapText="bothSides"/>
            <wp:docPr id="31" name="圖表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margin">
              <wp14:pctWidth>0</wp14:pctWidth>
            </wp14:sizeRelH>
          </wp:anchor>
        </w:drawing>
      </w:r>
      <w:r w:rsidRPr="009D11AD">
        <w:rPr>
          <w:rFonts w:hAnsi="標楷體" w:hint="eastAsia"/>
          <w:sz w:val="24"/>
          <w:szCs w:val="24"/>
        </w:rPr>
        <w:t>年度補助，使文健站缺乏積極鼓勵長者到站誘因。另檢視111年度文健站長者請假資訊</w:t>
      </w:r>
      <w:r w:rsidRPr="00346BDD">
        <w:rPr>
          <w:rFonts w:hAnsi="標楷體" w:hint="eastAsia"/>
          <w:sz w:val="24"/>
          <w:szCs w:val="24"/>
        </w:rPr>
        <w:t>（圖</w:t>
      </w:r>
      <w:r w:rsidR="00105077" w:rsidRPr="00346BDD">
        <w:rPr>
          <w:rFonts w:hAnsi="標楷體" w:hint="eastAsia"/>
          <w:sz w:val="24"/>
          <w:szCs w:val="24"/>
        </w:rPr>
        <w:t>9</w:t>
      </w:r>
      <w:r w:rsidRPr="00346BDD">
        <w:rPr>
          <w:rFonts w:hAnsi="標楷體" w:hint="eastAsia"/>
          <w:sz w:val="24"/>
          <w:szCs w:val="24"/>
        </w:rPr>
        <w:t>）</w:t>
      </w:r>
      <w:r w:rsidRPr="009D11AD">
        <w:rPr>
          <w:rFonts w:hAnsi="標楷體" w:hint="eastAsia"/>
          <w:sz w:val="24"/>
          <w:szCs w:val="24"/>
        </w:rPr>
        <w:t>，全年度請假83萬1,518人次，部分長者請假原因屬家務（20％）、務農漁工（20％）、其他活動（4％）、無意願到站（1％）等，顯示部分列冊服務長者仍有家管、務農、工作等其他活動，致到站頻率及意願不高，且部分長者未到站原因不明（如在家15％及不明7％），文健站亦未詳細瞭解請假原因以提出因應措施。又依據111年注意事項之補助項目與標準規定，工</w:t>
      </w:r>
      <w:r w:rsidRPr="00DA2751">
        <w:rPr>
          <w:rFonts w:hAnsi="標楷體" w:hint="eastAsia"/>
          <w:spacing w:val="4"/>
          <w:sz w:val="24"/>
          <w:szCs w:val="24"/>
        </w:rPr>
        <w:t>作人員薪資、業務費及餐點費等係按到站、送餐及居家關懷長者人數級距核予補助，每一級距補助標準差額約</w:t>
      </w:r>
      <w:r w:rsidRPr="00DA2751">
        <w:rPr>
          <w:rFonts w:hAnsi="標楷體"/>
          <w:spacing w:val="4"/>
          <w:sz w:val="24"/>
          <w:szCs w:val="24"/>
        </w:rPr>
        <w:t>71萬元，經分析111年市縣政府成果統計表，計有133個文健站（級距20</w:t>
      </w:r>
      <w:r w:rsidR="00BC6BA0" w:rsidRPr="00DA2751">
        <w:rPr>
          <w:rFonts w:hAnsi="標楷體" w:hint="eastAsia"/>
          <w:spacing w:val="4"/>
          <w:sz w:val="24"/>
          <w:szCs w:val="24"/>
        </w:rPr>
        <w:t>至</w:t>
      </w:r>
      <w:r w:rsidRPr="00DA2751">
        <w:rPr>
          <w:rFonts w:hAnsi="標楷體"/>
          <w:spacing w:val="4"/>
          <w:sz w:val="24"/>
          <w:szCs w:val="24"/>
        </w:rPr>
        <w:t>29人計63站、30</w:t>
      </w:r>
      <w:r w:rsidR="00BC6BA0" w:rsidRPr="00DA2751">
        <w:rPr>
          <w:rFonts w:hAnsi="標楷體" w:hint="eastAsia"/>
          <w:spacing w:val="4"/>
          <w:sz w:val="24"/>
          <w:szCs w:val="24"/>
        </w:rPr>
        <w:t>至</w:t>
      </w:r>
      <w:r w:rsidRPr="00DA2751">
        <w:rPr>
          <w:rFonts w:hAnsi="標楷體"/>
          <w:spacing w:val="4"/>
          <w:sz w:val="24"/>
          <w:szCs w:val="24"/>
        </w:rPr>
        <w:t>39人計37站、40人以上計33站）平均每日實際服務長者數未達服務級距下限之80％，服務成效不足，</w:t>
      </w:r>
      <w:r w:rsidRPr="009D11AD">
        <w:rPr>
          <w:rFonts w:hAnsi="標楷體" w:hint="eastAsia"/>
          <w:sz w:val="24"/>
          <w:szCs w:val="24"/>
        </w:rPr>
        <w:t>其中30</w:t>
      </w:r>
      <w:r w:rsidR="00356F63" w:rsidRPr="009D11AD">
        <w:rPr>
          <w:rFonts w:hAnsi="標楷體" w:hint="eastAsia"/>
          <w:sz w:val="24"/>
          <w:szCs w:val="24"/>
        </w:rPr>
        <w:t>至</w:t>
      </w:r>
      <w:r w:rsidRPr="009D11AD">
        <w:rPr>
          <w:rFonts w:hAnsi="標楷體" w:hint="eastAsia"/>
          <w:sz w:val="24"/>
          <w:szCs w:val="24"/>
        </w:rPr>
        <w:t>39人及40人以上級距之70站，</w:t>
      </w:r>
      <w:r w:rsidRPr="00DA2751">
        <w:rPr>
          <w:rFonts w:hAnsi="標楷體" w:hint="eastAsia"/>
          <w:spacing w:val="4"/>
          <w:sz w:val="24"/>
          <w:szCs w:val="24"/>
        </w:rPr>
        <w:t>如考量實際服務長者數調降一個級距以符合補助規定標準，估計全年可節省</w:t>
      </w:r>
      <w:r w:rsidRPr="00DA2751">
        <w:rPr>
          <w:rFonts w:hAnsi="標楷體"/>
          <w:spacing w:val="4"/>
          <w:sz w:val="24"/>
          <w:szCs w:val="24"/>
        </w:rPr>
        <w:t>4,970萬元支出。經函請原住民族委員會督促市縣政府落實督導轄內文健站列冊之長者到站接受服務情形，俾及時依長者請假分析結果輔導改善，並應研議視長者實際到站人數及接受服務項目等適時調整服務級距。</w:t>
      </w:r>
      <w:r w:rsidRPr="00DA2751">
        <w:rPr>
          <w:rFonts w:hAnsi="標楷體" w:hint="eastAsia"/>
          <w:sz w:val="24"/>
          <w:szCs w:val="24"/>
        </w:rPr>
        <w:t>據復：</w:t>
      </w:r>
      <w:r w:rsidR="00B0418D" w:rsidRPr="00346BDD">
        <w:rPr>
          <w:rFonts w:hAnsi="標楷體" w:hint="eastAsia"/>
          <w:sz w:val="24"/>
          <w:szCs w:val="24"/>
        </w:rPr>
        <w:t>為弭平原住民族長期使用長照服務可近性及可適性不足，實務仍以輔導改善文健站服務品質為優先，</w:t>
      </w:r>
      <w:r w:rsidR="0072054D" w:rsidRPr="00346BDD">
        <w:rPr>
          <w:rFonts w:hAnsi="標楷體" w:hint="eastAsia"/>
          <w:sz w:val="24"/>
          <w:szCs w:val="24"/>
        </w:rPr>
        <w:t>112年度審查維持繼續設置文健站時，業調降8站之服務級距；另</w:t>
      </w:r>
      <w:r w:rsidR="00B0418D" w:rsidRPr="00346BDD">
        <w:rPr>
          <w:rFonts w:hAnsi="標楷體" w:hint="eastAsia"/>
          <w:sz w:val="24"/>
          <w:szCs w:val="24"/>
        </w:rPr>
        <w:t>將請專管中心針對</w:t>
      </w:r>
      <w:r w:rsidR="0072054D" w:rsidRPr="00346BDD">
        <w:rPr>
          <w:rFonts w:hAnsi="標楷體" w:hint="eastAsia"/>
          <w:sz w:val="24"/>
          <w:szCs w:val="24"/>
        </w:rPr>
        <w:t>原住民長者未到站接受服務之</w:t>
      </w:r>
      <w:r w:rsidR="00B0418D" w:rsidRPr="00346BDD">
        <w:rPr>
          <w:rFonts w:hAnsi="標楷體" w:hint="eastAsia"/>
          <w:sz w:val="24"/>
          <w:szCs w:val="24"/>
        </w:rPr>
        <w:t>異常情形加強輔導，並詳細瞭解</w:t>
      </w:r>
      <w:r w:rsidR="0072054D" w:rsidRPr="00346BDD">
        <w:rPr>
          <w:rFonts w:hAnsi="標楷體" w:hint="eastAsia"/>
          <w:sz w:val="24"/>
          <w:szCs w:val="24"/>
        </w:rPr>
        <w:t>其</w:t>
      </w:r>
      <w:r w:rsidR="00B0418D" w:rsidRPr="00346BDD">
        <w:rPr>
          <w:rFonts w:hAnsi="標楷體" w:hint="eastAsia"/>
          <w:sz w:val="24"/>
          <w:szCs w:val="24"/>
        </w:rPr>
        <w:t>請假原因，必要時增加訪查次數，並請鄰近公所協助輔導</w:t>
      </w:r>
      <w:r w:rsidR="00BF63D5" w:rsidRPr="00B0418D">
        <w:rPr>
          <w:rFonts w:hAnsi="標楷體" w:hint="eastAsia"/>
          <w:sz w:val="24"/>
          <w:szCs w:val="24"/>
        </w:rPr>
        <w:t>。</w:t>
      </w:r>
      <w:r w:rsidRPr="009D11AD">
        <w:rPr>
          <w:rFonts w:hAnsi="標楷體"/>
          <w:sz w:val="24"/>
          <w:szCs w:val="24"/>
        </w:rPr>
        <w:t xml:space="preserve"> </w:t>
      </w:r>
    </w:p>
    <w:p w14:paraId="710D928D" w14:textId="0DA7D05A" w:rsidR="0070162B" w:rsidRPr="009D11AD" w:rsidRDefault="0070162B" w:rsidP="00DA2751">
      <w:pPr>
        <w:pStyle w:val="affb"/>
        <w:kinsoku/>
        <w:overflowPunct w:val="0"/>
        <w:adjustRightInd/>
        <w:spacing w:line="424" w:lineRule="exact"/>
        <w:ind w:left="0" w:firstLineChars="450" w:firstLine="1081"/>
        <w:jc w:val="both"/>
        <w:rPr>
          <w:rFonts w:hAnsi="標楷體"/>
          <w:sz w:val="24"/>
          <w:szCs w:val="24"/>
        </w:rPr>
      </w:pPr>
      <w:r w:rsidRPr="009D11AD">
        <w:rPr>
          <w:rFonts w:hAnsi="標楷體" w:hint="eastAsia"/>
          <w:b/>
          <w:sz w:val="24"/>
          <w:szCs w:val="24"/>
        </w:rPr>
        <w:t>2</w:t>
      </w:r>
      <w:r w:rsidRPr="009D11AD">
        <w:rPr>
          <w:rFonts w:hAnsi="標楷體"/>
          <w:b/>
          <w:sz w:val="24"/>
          <w:szCs w:val="24"/>
        </w:rPr>
        <w:t>.</w:t>
      </w:r>
      <w:r w:rsidRPr="009D11AD">
        <w:rPr>
          <w:rFonts w:hAnsi="標楷體" w:hint="eastAsia"/>
          <w:b/>
          <w:sz w:val="24"/>
          <w:szCs w:val="24"/>
        </w:rPr>
        <w:t xml:space="preserve">　部分文健站查核成績連年不佳或經查核委員一再提出類同建議事項，允宜督促市縣政府促請落實改善：</w:t>
      </w:r>
      <w:r w:rsidRPr="009D11AD">
        <w:rPr>
          <w:rFonts w:hAnsi="標楷體" w:hint="eastAsia"/>
          <w:sz w:val="24"/>
          <w:szCs w:val="24"/>
        </w:rPr>
        <w:t>原住民族委員會為掌握專案輔導團隊輔導文健站執行單位管理營運情形，及作為次年度後續補助之評量參考，自105年起辦理查核評鑑（109年度起將全國性文健站實地查核修正為每2年辦理1次），查核項目分為行政管理、人事管理、文健站專業服務、部落（社區）資源網絡、友善環境、創新服務發展策略等6類，查核等第依序為優等、甲等、乙等、丙等，其中列為乙等及丙等者須限期改善，並納入次年度實地查核範圍。經查109及111年度全國性查核結果，仍分別有20.75％、22.61％之文健站查核等第為乙等以下，且新北市中和區部落等40個文健站，連續兩年全國性查核（109年及111年）等第為乙等以下，部分文健站經查核委員連年提出類同查核意見，卻未見改善，未能有效發揮評鑑效能，影響推動文健站實施計畫之補助效益。經函請原住民族委員會督促市縣政府就連年查核成績乙等以下文健站，依查核委員建議意見落實檢討改善，並回饋作為審查來年補助計</w:t>
      </w:r>
      <w:r w:rsidRPr="00BF63D5">
        <w:rPr>
          <w:rFonts w:hAnsi="標楷體" w:hint="eastAsia"/>
          <w:sz w:val="24"/>
          <w:szCs w:val="24"/>
        </w:rPr>
        <w:t>畫參考。</w:t>
      </w:r>
      <w:r w:rsidRPr="00DA2751">
        <w:rPr>
          <w:rFonts w:hAnsi="標楷體" w:hint="eastAsia"/>
          <w:sz w:val="24"/>
          <w:szCs w:val="24"/>
        </w:rPr>
        <w:t>據復：</w:t>
      </w:r>
      <w:r w:rsidR="00BF63D5" w:rsidRPr="00DA2751">
        <w:rPr>
          <w:rFonts w:hAnsi="標楷體" w:hint="eastAsia"/>
          <w:sz w:val="24"/>
          <w:szCs w:val="24"/>
        </w:rPr>
        <w:t>將修改查核評鑑計畫，規劃請市縣政府就</w:t>
      </w:r>
      <w:r w:rsidR="00BF63D5" w:rsidRPr="00BF63D5">
        <w:rPr>
          <w:rFonts w:hAnsi="標楷體" w:hint="eastAsia"/>
          <w:sz w:val="24"/>
          <w:szCs w:val="24"/>
        </w:rPr>
        <w:t>連年成績乙等以下文健站</w:t>
      </w:r>
      <w:r w:rsidR="00BF63D5" w:rsidRPr="00DA2751">
        <w:rPr>
          <w:rFonts w:hAnsi="標楷體" w:hint="eastAsia"/>
          <w:sz w:val="24"/>
          <w:szCs w:val="24"/>
        </w:rPr>
        <w:t>，依</w:t>
      </w:r>
      <w:r w:rsidR="006A45A7" w:rsidRPr="00BF63D5">
        <w:rPr>
          <w:rFonts w:hAnsi="標楷體" w:hint="eastAsia"/>
          <w:sz w:val="24"/>
          <w:szCs w:val="24"/>
        </w:rPr>
        <w:t>查核委員建議意見</w:t>
      </w:r>
      <w:r w:rsidR="00BF63D5" w:rsidRPr="00BF63D5">
        <w:rPr>
          <w:rFonts w:hAnsi="標楷體" w:hint="eastAsia"/>
          <w:sz w:val="24"/>
          <w:szCs w:val="24"/>
        </w:rPr>
        <w:t>落實改善情形，</w:t>
      </w:r>
      <w:r w:rsidR="006A45A7" w:rsidRPr="00BF63D5">
        <w:rPr>
          <w:rFonts w:hAnsi="標楷體" w:hint="eastAsia"/>
          <w:sz w:val="24"/>
          <w:szCs w:val="24"/>
        </w:rPr>
        <w:t>納</w:t>
      </w:r>
      <w:r w:rsidR="006A45A7" w:rsidRPr="00BF63D5">
        <w:rPr>
          <w:rFonts w:hAnsi="標楷體" w:hint="eastAsia"/>
          <w:sz w:val="24"/>
          <w:szCs w:val="24"/>
        </w:rPr>
        <w:lastRenderedPageBreak/>
        <w:t>入市縣政府</w:t>
      </w:r>
      <w:r w:rsidR="00BF63D5" w:rsidRPr="00BF63D5">
        <w:rPr>
          <w:rFonts w:hAnsi="標楷體" w:hint="eastAsia"/>
          <w:sz w:val="24"/>
          <w:szCs w:val="24"/>
        </w:rPr>
        <w:t>繳交之</w:t>
      </w:r>
      <w:r w:rsidR="006A45A7" w:rsidRPr="00BF63D5">
        <w:rPr>
          <w:rFonts w:hAnsi="標楷體" w:hint="eastAsia"/>
          <w:sz w:val="24"/>
          <w:szCs w:val="24"/>
        </w:rPr>
        <w:t>查核報告</w:t>
      </w:r>
      <w:r w:rsidR="00BF63D5" w:rsidRPr="00BF63D5">
        <w:rPr>
          <w:rFonts w:hAnsi="標楷體" w:hint="eastAsia"/>
          <w:sz w:val="24"/>
          <w:szCs w:val="24"/>
        </w:rPr>
        <w:t>，俾透過評鑑提升文健站服務品質</w:t>
      </w:r>
      <w:r w:rsidR="006A45A7" w:rsidRPr="00BF63D5">
        <w:rPr>
          <w:rFonts w:hAnsi="標楷體" w:hint="eastAsia"/>
          <w:sz w:val="24"/>
          <w:szCs w:val="24"/>
        </w:rPr>
        <w:t>，並作為審查來年補助計畫參考</w:t>
      </w:r>
      <w:r w:rsidRPr="00DA2751">
        <w:rPr>
          <w:rFonts w:hAnsi="標楷體" w:hint="eastAsia"/>
          <w:sz w:val="24"/>
          <w:szCs w:val="24"/>
        </w:rPr>
        <w:t>。</w:t>
      </w:r>
    </w:p>
    <w:p w14:paraId="30BC323F" w14:textId="5BAF96B1" w:rsidR="0070162B" w:rsidRPr="009D11AD" w:rsidRDefault="0070162B" w:rsidP="00DA2751">
      <w:pPr>
        <w:pStyle w:val="affb"/>
        <w:kinsoku/>
        <w:overflowPunct w:val="0"/>
        <w:adjustRightInd/>
        <w:spacing w:line="424" w:lineRule="exact"/>
        <w:ind w:left="0" w:firstLineChars="450" w:firstLine="1081"/>
        <w:jc w:val="both"/>
        <w:rPr>
          <w:rFonts w:hAnsi="標楷體"/>
          <w:sz w:val="24"/>
          <w:szCs w:val="24"/>
        </w:rPr>
      </w:pPr>
      <w:r w:rsidRPr="009D11AD">
        <w:rPr>
          <w:rFonts w:hAnsi="標楷體" w:hint="eastAsia"/>
          <w:b/>
          <w:sz w:val="24"/>
          <w:szCs w:val="24"/>
        </w:rPr>
        <w:t>3</w:t>
      </w:r>
      <w:r w:rsidRPr="009D11AD">
        <w:rPr>
          <w:rFonts w:hAnsi="標楷體"/>
          <w:b/>
          <w:sz w:val="24"/>
          <w:szCs w:val="24"/>
        </w:rPr>
        <w:t>.</w:t>
      </w:r>
      <w:r w:rsidRPr="009D11AD">
        <w:rPr>
          <w:rFonts w:hAnsi="標楷體" w:hint="eastAsia"/>
          <w:b/>
          <w:sz w:val="24"/>
          <w:szCs w:val="24"/>
        </w:rPr>
        <w:t xml:space="preserve">　文健站服務對象及照服員性別比例長年失衡，存有不同性別未能平等取得長照資源機會、職場性別隔離情形，有待落實性別影響評估，以消弭原住民族長照服務資源性別落差：</w:t>
      </w:r>
      <w:r w:rsidRPr="009D11AD">
        <w:rPr>
          <w:rFonts w:hAnsi="標楷體" w:hint="eastAsia"/>
          <w:sz w:val="24"/>
          <w:szCs w:val="24"/>
        </w:rPr>
        <w:t>依據行政院所屬各機關中長程個案計畫編審要點</w:t>
      </w:r>
      <w:r w:rsidR="00D441FD" w:rsidRPr="009D11AD">
        <w:rPr>
          <w:rFonts w:hAnsi="標楷體" w:hint="eastAsia"/>
          <w:sz w:val="24"/>
          <w:szCs w:val="24"/>
        </w:rPr>
        <w:t>（</w:t>
      </w:r>
      <w:r w:rsidRPr="009D11AD">
        <w:rPr>
          <w:rFonts w:hAnsi="標楷體" w:hint="eastAsia"/>
          <w:sz w:val="24"/>
          <w:szCs w:val="24"/>
        </w:rPr>
        <w:t>下稱編審要點</w:t>
      </w:r>
      <w:r w:rsidR="00D441FD" w:rsidRPr="009D11AD">
        <w:rPr>
          <w:rFonts w:hAnsi="標楷體" w:hint="eastAsia"/>
          <w:sz w:val="24"/>
          <w:szCs w:val="24"/>
        </w:rPr>
        <w:t>）</w:t>
      </w:r>
      <w:r w:rsidRPr="009D11AD">
        <w:rPr>
          <w:rFonts w:hAnsi="標楷體" w:hint="eastAsia"/>
          <w:sz w:val="24"/>
          <w:szCs w:val="24"/>
        </w:rPr>
        <w:t>第5點第2項規定：「中長程個案計畫應進行性別影響評估，並視計畫內容所涉之性別影響層面，於前項第2款</w:t>
      </w:r>
      <w:r w:rsidR="00D441FD" w:rsidRPr="009D11AD">
        <w:rPr>
          <w:rFonts w:hAnsi="標楷體" w:hint="eastAsia"/>
          <w:sz w:val="24"/>
          <w:szCs w:val="24"/>
        </w:rPr>
        <w:t>（</w:t>
      </w:r>
      <w:r w:rsidRPr="009D11AD">
        <w:rPr>
          <w:rFonts w:hAnsi="標楷體" w:hint="eastAsia"/>
          <w:sz w:val="24"/>
          <w:szCs w:val="24"/>
        </w:rPr>
        <w:t>中長程個案計畫之計畫目標</w:t>
      </w:r>
      <w:r w:rsidR="00D441FD" w:rsidRPr="009D11AD">
        <w:rPr>
          <w:rFonts w:hAnsi="標楷體" w:hint="eastAsia"/>
          <w:sz w:val="24"/>
          <w:szCs w:val="24"/>
        </w:rPr>
        <w:t>）</w:t>
      </w:r>
      <w:r w:rsidRPr="009D11AD">
        <w:rPr>
          <w:rFonts w:hAnsi="標楷體" w:hint="eastAsia"/>
          <w:sz w:val="24"/>
          <w:szCs w:val="24"/>
        </w:rPr>
        <w:t>，訂定性別目標、績</w:t>
      </w:r>
      <w:r w:rsidR="00ED53D5" w:rsidRPr="009D11AD">
        <w:rPr>
          <w:rFonts w:hAnsi="標楷體" w:hint="eastAsia"/>
          <w:sz w:val="24"/>
          <w:szCs w:val="24"/>
        </w:rPr>
        <w:t>效指標、衡量標準及目標值。」依據性別影響評估檢視表範本填報規定</w:t>
      </w:r>
      <w:r w:rsidRPr="009D11AD">
        <w:rPr>
          <w:rFonts w:hAnsi="標楷體" w:hint="eastAsia"/>
          <w:sz w:val="24"/>
          <w:szCs w:val="24"/>
        </w:rPr>
        <w:t>，性別議題評估項目包括參與人員</w:t>
      </w:r>
      <w:r w:rsidR="00D441FD" w:rsidRPr="009D11AD">
        <w:rPr>
          <w:rFonts w:hAnsi="標楷體" w:hint="eastAsia"/>
          <w:sz w:val="24"/>
          <w:szCs w:val="24"/>
        </w:rPr>
        <w:t>（</w:t>
      </w:r>
      <w:r w:rsidRPr="009D11AD">
        <w:rPr>
          <w:rFonts w:hAnsi="標楷體" w:hint="eastAsia"/>
          <w:sz w:val="24"/>
          <w:szCs w:val="24"/>
        </w:rPr>
        <w:t>服務提供者之性別比例差距過大時，宜關注職場性別隔離與性別參與不足等問題</w:t>
      </w:r>
      <w:r w:rsidR="00D441FD" w:rsidRPr="009D11AD">
        <w:rPr>
          <w:rFonts w:hAnsi="標楷體" w:hint="eastAsia"/>
          <w:sz w:val="24"/>
          <w:szCs w:val="24"/>
        </w:rPr>
        <w:t>）</w:t>
      </w:r>
      <w:r w:rsidRPr="009D11AD">
        <w:rPr>
          <w:rFonts w:hAnsi="標楷體" w:hint="eastAsia"/>
          <w:sz w:val="24"/>
          <w:szCs w:val="24"/>
        </w:rPr>
        <w:t>及受益情形</w:t>
      </w:r>
      <w:r w:rsidR="00D441FD" w:rsidRPr="009D11AD">
        <w:rPr>
          <w:rFonts w:hAnsi="標楷體" w:hint="eastAsia"/>
          <w:sz w:val="24"/>
          <w:szCs w:val="24"/>
        </w:rPr>
        <w:t>（</w:t>
      </w:r>
      <w:r w:rsidRPr="009D11AD">
        <w:rPr>
          <w:rFonts w:hAnsi="標楷體" w:hint="eastAsia"/>
          <w:sz w:val="24"/>
          <w:szCs w:val="24"/>
        </w:rPr>
        <w:t>受益者人數之性別比例差距過大，或偏離母體之性別比例，宜關注不同性別可能未有平等取得社會資源之機會</w:t>
      </w:r>
      <w:r w:rsidR="00D441FD" w:rsidRPr="009D11AD">
        <w:rPr>
          <w:rFonts w:hAnsi="標楷體" w:hint="eastAsia"/>
          <w:sz w:val="24"/>
          <w:szCs w:val="24"/>
        </w:rPr>
        <w:t>）</w:t>
      </w:r>
      <w:r w:rsidRPr="009D11AD">
        <w:rPr>
          <w:rFonts w:hAnsi="標楷體" w:hint="eastAsia"/>
          <w:sz w:val="24"/>
          <w:szCs w:val="24"/>
        </w:rPr>
        <w:t>。原住民族委員會於109年間擬具原住民族社會安全發展第4期4年計畫</w:t>
      </w:r>
      <w:r w:rsidR="00D441FD" w:rsidRPr="009D11AD">
        <w:rPr>
          <w:rFonts w:hAnsi="標楷體" w:hint="eastAsia"/>
          <w:sz w:val="24"/>
          <w:szCs w:val="24"/>
        </w:rPr>
        <w:t>（</w:t>
      </w:r>
      <w:r w:rsidRPr="009D11AD">
        <w:rPr>
          <w:rFonts w:hAnsi="標楷體" w:hint="eastAsia"/>
          <w:sz w:val="24"/>
          <w:szCs w:val="24"/>
        </w:rPr>
        <w:t>110年至113年</w:t>
      </w:r>
      <w:r w:rsidR="00D441FD" w:rsidRPr="009D11AD">
        <w:rPr>
          <w:rFonts w:hAnsi="標楷體" w:hint="eastAsia"/>
          <w:sz w:val="24"/>
          <w:szCs w:val="24"/>
        </w:rPr>
        <w:t>）</w:t>
      </w:r>
      <w:r w:rsidRPr="009D11AD">
        <w:rPr>
          <w:rFonts w:hAnsi="標楷體" w:hint="eastAsia"/>
          <w:sz w:val="24"/>
          <w:szCs w:val="24"/>
        </w:rPr>
        <w:t>辦理性別影響評估及填竣性別影響評估檢視表，並將設置文化健康站列為計畫主要工作項目之一。經實地訪視市縣政府、文健站人員說明及研析市縣政府性別統計分析資料，文健站活動環境、課程主題設計等項目影響原住民族男性參與文健站活動意願，且性別刻板印象造成不易吸引男性投入照服員職場，均造成文健站受益者及服務提供者之性別落差。經查行政院重要性別統計資料庫及原住民族委員會提供資料，105年底至109年底文健站服務女性長者比率介於66.89％至71.53％間，男性長者比率介於28.47％至33.11％間，112年3月底，服務女性、男性長者比率分別為67.38％、32.62％，另111年度文健站提供生理測量、電話問安、關懷訪視、預防失能、餐飲服務等服務項目之實際服務人次性別比率均呈現女性約為男性2倍之落差，受益人數長年集中單一性別，不同性別恐存有未平等取得長照資源機會情形；又109年底至111年底文健站照服員女性比率介於93.00％至94.05％間，男性比率則介於5.95％至7.00％間，女性照服員約為男性13至15倍，差距懸殊，存有職場性別隔離與性別參與不足之問題，惟原住民族委員會未依性別影響評估檢視表範本規定，於「回應性別落差與需求」段說明計畫攸關性別議題，訂定性別目標、執行策略及編列相關預算。經函請原住民族委員會落實編審要點有關性別影響評估規定，就受益面及供給面性別議題訂定性別目標、績效指標及執行策略，以消弭原住民族長照服務性別落差，促進性別平等及原住民長者社會健</w:t>
      </w:r>
      <w:r w:rsidRPr="006A45A7">
        <w:rPr>
          <w:rFonts w:hAnsi="標楷體" w:hint="eastAsia"/>
          <w:sz w:val="24"/>
          <w:szCs w:val="24"/>
        </w:rPr>
        <w:t>康。</w:t>
      </w:r>
      <w:r w:rsidRPr="00DA2751">
        <w:rPr>
          <w:rFonts w:hAnsi="標楷體" w:hint="eastAsia"/>
          <w:sz w:val="24"/>
          <w:szCs w:val="24"/>
        </w:rPr>
        <w:t>據復：</w:t>
      </w:r>
      <w:r w:rsidR="006A45A7" w:rsidRPr="006A45A7">
        <w:rPr>
          <w:rFonts w:hAnsi="標楷體" w:hint="eastAsia"/>
          <w:sz w:val="24"/>
          <w:szCs w:val="24"/>
        </w:rPr>
        <w:t>將研議於</w:t>
      </w:r>
      <w:r w:rsidR="006A45A7" w:rsidRPr="006A45A7">
        <w:rPr>
          <w:rFonts w:hAnsi="標楷體"/>
          <w:sz w:val="24"/>
          <w:szCs w:val="24"/>
        </w:rPr>
        <w:t>113年度納入照服員聘用比率及服務長者性別比例入評鑑指標之可能性</w:t>
      </w:r>
      <w:r w:rsidRPr="00DA2751">
        <w:rPr>
          <w:rFonts w:hAnsi="標楷體" w:hint="eastAsia"/>
          <w:sz w:val="24"/>
          <w:szCs w:val="24"/>
        </w:rPr>
        <w:t>。</w:t>
      </w:r>
    </w:p>
    <w:p w14:paraId="272D9F1D" w14:textId="13653884" w:rsidR="002918AF" w:rsidRPr="00DA2751" w:rsidRDefault="00914EA4" w:rsidP="00DA2751">
      <w:pPr>
        <w:pStyle w:val="2"/>
        <w:overflowPunct w:val="0"/>
        <w:spacing w:beforeLines="20" w:before="72" w:afterLines="20" w:after="72" w:line="460" w:lineRule="exact"/>
        <w:ind w:left="0" w:firstLineChars="200" w:firstLine="561"/>
        <w:rPr>
          <w:rFonts w:hAnsi="標楷體"/>
          <w:b/>
          <w:color w:val="FF0000"/>
          <w:spacing w:val="4"/>
          <w:sz w:val="18"/>
          <w:szCs w:val="24"/>
        </w:rPr>
      </w:pPr>
      <w:r w:rsidRPr="00DA2751">
        <w:rPr>
          <w:rFonts w:hAnsi="標楷體" w:hint="eastAsia"/>
          <w:b/>
          <w:sz w:val="28"/>
        </w:rPr>
        <w:t>（三十</w:t>
      </w:r>
      <w:r w:rsidR="008E1852" w:rsidRPr="00DA2751">
        <w:rPr>
          <w:rFonts w:hAnsi="標楷體" w:hint="eastAsia"/>
          <w:b/>
          <w:sz w:val="28"/>
        </w:rPr>
        <w:t>）</w:t>
      </w:r>
      <w:r w:rsidR="008E1852" w:rsidRPr="00DA2751">
        <w:rPr>
          <w:rFonts w:hAnsi="標楷體" w:hint="eastAsia"/>
          <w:b/>
          <w:spacing w:val="4"/>
          <w:sz w:val="28"/>
        </w:rPr>
        <w:t xml:space="preserve">　</w:t>
      </w:r>
      <w:r w:rsidRPr="00DA2751">
        <w:rPr>
          <w:rFonts w:hAnsi="標楷體" w:hint="eastAsia"/>
          <w:b/>
          <w:spacing w:val="4"/>
          <w:sz w:val="28"/>
        </w:rPr>
        <w:t>原住民族委員會辦理國立原住民族博物館園區興建計畫，可具體推動原住民族文化保存及推廣工作，惟未依行政院核定可行性評估報告所列計畫經費，審慎檢討博物館整體空間配置及興建規模，卻大幅提高計畫經費，亦未成立有效之推動組織，肇致計畫綜合規劃報告歷經多次審議仍未通過，亟待檢討改善。</w:t>
      </w:r>
    </w:p>
    <w:p w14:paraId="498E0C7E" w14:textId="01FE9376" w:rsidR="00224115" w:rsidRPr="00346BDD" w:rsidRDefault="00896AE3" w:rsidP="00AE4585">
      <w:pPr>
        <w:overflowPunct w:val="0"/>
        <w:snapToGrid w:val="0"/>
        <w:spacing w:afterLines="50" w:after="180" w:line="430" w:lineRule="exact"/>
        <w:ind w:firstLineChars="200" w:firstLine="480"/>
        <w:jc w:val="both"/>
        <w:rPr>
          <w:rFonts w:ascii="標楷體" w:eastAsia="標楷體" w:hAnsi="標楷體"/>
          <w:snapToGrid w:val="0"/>
          <w:szCs w:val="32"/>
        </w:rPr>
      </w:pPr>
      <w:r w:rsidRPr="009D11AD">
        <w:rPr>
          <w:rFonts w:ascii="標楷體" w:eastAsia="標楷體" w:hAnsi="標楷體" w:hint="eastAsia"/>
          <w:snapToGrid w:val="0"/>
          <w:szCs w:val="32"/>
        </w:rPr>
        <w:t>原住民族委員會</w:t>
      </w:r>
      <w:r w:rsidR="00914EA4" w:rsidRPr="009D11AD">
        <w:rPr>
          <w:rFonts w:ascii="標楷體" w:eastAsia="標楷體" w:hAnsi="標楷體" w:hint="eastAsia"/>
          <w:snapToGrid w:val="0"/>
          <w:szCs w:val="32"/>
        </w:rPr>
        <w:t>鑑於我國為一多元族群及文化之國家，而原住民族具有豐富之文化資產，</w:t>
      </w:r>
      <w:r w:rsidR="00914EA4" w:rsidRPr="009D11AD">
        <w:rPr>
          <w:rFonts w:ascii="標楷體" w:eastAsia="標楷體" w:hAnsi="標楷體" w:hint="eastAsia"/>
          <w:snapToGrid w:val="0"/>
          <w:szCs w:val="32"/>
        </w:rPr>
        <w:lastRenderedPageBreak/>
        <w:t>惟因時代變遷，致使原住民傳統文化資產快速流失，為具體推動原住民族文化保存及推廣工作，</w:t>
      </w:r>
      <w:r w:rsidR="00224115" w:rsidRPr="009D11AD">
        <w:rPr>
          <w:rFonts w:ascii="標楷體" w:eastAsia="標楷體" w:hAnsi="標楷體" w:hint="eastAsia"/>
          <w:noProof/>
          <w:szCs w:val="32"/>
        </w:rPr>
        <mc:AlternateContent>
          <mc:Choice Requires="wps">
            <w:drawing>
              <wp:anchor distT="0" distB="0" distL="114300" distR="114300" simplePos="0" relativeHeight="251677184" behindDoc="1" locked="0" layoutInCell="1" allowOverlap="0" wp14:anchorId="6DC22718" wp14:editId="03F55140">
                <wp:simplePos x="0" y="0"/>
                <wp:positionH relativeFrom="column">
                  <wp:posOffset>2997968</wp:posOffset>
                </wp:positionH>
                <wp:positionV relativeFrom="paragraph">
                  <wp:posOffset>-5213</wp:posOffset>
                </wp:positionV>
                <wp:extent cx="3291840" cy="3246120"/>
                <wp:effectExtent l="1905" t="635" r="1905" b="1270"/>
                <wp:wrapTight wrapText="bothSides">
                  <wp:wrapPolygon edited="0">
                    <wp:start x="0" y="0"/>
                    <wp:lineTo x="0" y="0"/>
                    <wp:lineTo x="0" y="0"/>
                  </wp:wrapPolygon>
                </wp:wrapTight>
                <wp:docPr id="45" name="文字方塊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1840" cy="324612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3245135" w14:textId="2DAEFA9F" w:rsidR="00CE57F9" w:rsidRPr="003158F2" w:rsidRDefault="00CE57F9" w:rsidP="00224115">
                            <w:pPr>
                              <w:adjustRightInd w:val="0"/>
                              <w:snapToGrid w:val="0"/>
                              <w:jc w:val="center"/>
                              <w:rPr>
                                <w:rFonts w:ascii="標楷體" w:eastAsia="標楷體" w:hAnsi="標楷體"/>
                                <w:b/>
                                <w:szCs w:val="32"/>
                              </w:rPr>
                            </w:pPr>
                            <w:r w:rsidRPr="003158F2">
                              <w:rPr>
                                <w:rFonts w:ascii="標楷體" w:eastAsia="標楷體" w:hAnsi="標楷體" w:hint="eastAsia"/>
                                <w:b/>
                                <w:szCs w:val="32"/>
                              </w:rPr>
                              <w:t>圖</w:t>
                            </w:r>
                            <w:r>
                              <w:rPr>
                                <w:rFonts w:ascii="標楷體" w:eastAsia="標楷體" w:hAnsi="標楷體" w:hint="eastAsia"/>
                                <w:b/>
                                <w:szCs w:val="32"/>
                              </w:rPr>
                              <w:t>1</w:t>
                            </w:r>
                            <w:r>
                              <w:rPr>
                                <w:rFonts w:ascii="標楷體" w:eastAsia="標楷體" w:hAnsi="標楷體"/>
                                <w:b/>
                                <w:szCs w:val="32"/>
                              </w:rPr>
                              <w:t>0</w:t>
                            </w:r>
                            <w:r>
                              <w:rPr>
                                <w:rFonts w:ascii="標楷體" w:eastAsia="標楷體" w:hAnsi="標楷體" w:hint="eastAsia"/>
                                <w:b/>
                                <w:szCs w:val="32"/>
                              </w:rPr>
                              <w:t xml:space="preserve">　</w:t>
                            </w:r>
                            <w:r w:rsidRPr="00E42316">
                              <w:rPr>
                                <w:rFonts w:ascii="標楷體" w:eastAsia="標楷體" w:hAnsi="標楷體" w:hint="eastAsia"/>
                                <w:b/>
                                <w:szCs w:val="32"/>
                              </w:rPr>
                              <w:t>原住民族博物館</w:t>
                            </w:r>
                            <w:r>
                              <w:rPr>
                                <w:rFonts w:ascii="標楷體" w:eastAsia="標楷體" w:hAnsi="標楷體" w:hint="eastAsia"/>
                                <w:b/>
                                <w:szCs w:val="32"/>
                              </w:rPr>
                              <w:t>基地位置</w:t>
                            </w:r>
                          </w:p>
                          <w:p w14:paraId="234C1840" w14:textId="77777777" w:rsidR="00CE57F9" w:rsidRDefault="00CE57F9" w:rsidP="00224115">
                            <w:r w:rsidRPr="00C2565C">
                              <w:rPr>
                                <w:noProof/>
                              </w:rPr>
                              <w:drawing>
                                <wp:inline distT="0" distB="0" distL="0" distR="0" wp14:anchorId="78066630" wp14:editId="5B77017C">
                                  <wp:extent cx="3105150" cy="2733675"/>
                                  <wp:effectExtent l="0" t="0" r="0" b="9525"/>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grayscl/>
                                            <a:extLst>
                                              <a:ext uri="{28A0092B-C50C-407E-A947-70E740481C1C}">
                                                <a14:useLocalDpi xmlns:a14="http://schemas.microsoft.com/office/drawing/2010/main" val="0"/>
                                              </a:ext>
                                            </a:extLst>
                                          </a:blip>
                                          <a:srcRect/>
                                          <a:stretch>
                                            <a:fillRect/>
                                          </a:stretch>
                                        </pic:blipFill>
                                        <pic:spPr bwMode="auto">
                                          <a:xfrm>
                                            <a:off x="0" y="0"/>
                                            <a:ext cx="3105150" cy="2733675"/>
                                          </a:xfrm>
                                          <a:prstGeom prst="rect">
                                            <a:avLst/>
                                          </a:prstGeom>
                                          <a:noFill/>
                                          <a:ln>
                                            <a:noFill/>
                                          </a:ln>
                                        </pic:spPr>
                                      </pic:pic>
                                    </a:graphicData>
                                  </a:graphic>
                                </wp:inline>
                              </w:drawing>
                            </w:r>
                          </w:p>
                          <w:p w14:paraId="394B195B" w14:textId="77777777" w:rsidR="00CE57F9" w:rsidRPr="003158F2" w:rsidRDefault="00CE57F9" w:rsidP="00224115">
                            <w:pPr>
                              <w:rPr>
                                <w:rFonts w:ascii="標楷體" w:eastAsia="標楷體" w:hAnsi="標楷體"/>
                                <w:sz w:val="18"/>
                                <w:szCs w:val="18"/>
                              </w:rPr>
                            </w:pPr>
                            <w:r w:rsidRPr="003158F2">
                              <w:rPr>
                                <w:rFonts w:ascii="標楷體" w:eastAsia="標楷體" w:hAnsi="標楷體" w:hint="eastAsia"/>
                                <w:sz w:val="18"/>
                                <w:szCs w:val="18"/>
                              </w:rPr>
                              <w:t>資料來源：</w:t>
                            </w:r>
                            <w:r>
                              <w:rPr>
                                <w:rFonts w:ascii="標楷體" w:eastAsia="標楷體" w:hAnsi="標楷體" w:hint="eastAsia"/>
                                <w:sz w:val="18"/>
                                <w:szCs w:val="18"/>
                              </w:rPr>
                              <w:t>本部自行繪製</w:t>
                            </w:r>
                            <w:r w:rsidRPr="003158F2">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C22718" id="文字方塊 45" o:spid="_x0000_s1141" type="#_x0000_t202" style="position:absolute;left:0;text-align:left;margin-left:236.05pt;margin-top:-.4pt;width:259.2pt;height:255.6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" o:allowoverlap="f" filled="f" fillcolor="#4f81bd" stroked="f">
                <v:textbox>
                  <w:txbxContent>
                    <w:p w14:paraId="03245135" w14:textId="2DAEFA9F" w:rsidR="00CE57F9" w:rsidRPr="003158F2" w:rsidRDefault="00CE57F9" w:rsidP="00224115">
                      <w:pPr>
                        <w:adjustRightInd w:val="0"/>
                        <w:snapToGrid w:val="0"/>
                        <w:jc w:val="center"/>
                        <w:rPr>
                          <w:rFonts w:ascii="標楷體" w:eastAsia="標楷體" w:hAnsi="標楷體"/>
                          <w:b/>
                          <w:szCs w:val="32"/>
                        </w:rPr>
                      </w:pPr>
                      <w:r w:rsidRPr="003158F2">
                        <w:rPr>
                          <w:rFonts w:ascii="標楷體" w:eastAsia="標楷體" w:hAnsi="標楷體" w:hint="eastAsia"/>
                          <w:b/>
                          <w:szCs w:val="32"/>
                        </w:rPr>
                        <w:t>圖</w:t>
                      </w:r>
                      <w:r>
                        <w:rPr>
                          <w:rFonts w:ascii="標楷體" w:eastAsia="標楷體" w:hAnsi="標楷體" w:hint="eastAsia"/>
                          <w:b/>
                          <w:szCs w:val="32"/>
                        </w:rPr>
                        <w:t>1</w:t>
                      </w:r>
                      <w:r>
                        <w:rPr>
                          <w:rFonts w:ascii="標楷體" w:eastAsia="標楷體" w:hAnsi="標楷體"/>
                          <w:b/>
                          <w:szCs w:val="32"/>
                        </w:rPr>
                        <w:t>0</w:t>
                      </w:r>
                      <w:r>
                        <w:rPr>
                          <w:rFonts w:ascii="標楷體" w:eastAsia="標楷體" w:hAnsi="標楷體" w:hint="eastAsia"/>
                          <w:b/>
                          <w:szCs w:val="32"/>
                        </w:rPr>
                        <w:t xml:space="preserve">　</w:t>
                      </w:r>
                      <w:r w:rsidRPr="00E42316">
                        <w:rPr>
                          <w:rFonts w:ascii="標楷體" w:eastAsia="標楷體" w:hAnsi="標楷體" w:hint="eastAsia"/>
                          <w:b/>
                          <w:szCs w:val="32"/>
                        </w:rPr>
                        <w:t>原住民族博物館</w:t>
                      </w:r>
                      <w:r>
                        <w:rPr>
                          <w:rFonts w:ascii="標楷體" w:eastAsia="標楷體" w:hAnsi="標楷體" w:hint="eastAsia"/>
                          <w:b/>
                          <w:szCs w:val="32"/>
                        </w:rPr>
                        <w:t>基地位置</w:t>
                      </w:r>
                    </w:p>
                    <w:p w14:paraId="234C1840" w14:textId="77777777" w:rsidR="00CE57F9" w:rsidRDefault="00CE57F9" w:rsidP="00224115">
                      <w:r w:rsidRPr="00C2565C">
                        <w:rPr>
                          <w:noProof/>
                        </w:rPr>
                        <w:drawing>
                          <wp:inline distT="0" distB="0" distL="0" distR="0" wp14:anchorId="78066630" wp14:editId="5B77017C">
                            <wp:extent cx="3105150" cy="2733675"/>
                            <wp:effectExtent l="0" t="0" r="0" b="9525"/>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grayscl/>
                                      <a:extLst>
                                        <a:ext uri="{28A0092B-C50C-407E-A947-70E740481C1C}">
                                          <a14:useLocalDpi xmlns:a14="http://schemas.microsoft.com/office/drawing/2010/main" val="0"/>
                                        </a:ext>
                                      </a:extLst>
                                    </a:blip>
                                    <a:srcRect/>
                                    <a:stretch>
                                      <a:fillRect/>
                                    </a:stretch>
                                  </pic:blipFill>
                                  <pic:spPr bwMode="auto">
                                    <a:xfrm>
                                      <a:off x="0" y="0"/>
                                      <a:ext cx="3105150" cy="2733675"/>
                                    </a:xfrm>
                                    <a:prstGeom prst="rect">
                                      <a:avLst/>
                                    </a:prstGeom>
                                    <a:noFill/>
                                    <a:ln>
                                      <a:noFill/>
                                    </a:ln>
                                  </pic:spPr>
                                </pic:pic>
                              </a:graphicData>
                            </a:graphic>
                          </wp:inline>
                        </w:drawing>
                      </w:r>
                    </w:p>
                    <w:p w14:paraId="394B195B" w14:textId="77777777" w:rsidR="00CE57F9" w:rsidRPr="003158F2" w:rsidRDefault="00CE57F9" w:rsidP="00224115">
                      <w:pPr>
                        <w:rPr>
                          <w:rFonts w:ascii="標楷體" w:eastAsia="標楷體" w:hAnsi="標楷體"/>
                          <w:sz w:val="18"/>
                          <w:szCs w:val="18"/>
                        </w:rPr>
                      </w:pPr>
                      <w:r w:rsidRPr="003158F2">
                        <w:rPr>
                          <w:rFonts w:ascii="標楷體" w:eastAsia="標楷體" w:hAnsi="標楷體" w:hint="eastAsia"/>
                          <w:sz w:val="18"/>
                          <w:szCs w:val="18"/>
                        </w:rPr>
                        <w:t>資料來源：</w:t>
                      </w:r>
                      <w:r>
                        <w:rPr>
                          <w:rFonts w:ascii="標楷體" w:eastAsia="標楷體" w:hAnsi="標楷體" w:hint="eastAsia"/>
                          <w:sz w:val="18"/>
                          <w:szCs w:val="18"/>
                        </w:rPr>
                        <w:t>本部自行繪製</w:t>
                      </w:r>
                      <w:r w:rsidRPr="003158F2">
                        <w:rPr>
                          <w:rFonts w:ascii="標楷體" w:eastAsia="標楷體" w:hAnsi="標楷體" w:hint="eastAsia"/>
                          <w:sz w:val="18"/>
                          <w:szCs w:val="18"/>
                        </w:rPr>
                        <w:t>。</w:t>
                      </w:r>
                    </w:p>
                  </w:txbxContent>
                </v:textbox>
                <w10:wrap type="tight"/>
              </v:shape>
            </w:pict>
          </mc:Fallback>
        </mc:AlternateContent>
      </w:r>
      <w:r w:rsidR="00914EA4" w:rsidRPr="009D11AD">
        <w:rPr>
          <w:rFonts w:ascii="標楷體" w:eastAsia="標楷體" w:hAnsi="標楷體" w:hint="eastAsia"/>
          <w:snapToGrid w:val="0"/>
          <w:szCs w:val="32"/>
        </w:rPr>
        <w:t>進而向國內及國際社會展現臺灣主體性多元文化面貌，爰規劃建置國家級博物館，並擬具國立原住民族博物館園區興建計畫可行性評估報告，經行政院於108年4月26日原則同意，預計於高雄市澄清湖園區興建博物館</w:t>
      </w:r>
      <w:r w:rsidR="00914EA4" w:rsidRPr="00346BDD">
        <w:rPr>
          <w:rFonts w:ascii="標楷體" w:eastAsia="標楷體" w:hAnsi="標楷體" w:hint="eastAsia"/>
          <w:snapToGrid w:val="0"/>
          <w:szCs w:val="32"/>
        </w:rPr>
        <w:t>（圖1</w:t>
      </w:r>
      <w:r w:rsidR="00105077" w:rsidRPr="00346BDD">
        <w:rPr>
          <w:rFonts w:ascii="標楷體" w:eastAsia="標楷體" w:hAnsi="標楷體" w:hint="eastAsia"/>
          <w:snapToGrid w:val="0"/>
          <w:szCs w:val="32"/>
        </w:rPr>
        <w:t>0</w:t>
      </w:r>
      <w:r w:rsidR="00C75ECA" w:rsidRPr="00346BDD">
        <w:rPr>
          <w:rFonts w:ascii="標楷體" w:eastAsia="標楷體" w:hAnsi="標楷體" w:hint="eastAsia"/>
          <w:snapToGrid w:val="0"/>
          <w:szCs w:val="32"/>
        </w:rPr>
        <w:t>），</w:t>
      </w:r>
      <w:r w:rsidR="00C75ECA" w:rsidRPr="009D11AD">
        <w:rPr>
          <w:rFonts w:ascii="標楷體" w:eastAsia="標楷體" w:hAnsi="標楷體" w:hint="eastAsia"/>
          <w:snapToGrid w:val="0"/>
          <w:szCs w:val="32"/>
        </w:rPr>
        <w:t>所需經費34億6</w:t>
      </w:r>
      <w:r w:rsidR="00504E2B" w:rsidRPr="009D11AD">
        <w:rPr>
          <w:rFonts w:ascii="標楷體" w:eastAsia="標楷體" w:hAnsi="標楷體"/>
          <w:snapToGrid w:val="0"/>
          <w:szCs w:val="32"/>
        </w:rPr>
        <w:t>,</w:t>
      </w:r>
      <w:r w:rsidR="00C75ECA" w:rsidRPr="009D11AD">
        <w:rPr>
          <w:rFonts w:ascii="標楷體" w:eastAsia="標楷體" w:hAnsi="標楷體" w:hint="eastAsia"/>
          <w:snapToGrid w:val="0"/>
          <w:szCs w:val="32"/>
        </w:rPr>
        <w:t>780萬</w:t>
      </w:r>
      <w:r w:rsidR="00914EA4" w:rsidRPr="009D11AD">
        <w:rPr>
          <w:rFonts w:ascii="標楷體" w:eastAsia="標楷體" w:hAnsi="標楷體" w:hint="eastAsia"/>
          <w:snapToGrid w:val="0"/>
          <w:szCs w:val="32"/>
        </w:rPr>
        <w:t>餘元，並訂於109年底前完成綜合規劃報告之報院核定事宜，110年起正式啟動國立原住民族博物館園區建築工程設計作業，115及116年底前分別完成建築工程及展示工程施工作業，117年起正式營運。惟本計畫自110年3月通過環境影響評估審查後，截至112年2月底止，已歷時1年11月餘，綜合規劃報告仍未經行政院核定，原定110年執行博物館園區景觀及建築設計之作業尚未啟動。經查執行情形，核有：1.原</w:t>
      </w:r>
      <w:r w:rsidRPr="009D11AD">
        <w:rPr>
          <w:rFonts w:ascii="標楷體" w:eastAsia="標楷體" w:hAnsi="標楷體" w:hint="eastAsia"/>
          <w:snapToGrid w:val="0"/>
          <w:szCs w:val="32"/>
        </w:rPr>
        <w:t>住</w:t>
      </w:r>
      <w:r w:rsidR="00914EA4" w:rsidRPr="009D11AD">
        <w:rPr>
          <w:rFonts w:ascii="標楷體" w:eastAsia="標楷體" w:hAnsi="標楷體" w:hint="eastAsia"/>
          <w:snapToGrid w:val="0"/>
          <w:szCs w:val="32"/>
        </w:rPr>
        <w:t>民</w:t>
      </w:r>
      <w:r w:rsidRPr="009D11AD">
        <w:rPr>
          <w:rFonts w:ascii="標楷體" w:eastAsia="標楷體" w:hAnsi="標楷體" w:hint="eastAsia"/>
          <w:snapToGrid w:val="0"/>
          <w:szCs w:val="32"/>
        </w:rPr>
        <w:t>族委員</w:t>
      </w:r>
      <w:r w:rsidR="00914EA4" w:rsidRPr="009D11AD">
        <w:rPr>
          <w:rFonts w:ascii="標楷體" w:eastAsia="標楷體" w:hAnsi="標楷體" w:hint="eastAsia"/>
          <w:snapToGrid w:val="0"/>
          <w:szCs w:val="32"/>
        </w:rPr>
        <w:t>會於本計畫通過環境影響評估審查後，未依行政院核定可行性評估報告所列計畫經費，審慎檢討博物館整體空間配置及興建規模，卻大幅提高計畫經費，且遲未確定未來博物館之營運內</w:t>
      </w:r>
      <w:r w:rsidR="003445C7" w:rsidRPr="009D11AD">
        <w:rPr>
          <w:rFonts w:ascii="標楷體" w:eastAsia="標楷體" w:hAnsi="標楷體" w:hint="eastAsia"/>
          <w:snapToGrid w:val="0"/>
          <w:szCs w:val="32"/>
        </w:rPr>
        <w:t>涵，致計畫綜合規劃報告歷經多次審議仍未通過，影響計畫目標之達成；</w:t>
      </w:r>
      <w:r w:rsidR="00914EA4" w:rsidRPr="009D11AD">
        <w:rPr>
          <w:rFonts w:ascii="標楷體" w:eastAsia="標楷體" w:hAnsi="標楷體" w:hint="eastAsia"/>
          <w:snapToGrid w:val="0"/>
          <w:szCs w:val="32"/>
        </w:rPr>
        <w:t>2.</w:t>
      </w:r>
      <w:r w:rsidRPr="009D11AD">
        <w:rPr>
          <w:rFonts w:ascii="標楷體" w:eastAsia="標楷體" w:hAnsi="標楷體" w:hint="eastAsia"/>
          <w:snapToGrid w:val="0"/>
          <w:szCs w:val="32"/>
        </w:rPr>
        <w:t>原住民族委員會</w:t>
      </w:r>
      <w:r w:rsidR="00914EA4" w:rsidRPr="009D11AD">
        <w:rPr>
          <w:rFonts w:ascii="標楷體" w:eastAsia="標楷體" w:hAnsi="標楷體" w:hint="eastAsia"/>
          <w:snapToGrid w:val="0"/>
          <w:szCs w:val="32"/>
        </w:rPr>
        <w:t>未就籌設國立原住民族博物館籌備處明定相關執行要項及作業時程，據以有效控管籌備處籌設進度；又未積極針對博物館籌設人力長期不足之問題，參考行政院人事行政總處審查意見，儘速成立有效之推動組織，肇致本計畫因欠缺充足之專業人力協助籌設，影響綜合規劃報告書核定及後續計畫推動等情事</w:t>
      </w:r>
      <w:r w:rsidR="00504E2B" w:rsidRPr="00844457">
        <w:rPr>
          <w:rFonts w:ascii="標楷體" w:eastAsia="標楷體" w:hAnsi="標楷體" w:hint="eastAsia"/>
          <w:snapToGrid w:val="0"/>
          <w:szCs w:val="32"/>
        </w:rPr>
        <w:t>，</w:t>
      </w:r>
      <w:r w:rsidR="005555DE" w:rsidRPr="005555DE">
        <w:rPr>
          <w:rFonts w:ascii="標楷體" w:eastAsia="標楷體" w:hAnsi="標楷體" w:hint="eastAsia"/>
          <w:snapToGrid w:val="0"/>
          <w:szCs w:val="32"/>
        </w:rPr>
        <w:t>經函請行政院督促審慎確立本計畫</w:t>
      </w:r>
      <w:r w:rsidR="00931C29">
        <w:rPr>
          <w:rFonts w:ascii="標楷體" w:eastAsia="標楷體" w:hAnsi="標楷體" w:hint="eastAsia"/>
          <w:snapToGrid w:val="0"/>
          <w:szCs w:val="32"/>
        </w:rPr>
        <w:t>未來發展方向，並參酌歷次審議意見，妥適規劃計畫內容及計畫經費；另</w:t>
      </w:r>
      <w:r w:rsidR="005555DE" w:rsidRPr="005555DE">
        <w:rPr>
          <w:rFonts w:ascii="標楷體" w:eastAsia="標楷體" w:hAnsi="標楷體" w:hint="eastAsia"/>
          <w:snapToGrid w:val="0"/>
          <w:szCs w:val="32"/>
        </w:rPr>
        <w:t>儘速針對原住民族博</w:t>
      </w:r>
      <w:r w:rsidR="00931C29">
        <w:rPr>
          <w:rFonts w:ascii="標楷體" w:eastAsia="標楷體" w:hAnsi="標楷體" w:hint="eastAsia"/>
          <w:snapToGrid w:val="0"/>
          <w:szCs w:val="32"/>
        </w:rPr>
        <w:t>物館之籌設作業，以內部單位或任務編組方式，成立專責推動組織，俾澈</w:t>
      </w:r>
      <w:r w:rsidR="005555DE" w:rsidRPr="005555DE">
        <w:rPr>
          <w:rFonts w:ascii="標楷體" w:eastAsia="標楷體" w:hAnsi="標楷體" w:hint="eastAsia"/>
          <w:snapToGrid w:val="0"/>
          <w:szCs w:val="32"/>
        </w:rPr>
        <w:t>底解決籌設人力不足問題</w:t>
      </w:r>
      <w:r w:rsidR="00931C29">
        <w:rPr>
          <w:rFonts w:ascii="標楷體" w:eastAsia="標楷體" w:hAnsi="標楷體" w:hint="eastAsia"/>
          <w:snapToGrid w:val="0"/>
          <w:szCs w:val="32"/>
        </w:rPr>
        <w:t>，並期藉由專業人力之協助推動，及早確定博物館整體規劃內涵，以利</w:t>
      </w:r>
      <w:r w:rsidR="005555DE" w:rsidRPr="005555DE">
        <w:rPr>
          <w:rFonts w:ascii="標楷體" w:eastAsia="標楷體" w:hAnsi="標楷體" w:hint="eastAsia"/>
          <w:snapToGrid w:val="0"/>
          <w:szCs w:val="32"/>
        </w:rPr>
        <w:t>早</w:t>
      </w:r>
      <w:r w:rsidR="00931C29">
        <w:rPr>
          <w:rFonts w:ascii="標楷體" w:eastAsia="標楷體" w:hAnsi="標楷體" w:hint="eastAsia"/>
          <w:snapToGrid w:val="0"/>
          <w:szCs w:val="32"/>
        </w:rPr>
        <w:t>日完成綜合規劃報告核定作業及</w:t>
      </w:r>
      <w:r w:rsidR="005555DE" w:rsidRPr="005555DE">
        <w:rPr>
          <w:rFonts w:ascii="標楷體" w:eastAsia="標楷體" w:hAnsi="標楷體" w:hint="eastAsia"/>
          <w:snapToGrid w:val="0"/>
          <w:szCs w:val="32"/>
        </w:rPr>
        <w:t>達成計畫目標</w:t>
      </w:r>
      <w:r w:rsidR="00AE4585" w:rsidRPr="00AE4585">
        <w:rPr>
          <w:rFonts w:ascii="標楷體" w:eastAsia="標楷體" w:hAnsi="標楷體" w:hint="eastAsia"/>
          <w:snapToGrid w:val="0"/>
          <w:szCs w:val="32"/>
        </w:rPr>
        <w:t>。據復：</w:t>
      </w:r>
      <w:r w:rsidR="00AE4585" w:rsidRPr="00346BDD">
        <w:rPr>
          <w:rFonts w:ascii="標楷體" w:eastAsia="標楷體" w:hAnsi="標楷體" w:hint="eastAsia"/>
          <w:snapToGrid w:val="0"/>
          <w:szCs w:val="32"/>
        </w:rPr>
        <w:t>1.原住民族委員會已針對相關部會所提意見，檢討國立原住民族博物館之未來發展與營運內涵，並於112年4月28日將修正計畫函請國家發展委員會預審；2.原住民族委員會已責由內部單位，就國立原住民族博物館之籌設作業進行內部分工，以協助計畫推動。</w:t>
      </w:r>
    </w:p>
    <w:p w14:paraId="3D7C7AFD" w14:textId="0CF7575F" w:rsidR="004F5F76" w:rsidRPr="009D11AD" w:rsidRDefault="004F5F76" w:rsidP="00860D54">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（三十一）　客家委員會為形塑客庄產業發展環境及梳理臺三線景觀，辦理客家文化生活環境營造計畫、客家浪漫臺三線計畫，惟計畫審查機制未能有效分配補助資源、效益評估作業未臻合理，又未妥為督促市縣政府依督導團訪視建議</w:t>
      </w:r>
      <w:r w:rsidRPr="009D11AD">
        <w:rPr>
          <w:rFonts w:hAnsi="標楷體" w:hint="eastAsia"/>
          <w:b/>
          <w:color w:val="000000" w:themeColor="text1"/>
          <w:sz w:val="28"/>
          <w:szCs w:val="28"/>
        </w:rPr>
        <w:lastRenderedPageBreak/>
        <w:t>檢討改善，</w:t>
      </w:r>
      <w:r w:rsidRPr="00AE4585">
        <w:rPr>
          <w:rFonts w:hAnsi="標楷體" w:hint="eastAsia"/>
          <w:b/>
          <w:color w:val="000000" w:themeColor="text1"/>
          <w:sz w:val="28"/>
          <w:szCs w:val="28"/>
        </w:rPr>
        <w:t>且運作治理平臺成果未能充分展</w:t>
      </w:r>
      <w:r w:rsidRPr="009D11AD">
        <w:rPr>
          <w:rFonts w:hAnsi="標楷體" w:hint="eastAsia"/>
          <w:b/>
          <w:color w:val="000000" w:themeColor="text1"/>
          <w:sz w:val="28"/>
          <w:szCs w:val="28"/>
        </w:rPr>
        <w:t>現區域合作治理綜效等，允宜研謀改進</w:t>
      </w:r>
      <w:r w:rsidRPr="009D11AD">
        <w:rPr>
          <w:rFonts w:hAnsi="標楷體" w:hint="eastAsia"/>
          <w:b/>
          <w:color w:val="000000" w:themeColor="text1"/>
          <w:spacing w:val="-2"/>
          <w:sz w:val="28"/>
          <w:szCs w:val="28"/>
        </w:rPr>
        <w:t>。</w:t>
      </w:r>
    </w:p>
    <w:p w14:paraId="6B870364" w14:textId="07DF8226" w:rsidR="004F5F76" w:rsidRPr="009D11AD" w:rsidRDefault="004F5F76" w:rsidP="00DA2751">
      <w:pPr>
        <w:pStyle w:val="affb"/>
        <w:overflowPunct w:val="0"/>
        <w:spacing w:line="416" w:lineRule="exact"/>
        <w:ind w:left="0" w:firstLineChars="200" w:firstLine="480"/>
        <w:jc w:val="both"/>
        <w:rPr>
          <w:rFonts w:hAnsi="標楷體"/>
          <w:color w:val="000000" w:themeColor="text1"/>
          <w:sz w:val="24"/>
          <w:szCs w:val="24"/>
        </w:rPr>
      </w:pPr>
      <w:r w:rsidRPr="009D11AD">
        <w:rPr>
          <w:rFonts w:hAnsi="標楷體" w:hint="eastAsia"/>
          <w:color w:val="000000" w:themeColor="text1"/>
          <w:sz w:val="24"/>
          <w:szCs w:val="24"/>
        </w:rPr>
        <w:t>客家委員會為落實國家級臺三線客庄浪漫大道政策，陸續推動客家文化生活環境營造計畫（執行期程為103至108年度，下稱環境營造計畫）、客家浪漫臺三線計畫（執行期程為106至110年度，下稱臺三線計畫），期能系統性完成臺三線環境文化資源之保存與再利用，</w:t>
      </w:r>
      <w:r w:rsidRPr="009D11AD">
        <w:rPr>
          <w:rFonts w:hAnsi="標楷體"/>
          <w:color w:val="000000" w:themeColor="text1"/>
          <w:sz w:val="24"/>
          <w:szCs w:val="24"/>
        </w:rPr>
        <w:t>提升客家文化產業發展及觀光效益</w:t>
      </w:r>
      <w:r w:rsidRPr="009D11AD">
        <w:rPr>
          <w:rFonts w:hAnsi="標楷體" w:hint="eastAsia"/>
          <w:color w:val="000000" w:themeColor="text1"/>
          <w:sz w:val="24"/>
          <w:szCs w:val="24"/>
        </w:rPr>
        <w:t>，上開2項計畫分別於110年6月、111年3月執行完竣，該會計補助桃園市、臺中市、新竹縣、苗栗縣等4個市縣政府（下稱桃園市等4個市縣政府）辦理198案，總經費42億1</w:t>
      </w:r>
      <w:r w:rsidRPr="009D11AD">
        <w:rPr>
          <w:rFonts w:hAnsi="標楷體"/>
          <w:color w:val="000000" w:themeColor="text1"/>
          <w:sz w:val="24"/>
          <w:szCs w:val="24"/>
        </w:rPr>
        <w:t>,</w:t>
      </w:r>
      <w:r w:rsidRPr="009D11AD">
        <w:rPr>
          <w:rFonts w:hAnsi="標楷體" w:hint="eastAsia"/>
          <w:color w:val="000000" w:themeColor="text1"/>
          <w:sz w:val="24"/>
          <w:szCs w:val="24"/>
        </w:rPr>
        <w:t>316萬餘元，</w:t>
      </w:r>
      <w:r w:rsidRPr="00C05220">
        <w:rPr>
          <w:rFonts w:hAnsi="標楷體" w:hint="eastAsia"/>
          <w:color w:val="000000" w:themeColor="text1"/>
          <w:spacing w:val="-2"/>
          <w:sz w:val="24"/>
          <w:szCs w:val="24"/>
        </w:rPr>
        <w:t>由客家委員會於年度單位預算、中央政府前瞻基礎建設計畫第1期及第2期特別預算編列補助款及各市縣政府編列配合款支應。經查執行情形，核有下列事項：</w:t>
      </w:r>
    </w:p>
    <w:p w14:paraId="3599F81C" w14:textId="4C7FDFFF" w:rsidR="004F5F76" w:rsidRPr="009D11AD" w:rsidRDefault="004F5F76" w:rsidP="00AE4585">
      <w:pPr>
        <w:pStyle w:val="affb"/>
        <w:overflowPunct w:val="0"/>
        <w:spacing w:line="424" w:lineRule="exact"/>
        <w:ind w:left="0" w:firstLineChars="450" w:firstLine="1081"/>
        <w:jc w:val="both"/>
        <w:rPr>
          <w:rFonts w:hAnsi="標楷體"/>
          <w:color w:val="000000" w:themeColor="text1"/>
          <w:sz w:val="24"/>
          <w:szCs w:val="24"/>
        </w:rPr>
      </w:pPr>
      <w:r w:rsidRPr="009D11AD">
        <w:rPr>
          <w:rFonts w:hAnsi="標楷體" w:hint="eastAsia"/>
          <w:b/>
          <w:color w:val="000000" w:themeColor="text1"/>
          <w:sz w:val="24"/>
          <w:szCs w:val="24"/>
        </w:rPr>
        <w:t>1.　客家委員會辦理臺三線計畫，未落實審查各市縣政府計畫提案階段填報之預期達成量（質）化指標；另計畫執行完竣後，量化績效指標達成值虛增、創造產值效益未明、提供藝術工作者進駐等計畫目標未能達成、補助計畫完工後續未妥善開放使用及管理維護等，減損計畫預期綜效：</w:t>
      </w:r>
      <w:r w:rsidRPr="009D11AD">
        <w:rPr>
          <w:rFonts w:hAnsi="標楷體" w:hint="eastAsia"/>
          <w:color w:val="000000" w:themeColor="text1"/>
          <w:sz w:val="24"/>
          <w:szCs w:val="24"/>
        </w:rPr>
        <w:t>客家委員會於中央政府前瞻基礎建設計畫第1期及第2期特別預算編列20億元辦理臺三線計畫，核定補助桃園市等4個市縣政府49案，該計畫實現數19億1,733萬餘元（如加計該會年度單位預算經費後，為21億1,939萬餘元）</w:t>
      </w:r>
      <w:r w:rsidR="004A1D40">
        <w:rPr>
          <w:rFonts w:hAnsi="標楷體" w:hint="eastAsia"/>
          <w:color w:val="000000" w:themeColor="text1"/>
          <w:sz w:val="24"/>
          <w:szCs w:val="24"/>
        </w:rPr>
        <w:t>。</w:t>
      </w:r>
      <w:r w:rsidRPr="009D11AD">
        <w:rPr>
          <w:rFonts w:hAnsi="標楷體" w:hint="eastAsia"/>
          <w:color w:val="000000" w:themeColor="text1"/>
          <w:sz w:val="24"/>
          <w:szCs w:val="24"/>
        </w:rPr>
        <w:t>經查臺三線計畫執行情形，核有：</w:t>
      </w:r>
      <w:r w:rsidRPr="00DA2751">
        <w:rPr>
          <w:rFonts w:hAnsi="標楷體" w:hint="eastAsia"/>
          <w:color w:val="000000" w:themeColor="text1"/>
          <w:sz w:val="24"/>
          <w:szCs w:val="24"/>
        </w:rPr>
        <w:t>（</w:t>
      </w:r>
      <w:r w:rsidRPr="00DA2751">
        <w:rPr>
          <w:rFonts w:hAnsi="標楷體"/>
          <w:color w:val="000000" w:themeColor="text1"/>
          <w:sz w:val="24"/>
          <w:szCs w:val="24"/>
        </w:rPr>
        <w:t>1</w:t>
      </w:r>
      <w:r w:rsidRPr="00DA2751">
        <w:rPr>
          <w:rFonts w:hAnsi="標楷體" w:hint="eastAsia"/>
          <w:color w:val="000000" w:themeColor="text1"/>
          <w:sz w:val="24"/>
          <w:szCs w:val="24"/>
        </w:rPr>
        <w:t>）經本部審視客家委員會核定市縣政府提報辦理之規劃設計類及工程施作類別之39案計畫書內容，因計畫書範本指定指標之設定，及市縣政府查填質化效益或自訂指標，多未能直接反映資源投入增進客家文化及產業發展之預期效益，致與臺三線計畫目標及指標連結度不足，另部分市縣政府提報計畫未配合計畫書範本所列社區動員參與方式設定相關指標（38案），或未依式填寫自償率（21案）、創造就業人數（19案）、促進民間投資金額（22案）、增加周邊經濟產值（16案）等指定指標，又計畫書範本未要求妥適陳述推動產業發展模式及相關量值計算方式，爰尚難評估部分提報計畫所列上開指定指標估算量化效益之合理性，恐因欠缺提案計畫攸關資料，影響審查結果而未能有效分配補助資源；（</w:t>
      </w:r>
      <w:r w:rsidRPr="00DA2751">
        <w:rPr>
          <w:rFonts w:hAnsi="標楷體"/>
          <w:color w:val="000000" w:themeColor="text1"/>
          <w:sz w:val="24"/>
          <w:szCs w:val="24"/>
        </w:rPr>
        <w:t>2</w:t>
      </w:r>
      <w:r w:rsidRPr="00DA2751">
        <w:rPr>
          <w:rFonts w:hAnsi="標楷體" w:hint="eastAsia"/>
          <w:color w:val="000000" w:themeColor="text1"/>
          <w:sz w:val="24"/>
          <w:szCs w:val="24"/>
        </w:rPr>
        <w:t>）客家委員會於計畫總結評估報告填報資源投入總量為19億餘元，補助市縣政府49案，惟總結評估報告所列指標達成值卻將其他非攸關計畫投入資源之產出績效納入計算，導致步道串連380公里、興（修）建客家大師故居7處、創造就業人數3,165人等指標達成值有虛增情形，且經本部設計調查表請桃園市等4個市縣政府查填結果，截至111年9月底止僅12案創造非短期就業人數126人，與總結評估報告所列3,165人有嚴重落差，另總結評估報告以桃園市等4個市縣106至110年度每年度旅遊人次較基期105年度增減數為基礎，計算出各該年度較基期年度增加之觀光效益介於負470億餘元至221億餘元間，惟該等市縣全部旅遊人次消長與計畫補助標的完工37案（截至111年9月底止）帶動旅遊人次之計算範圍不同，又經本部設計調查表請桃園市等4個市縣政府查填已完工37案創造產值結果，僅永安海螺文化體驗園區工程計畫等10案計創造4,338萬餘元產值，其餘</w:t>
      </w:r>
      <w:r w:rsidRPr="00DA2751">
        <w:rPr>
          <w:rFonts w:hAnsi="標楷體" w:hint="eastAsia"/>
          <w:color w:val="000000" w:themeColor="text1"/>
          <w:sz w:val="24"/>
          <w:szCs w:val="24"/>
        </w:rPr>
        <w:lastRenderedPageBreak/>
        <w:t>27案填報數據缺乏合理性或填報無創造產值等，總結評估報告所揭露之經濟效益數據未具攸關性；（</w:t>
      </w:r>
      <w:r w:rsidRPr="00DA2751">
        <w:rPr>
          <w:rFonts w:hAnsi="標楷體"/>
          <w:color w:val="000000" w:themeColor="text1"/>
          <w:sz w:val="24"/>
          <w:szCs w:val="24"/>
        </w:rPr>
        <w:t>3</w:t>
      </w:r>
      <w:r w:rsidRPr="00DA2751">
        <w:rPr>
          <w:rFonts w:hAnsi="標楷體" w:hint="eastAsia"/>
          <w:color w:val="000000" w:themeColor="text1"/>
          <w:sz w:val="24"/>
          <w:szCs w:val="24"/>
        </w:rPr>
        <w:t>）臺三線計畫計補助建置13案藝術村及大地園藝計畫，惟截至111年底止，該等案件相關場域或未規劃提供藝術工作者進駐，或雖有規劃提供，惟囿於無適合進駐場域、工程尚未驗收、尚未正式營運等，實際均無藝術家進駐創作及展演，未達成原訂建構客家藝文及發展文化創意產業群聚之計畫目標；（4）經本部設計調查表請桃園市等4個市縣政府查填已完工37案使用人次結果，核有客家文學花園計畫尚未完成委外營運、苗栗鐵路一村復甦計畫願景館未啟用，又客家詹冰故事文學館暨饒平客語園區、東勢客家文化園區等6案，每年使用人次均未達目標值，另部分計畫未按規劃建立民間經營體系、硬體工程設施損壞未修復、園區未清整等，均使推動客家文化及產業發展之效益有所減損等情事，經函請行政院督促客家委員會檢討改善補助計畫提案及審查機制，並積極輔導已完工之硬體工程連結在地產業、吸引人才進駐，以達厚植客庄地區人力、文化、產業、自然資源之計畫目標。據</w:t>
      </w:r>
      <w:r w:rsidRPr="009D11AD">
        <w:rPr>
          <w:rFonts w:hAnsi="標楷體" w:hint="eastAsia"/>
          <w:color w:val="000000" w:themeColor="text1"/>
          <w:sz w:val="24"/>
          <w:szCs w:val="24"/>
        </w:rPr>
        <w:t>復：</w:t>
      </w:r>
      <w:r w:rsidRPr="00DA2751">
        <w:rPr>
          <w:rFonts w:hAnsi="標楷體" w:hint="eastAsia"/>
          <w:color w:val="000000" w:themeColor="text1"/>
          <w:sz w:val="24"/>
          <w:szCs w:val="24"/>
        </w:rPr>
        <w:t>（</w:t>
      </w:r>
      <w:r w:rsidRPr="00DA2751">
        <w:rPr>
          <w:rFonts w:hAnsi="標楷體"/>
          <w:color w:val="000000" w:themeColor="text1"/>
          <w:sz w:val="24"/>
          <w:szCs w:val="24"/>
        </w:rPr>
        <w:t>1</w:t>
      </w:r>
      <w:r w:rsidRPr="00DA2751">
        <w:rPr>
          <w:rFonts w:hAnsi="標楷體" w:hint="eastAsia"/>
          <w:color w:val="000000" w:themeColor="text1"/>
          <w:sz w:val="24"/>
          <w:szCs w:val="24"/>
        </w:rPr>
        <w:t>）</w:t>
      </w:r>
      <w:r w:rsidRPr="009D11AD">
        <w:rPr>
          <w:rFonts w:hAnsi="標楷體" w:hint="eastAsia"/>
          <w:color w:val="000000" w:themeColor="text1"/>
          <w:sz w:val="24"/>
          <w:szCs w:val="24"/>
        </w:rPr>
        <w:t>嗣後將針對專案部分責成提案單位納入自訂量化指標，俾利作為中長程計畫關鍵績效指標統計依據，至於補助大型園區或館舍部分，將委託專業團隊協助調查追蹤，建立有效之效益評估方式，據以修正計畫書範本相關內容；</w:t>
      </w:r>
      <w:r w:rsidR="00E83099" w:rsidRPr="00346BDD">
        <w:rPr>
          <w:rFonts w:hAnsi="標楷體" w:hint="eastAsia"/>
          <w:color w:val="000000" w:themeColor="text1"/>
          <w:sz w:val="24"/>
          <w:szCs w:val="24"/>
        </w:rPr>
        <w:t>（</w:t>
      </w:r>
      <w:r w:rsidR="00E83099" w:rsidRPr="00346BDD">
        <w:rPr>
          <w:rFonts w:hAnsi="標楷體"/>
          <w:color w:val="000000" w:themeColor="text1"/>
          <w:sz w:val="24"/>
          <w:szCs w:val="24"/>
        </w:rPr>
        <w:t>2）爾後提報中長程計畫及撰擬總結評估報告時，將以計畫本身投入資源之產出計列指標達成值</w:t>
      </w:r>
      <w:r w:rsidRPr="00346BDD">
        <w:rPr>
          <w:rFonts w:hAnsi="標楷體" w:hint="eastAsia"/>
          <w:color w:val="000000" w:themeColor="text1"/>
          <w:sz w:val="24"/>
          <w:szCs w:val="24"/>
        </w:rPr>
        <w:t>；（</w:t>
      </w:r>
      <w:r w:rsidRPr="00346BDD">
        <w:rPr>
          <w:rFonts w:hAnsi="標楷體"/>
          <w:color w:val="000000" w:themeColor="text1"/>
          <w:sz w:val="24"/>
          <w:szCs w:val="24"/>
        </w:rPr>
        <w:t>3</w:t>
      </w:r>
      <w:r w:rsidRPr="00346BDD">
        <w:rPr>
          <w:rFonts w:hAnsi="標楷體" w:hint="eastAsia"/>
          <w:color w:val="000000" w:themeColor="text1"/>
          <w:sz w:val="24"/>
          <w:szCs w:val="24"/>
        </w:rPr>
        <w:t>）原規劃提供文創產業進駐空間如「竹北六張犁藝術聚落活化計畫」等補助案件，確因評估後可行性低等因素，未能推動</w:t>
      </w:r>
      <w:r w:rsidR="00E83099" w:rsidRPr="00346BDD">
        <w:rPr>
          <w:rFonts w:hAnsi="標楷體" w:hint="eastAsia"/>
          <w:color w:val="000000" w:themeColor="text1"/>
          <w:sz w:val="24"/>
          <w:szCs w:val="24"/>
        </w:rPr>
        <w:t>，另規劃可提供在地微型產業業者進駐，或提供表演、展覽空間之「</w:t>
      </w:r>
      <w:r w:rsidR="00E83099" w:rsidRPr="00346BDD">
        <w:rPr>
          <w:rFonts w:hAnsi="標楷體"/>
          <w:color w:val="000000" w:themeColor="text1"/>
          <w:sz w:val="24"/>
          <w:szCs w:val="24"/>
        </w:rPr>
        <w:t>1895乙未戰役紀念公園」等6個場域，</w:t>
      </w:r>
      <w:r w:rsidR="009A5F28" w:rsidRPr="00346BDD">
        <w:rPr>
          <w:rFonts w:hAnsi="標楷體" w:hint="eastAsia"/>
          <w:color w:val="000000" w:themeColor="text1"/>
          <w:sz w:val="24"/>
          <w:szCs w:val="24"/>
        </w:rPr>
        <w:t>客家委員</w:t>
      </w:r>
      <w:r w:rsidR="00E83099" w:rsidRPr="00346BDD">
        <w:rPr>
          <w:rFonts w:hAnsi="標楷體"/>
          <w:color w:val="000000" w:themeColor="text1"/>
          <w:sz w:val="24"/>
          <w:szCs w:val="24"/>
        </w:rPr>
        <w:t>會將持續追蹤其營運管理情形</w:t>
      </w:r>
      <w:r w:rsidRPr="00346BDD">
        <w:rPr>
          <w:rFonts w:hAnsi="標楷體" w:hint="eastAsia"/>
          <w:color w:val="000000" w:themeColor="text1"/>
          <w:sz w:val="24"/>
          <w:szCs w:val="24"/>
        </w:rPr>
        <w:t>；（</w:t>
      </w:r>
      <w:r w:rsidRPr="00346BDD">
        <w:rPr>
          <w:rFonts w:hAnsi="標楷體"/>
          <w:color w:val="000000" w:themeColor="text1"/>
          <w:sz w:val="24"/>
          <w:szCs w:val="24"/>
        </w:rPr>
        <w:t>4</w:t>
      </w:r>
      <w:r w:rsidRPr="00346BDD">
        <w:rPr>
          <w:rFonts w:hAnsi="標楷體" w:hint="eastAsia"/>
          <w:color w:val="000000" w:themeColor="text1"/>
          <w:sz w:val="24"/>
          <w:szCs w:val="24"/>
        </w:rPr>
        <w:t>）客家文學花園、苗栗鐵路一村復甦計畫願景館已簽約委外營運或標租予企業，後續將由相關營運團隊經營；將</w:t>
      </w:r>
      <w:r w:rsidRPr="00DA2751">
        <w:rPr>
          <w:rFonts w:hAnsi="標楷體" w:hint="eastAsia"/>
          <w:color w:val="000000" w:themeColor="text1"/>
          <w:sz w:val="24"/>
          <w:szCs w:val="24"/>
        </w:rPr>
        <w:t>持續輔導客家詹冰故事文學館營運，其餘東勢客家文化園區等5案為開放場域，使用人次應超過地方政府提供之統計數據；設施損壞部分，已請各公所改善。</w:t>
      </w:r>
    </w:p>
    <w:p w14:paraId="6ED0097C" w14:textId="17CE6CE2" w:rsidR="004F5F76" w:rsidRPr="009D11AD" w:rsidRDefault="004F5F76" w:rsidP="00971D71">
      <w:pPr>
        <w:pStyle w:val="affb"/>
        <w:overflowPunct w:val="0"/>
        <w:spacing w:line="424" w:lineRule="exact"/>
        <w:ind w:left="0" w:firstLineChars="450" w:firstLine="1081"/>
        <w:jc w:val="both"/>
        <w:rPr>
          <w:rFonts w:hAnsi="標楷體"/>
          <w:bCs/>
          <w:color w:val="000000" w:themeColor="text1"/>
          <w:sz w:val="24"/>
          <w:szCs w:val="24"/>
        </w:rPr>
      </w:pPr>
      <w:r w:rsidRPr="009D11AD">
        <w:rPr>
          <w:rFonts w:hAnsi="標楷體" w:hint="eastAsia"/>
          <w:b/>
          <w:color w:val="000000" w:themeColor="text1"/>
          <w:sz w:val="24"/>
          <w:szCs w:val="24"/>
        </w:rPr>
        <w:t>2.　客家委員會於106至110年度委外成立督導團，實地訪視環境營造計畫及臺三線計畫之後續維運管理情形，惟督導團多年提送補助案件待改善之訪視結論及建議，</w:t>
      </w:r>
      <w:r w:rsidR="00FC43A0">
        <w:rPr>
          <w:rFonts w:hAnsi="標楷體" w:hint="eastAsia"/>
          <w:b/>
          <w:color w:val="000000" w:themeColor="text1"/>
          <w:sz w:val="24"/>
          <w:szCs w:val="24"/>
        </w:rPr>
        <w:t>該</w:t>
      </w:r>
      <w:r w:rsidRPr="009D11AD">
        <w:rPr>
          <w:rFonts w:hAnsi="標楷體" w:hint="eastAsia"/>
          <w:b/>
          <w:color w:val="000000" w:themeColor="text1"/>
          <w:sz w:val="24"/>
          <w:szCs w:val="24"/>
        </w:rPr>
        <w:t>會均未盡督導職責督促市縣政府檢討改善，致所提建議歷經多年仍未獲改善，未能有效發揮督導團訪視效益：</w:t>
      </w:r>
      <w:r w:rsidRPr="009D11AD">
        <w:rPr>
          <w:rFonts w:hAnsi="標楷體" w:hint="eastAsia"/>
          <w:bCs/>
          <w:color w:val="000000" w:themeColor="text1"/>
          <w:sz w:val="24"/>
          <w:szCs w:val="24"/>
        </w:rPr>
        <w:t>客家委員會為強化環境營造計畫及臺三線計畫之執行成效與管控期程，於106至110年度委外成立客家文化生活及產業環境營造計畫督導團（109年後更名為客庄創生環境營造計畫督導團，下稱督導團），辦理補助案件例行管考作業，並實地訪視客家委員會自100年度起補助辦理環境營造計畫、臺三線計畫屬工程施作類計畫（下稱歷年補助計畫）之後續維運管理情形等。經查，督導團近3年度（</w:t>
      </w:r>
      <w:r w:rsidRPr="009D11AD">
        <w:rPr>
          <w:rFonts w:hAnsi="標楷體"/>
          <w:bCs/>
          <w:color w:val="000000" w:themeColor="text1"/>
          <w:sz w:val="24"/>
          <w:szCs w:val="24"/>
        </w:rPr>
        <w:t>108</w:t>
      </w:r>
      <w:r w:rsidRPr="009D11AD">
        <w:rPr>
          <w:rFonts w:hAnsi="標楷體" w:hint="eastAsia"/>
          <w:bCs/>
          <w:color w:val="000000" w:themeColor="text1"/>
          <w:sz w:val="24"/>
          <w:szCs w:val="24"/>
        </w:rPr>
        <w:t>至</w:t>
      </w:r>
      <w:r w:rsidRPr="009D11AD">
        <w:rPr>
          <w:rFonts w:hAnsi="標楷體"/>
          <w:bCs/>
          <w:color w:val="000000" w:themeColor="text1"/>
          <w:sz w:val="24"/>
          <w:szCs w:val="24"/>
        </w:rPr>
        <w:t>110</w:t>
      </w:r>
      <w:r w:rsidRPr="009D11AD">
        <w:rPr>
          <w:rFonts w:hAnsi="標楷體" w:hint="eastAsia"/>
          <w:bCs/>
          <w:color w:val="000000" w:themeColor="text1"/>
          <w:sz w:val="24"/>
          <w:szCs w:val="24"/>
        </w:rPr>
        <w:t>年度）實地訪視歷年補助計畫維運管理情形，提出部分補助計畫間有補助建置之空間未依原定計畫開放公眾使用，部分客家意象裝置、涼亭屋頂、步道或照明等設施毀損或滅失，場域環境清潔維護欠佳，導覽解說牌可能造成當地居民或遊客安全疑慮或引導民眾錯誤方向，建議加強修補管理維護以達補助效益等訪視結論及建議，惟客家委員會未就督導團所提尚待加強部分，本於計畫主管機關職責，函送有關市縣政府督促受補助</w:t>
      </w:r>
      <w:r w:rsidRPr="0079154E">
        <w:rPr>
          <w:rFonts w:hAnsi="標楷體" w:hint="eastAsia"/>
          <w:bCs/>
          <w:color w:val="000000" w:themeColor="text1"/>
          <w:sz w:val="24"/>
          <w:szCs w:val="24"/>
        </w:rPr>
        <w:t>單位檢討研謀改善，亦未積極追蹤後續改善情形，並落實作為來年相關補助計畫審查之參考，</w:t>
      </w:r>
      <w:r w:rsidRPr="009D11AD">
        <w:rPr>
          <w:rFonts w:hAnsi="標楷體" w:hint="eastAsia"/>
          <w:bCs/>
          <w:color w:val="000000" w:themeColor="text1"/>
          <w:sz w:val="24"/>
          <w:szCs w:val="24"/>
        </w:rPr>
        <w:lastRenderedPageBreak/>
        <w:t>經本部檢視近3年度督導</w:t>
      </w:r>
      <w:r w:rsidRPr="00BD343B">
        <w:rPr>
          <w:rFonts w:hAnsi="標楷體" w:hint="eastAsia"/>
          <w:bCs/>
          <w:color w:val="000000" w:themeColor="text1"/>
          <w:spacing w:val="2"/>
          <w:sz w:val="24"/>
          <w:szCs w:val="24"/>
        </w:rPr>
        <w:t>團全案成果總結報告書，計28案補助計畫屢經督導團提出類同建議</w:t>
      </w:r>
      <w:r w:rsidRPr="009D11AD">
        <w:rPr>
          <w:rFonts w:hAnsi="標楷體" w:hint="eastAsia"/>
          <w:bCs/>
          <w:color w:val="000000" w:themeColor="text1"/>
          <w:sz w:val="24"/>
          <w:szCs w:val="24"/>
        </w:rPr>
        <w:t>，惟始終未獲改善，未能有效發揮督導團訪視效能，客家委員會監督補助計畫後續維運管理之力道薄弱。經函請行政院督促客家委員會確實將督導團訪視建議通知市縣政府督促改善，並落實回饋作為審查來年補助計畫之參考，以發揮督導團訪視成效，促進補助計畫妥善維運管理及永續經營。據復：已責成督導團將歷年補助各市縣政府完工案件訪視成果分級分類提供客家委員會，屬於影響使用民眾安全或使用情形違反該會補助計畫目的之缺失應通知該會並追蹤其改善情形，以發揮訪視效益。</w:t>
      </w:r>
    </w:p>
    <w:p w14:paraId="4AC5982F" w14:textId="6F78470D" w:rsidR="00D17E69" w:rsidRPr="009D11AD" w:rsidRDefault="004F5F76" w:rsidP="00ED35AC">
      <w:pPr>
        <w:overflowPunct w:val="0"/>
        <w:snapToGrid w:val="0"/>
        <w:spacing w:line="420" w:lineRule="exact"/>
        <w:ind w:firstLineChars="450" w:firstLine="1081"/>
        <w:jc w:val="both"/>
        <w:rPr>
          <w:rFonts w:ascii="標楷體" w:eastAsia="標楷體" w:hAnsi="標楷體"/>
          <w:color w:val="000000" w:themeColor="text1"/>
          <w:szCs w:val="24"/>
        </w:rPr>
      </w:pPr>
      <w:r w:rsidRPr="009D11AD">
        <w:rPr>
          <w:rFonts w:ascii="標楷體" w:eastAsia="標楷體" w:hAnsi="標楷體" w:hint="eastAsia"/>
          <w:b/>
          <w:color w:val="000000" w:themeColor="text1"/>
          <w:szCs w:val="24"/>
        </w:rPr>
        <w:t>3.　客家委員會擬具客家浪漫臺三線及客庄369政策，作為推動客家重點發展區域施政之重要方針，並以區域治理模式整合中央及地方資源，惟治理平臺運作成果未能充分展現區域合作治理綜效，又缺乏明確績效目標及政策評核機制，不利發揮引導中央及地方共同推動地域性客庄發展之政策目標；且推動項目與國家客家發展計畫間有重疊，惟未能適時整併或劃一管考作業，致有影響行政效率之虞：</w:t>
      </w:r>
      <w:r w:rsidRPr="009D11AD">
        <w:rPr>
          <w:rFonts w:ascii="標楷體" w:eastAsia="標楷體" w:hAnsi="標楷體" w:hint="eastAsia"/>
          <w:color w:val="000000" w:themeColor="text1"/>
          <w:szCs w:val="24"/>
        </w:rPr>
        <w:t>行政院為推動蔡英文總統所提出之「國家級臺三線客庄浪漫大道」政見，於105年9月2日核定行政院臺三線客庄浪漫大道治理平臺設置要點，由客家委員會結合農業委員會等10個中央部會及桃園市等4個市縣政府資源，組成臺三線治理平臺，統籌客家浪漫臺三線政策相關推動事項之指導、協調及審議，暨推動進度之控管等任務，目的係透過區域聯合治理串聯中央及市縣政府資源，並協調各部會調整作業模式，俾將資源共同挹注客庄，落實客家浪漫臺三線政策之推動。嗣行政院鑑於南部「六堆」及東部「臺九線」客庄地區同樣面臨人口流失及傳統文化斷層現象，爰於109年5月訂定發布「客庄369整體發展綱要」，新增納入六堆、臺九線等客庄為區域治理範圍；同年7月配合修正公布行政院客庄369治理平臺設置要點，將臺三線治理平臺改組為「行政院客庄369治理平臺」（下稱客庄369治理平臺），並於110年4月公布客庄369總體上位計畫，延續原106年3月22日臺三線治理平臺第1次會議備查之「國家級臺三線客庄浪漫大道推動方案」運作模式，依人文形塑、環境整備、產業發展等3大推動面向，臚列17項推動策略，請各相關部會參酌納入既有業務計畫推動辦理。經查臺三線及客庄369治理平臺運作情形，核有：（1）臺三線及客庄369治理平臺雖對於客庄跨域治理議題提出多項討論，惟相關部會及市縣政府共識及積極程度不足，加以缺少挹注額外預算資源之誘因、決議並無具體強制性等，致諸多議案後續並無具體推動成果，影響區域合作治理實效。又截至111年11月底止，治理平臺會議提案尚無顯著成功跨域合作案例，仍偏重各部會間業務協調，未能凝聚中央及地方共識，整合規劃相關公共建設、產業發展、文化振興等治理方案，形成共同提案推動辦理，與原規劃治理平臺成立目的未盡相符；（2）浪漫臺三線及客庄369政策未明訂量化或質化績效目標，亦無訂定具體績效管理措施。客家委員會雖要求相關部會及市縣政府按季填報於客庄369地區資源投入情形及執行成果，並運用上開調查結果綜觀政府挹注客庄369區域之資源分布概況，惟未實際檢核執行成果對於促進浪漫臺三線及客庄369政</w:t>
      </w:r>
      <w:r w:rsidRPr="00D74349">
        <w:rPr>
          <w:rFonts w:ascii="標楷體" w:eastAsia="標楷體" w:hAnsi="標楷體" w:hint="eastAsia"/>
          <w:color w:val="000000" w:themeColor="text1"/>
          <w:szCs w:val="24"/>
        </w:rPr>
        <w:t>策整體目標之達成效益，回饋作為政策計畫檢討之參據，以妥適配置及運用政府有限資源</w:t>
      </w:r>
      <w:r w:rsidRPr="00D74349">
        <w:rPr>
          <w:rFonts w:ascii="標楷體" w:eastAsia="標楷體" w:hAnsi="標楷體" w:hint="eastAsia"/>
          <w:color w:val="000000" w:themeColor="text1"/>
          <w:szCs w:val="24"/>
        </w:rPr>
        <w:lastRenderedPageBreak/>
        <w:t>等，</w:t>
      </w:r>
      <w:r w:rsidRPr="009D11AD">
        <w:rPr>
          <w:rFonts w:ascii="標楷體" w:eastAsia="標楷體" w:hAnsi="標楷體" w:hint="eastAsia"/>
          <w:color w:val="000000" w:themeColor="text1"/>
          <w:szCs w:val="24"/>
        </w:rPr>
        <w:t>績效評核機制顯欠完備；（3）浪漫臺三線及客庄369政策係政府推動地域性客庄發展之原則方針，又客家委員會業依客家基本法（107年1月31日修正公布）第6條第1項規定訂定國家客家發展計畫，經行政院於110年6月15日核定作為各級政府客家相關施政之依據，兩者皆藉由擬訂策略目標及推動重點，引導各部會及市縣政府配合調整業務決策及分配資源。其中客庄369政策擬訂之客庄生活環境扎根、建置客家產業基地、客庄特色行銷推廣等17項推動策略，可對應至國家客家發展計畫之完備客語服務量能、深化客庄永續發展，建構客庄友善公共領域、創造返鄉平臺與機會等11項推動策略，惟兩者分開管考，致間有部會</w:t>
      </w:r>
      <w:r w:rsidR="00FC43A0">
        <w:rPr>
          <w:rFonts w:ascii="標楷體" w:eastAsia="標楷體" w:hAnsi="標楷體" w:hint="eastAsia"/>
          <w:color w:val="000000" w:themeColor="text1"/>
          <w:szCs w:val="24"/>
        </w:rPr>
        <w:t>須</w:t>
      </w:r>
      <w:r w:rsidRPr="009D11AD">
        <w:rPr>
          <w:rFonts w:ascii="標楷體" w:eastAsia="標楷體" w:hAnsi="標楷體" w:hint="eastAsia"/>
          <w:color w:val="000000" w:themeColor="text1"/>
          <w:szCs w:val="24"/>
        </w:rPr>
        <w:t>重複於不同管考系統填報相同資料，加重部會行政作業負荷等情事，經函請客家委員會通盤研謀檢討客庄區域治理政策及治理平臺最佳運作模式，並將地域性政策適度整併或納入國家客家發展計畫辦理，且完備及落實績效評核機制，俾適時檢討反饋及改進，以發揮引導中央及地方共同推動地域性客庄發展之政策目標。據復：將</w:t>
      </w:r>
      <w:r w:rsidRPr="009D11AD">
        <w:rPr>
          <w:rFonts w:ascii="標楷體" w:eastAsia="標楷體" w:hAnsi="標楷體"/>
          <w:color w:val="000000" w:themeColor="text1"/>
          <w:szCs w:val="24"/>
        </w:rPr>
        <w:t>於113年至116年國家客家發展計畫研訂</w:t>
      </w:r>
      <w:r w:rsidRPr="009D11AD">
        <w:rPr>
          <w:rFonts w:ascii="標楷體" w:eastAsia="標楷體" w:hAnsi="標楷體" w:hint="eastAsia"/>
          <w:color w:val="000000" w:themeColor="text1"/>
          <w:szCs w:val="24"/>
        </w:rPr>
        <w:t>相關</w:t>
      </w:r>
      <w:r w:rsidRPr="009D11AD">
        <w:rPr>
          <w:rFonts w:ascii="標楷體" w:eastAsia="標楷體" w:hAnsi="標楷體"/>
          <w:color w:val="000000" w:themeColor="text1"/>
          <w:szCs w:val="24"/>
        </w:rPr>
        <w:t>作業，就其管考</w:t>
      </w:r>
      <w:r w:rsidRPr="009D11AD">
        <w:rPr>
          <w:rFonts w:ascii="標楷體" w:eastAsia="標楷體" w:hAnsi="標楷體" w:hint="eastAsia"/>
          <w:color w:val="000000" w:themeColor="text1"/>
          <w:szCs w:val="24"/>
        </w:rPr>
        <w:t>機制</w:t>
      </w:r>
      <w:r w:rsidRPr="009D11AD">
        <w:rPr>
          <w:rFonts w:ascii="標楷體" w:eastAsia="標楷體" w:hAnsi="標楷體"/>
          <w:color w:val="000000" w:themeColor="text1"/>
          <w:szCs w:val="24"/>
        </w:rPr>
        <w:t>與112年度客庄369推動平</w:t>
      </w:r>
      <w:r w:rsidR="00DD48DC">
        <w:rPr>
          <w:rFonts w:ascii="標楷體" w:eastAsia="標楷體" w:hAnsi="標楷體" w:hint="eastAsia"/>
          <w:color w:val="000000" w:themeColor="text1"/>
          <w:szCs w:val="24"/>
        </w:rPr>
        <w:t>臺</w:t>
      </w:r>
      <w:r w:rsidRPr="009D11AD">
        <w:rPr>
          <w:rFonts w:ascii="標楷體" w:eastAsia="標楷體" w:hAnsi="標楷體"/>
          <w:color w:val="000000" w:themeColor="text1"/>
          <w:szCs w:val="24"/>
        </w:rPr>
        <w:t>協同作業通盤考量</w:t>
      </w:r>
      <w:r w:rsidRPr="009D11AD">
        <w:rPr>
          <w:rFonts w:ascii="標楷體" w:eastAsia="標楷體" w:hAnsi="標楷體" w:hint="eastAsia"/>
          <w:color w:val="000000" w:themeColor="text1"/>
          <w:szCs w:val="24"/>
        </w:rPr>
        <w:t>。</w:t>
      </w:r>
    </w:p>
    <w:p w14:paraId="44D4E047" w14:textId="54D9BCC6" w:rsidR="004F5F76" w:rsidRPr="009D11AD" w:rsidRDefault="004F5F76" w:rsidP="00DA2751">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（三十二）　公平交易委員會為遏止虛偽不實或引起一般大眾錯誤認知之廣告行為，委外加強查察網路不實廣告並訂定薦證廣告相關規範，惟查察結果多以情節輕微而以行政指導方式結案，又未追蹤後續改善情形，致部分110年度發現之不實廣告迄未移除或改正，仍持續公開販售，另薦證者與廣告主之利益關係揭露義務規範對象僅限於社群網站推文或發言，涵蓋範圍與實務薦證廣告託播方式未臻契合，允宜檢討相關作為及規定，以保障民眾消費權益</w:t>
      </w:r>
      <w:r w:rsidRPr="009D11AD">
        <w:rPr>
          <w:rFonts w:hAnsi="標楷體" w:hint="eastAsia"/>
          <w:b/>
          <w:color w:val="000000" w:themeColor="text1"/>
          <w:spacing w:val="-2"/>
          <w:sz w:val="28"/>
          <w:szCs w:val="28"/>
        </w:rPr>
        <w:t>。</w:t>
      </w:r>
    </w:p>
    <w:p w14:paraId="16953B9A" w14:textId="56388BDF" w:rsidR="004F5F76" w:rsidRPr="009D11AD" w:rsidRDefault="004F5F76">
      <w:pPr>
        <w:overflowPunct w:val="0"/>
        <w:snapToGrid w:val="0"/>
        <w:spacing w:afterLines="50" w:after="180" w:line="440" w:lineRule="exact"/>
        <w:ind w:firstLineChars="200" w:firstLine="480"/>
        <w:jc w:val="both"/>
        <w:rPr>
          <w:rFonts w:ascii="標楷體" w:eastAsia="標楷體" w:hAnsi="標楷體"/>
          <w:color w:val="000000" w:themeColor="text1"/>
          <w:szCs w:val="24"/>
        </w:rPr>
      </w:pPr>
      <w:r w:rsidRPr="009D11AD">
        <w:rPr>
          <w:rFonts w:ascii="標楷體" w:eastAsia="標楷體" w:hAnsi="標楷體" w:hint="eastAsia"/>
          <w:color w:val="000000" w:themeColor="text1"/>
          <w:szCs w:val="28"/>
        </w:rPr>
        <w:t>公平交易委員會為加強查察涉及違反公平交易法第21條第1項規定之網路不實廣告，</w:t>
      </w:r>
      <w:r w:rsidR="003D4B08" w:rsidRPr="009D11AD">
        <w:rPr>
          <w:rFonts w:ascii="標楷體" w:eastAsia="標楷體" w:hAnsi="標楷體" w:hint="eastAsia"/>
          <w:color w:val="000000" w:themeColor="text1"/>
          <w:szCs w:val="28"/>
        </w:rPr>
        <w:t>經辦理勞務採購案於</w:t>
      </w:r>
      <w:r w:rsidRPr="009D11AD">
        <w:rPr>
          <w:rFonts w:ascii="標楷體" w:eastAsia="標楷體" w:hAnsi="標楷體" w:hint="eastAsia"/>
          <w:color w:val="000000" w:themeColor="text1"/>
          <w:szCs w:val="28"/>
        </w:rPr>
        <w:t>110及111</w:t>
      </w:r>
      <w:r w:rsidR="003D4B08" w:rsidRPr="009D11AD">
        <w:rPr>
          <w:rFonts w:ascii="標楷體" w:eastAsia="標楷體" w:hAnsi="標楷體" w:hint="eastAsia"/>
          <w:color w:val="000000" w:themeColor="text1"/>
          <w:szCs w:val="28"/>
        </w:rPr>
        <w:t>年度</w:t>
      </w:r>
      <w:r w:rsidRPr="009D11AD">
        <w:rPr>
          <w:rFonts w:ascii="標楷體" w:eastAsia="標楷體" w:hAnsi="標楷體" w:hint="eastAsia"/>
          <w:color w:val="000000" w:themeColor="text1"/>
          <w:szCs w:val="28"/>
        </w:rPr>
        <w:t>委外運用爬蟲軟體針對591房屋網等網站搜尋尚在銷售之建案，及針對PChome24h</w:t>
      </w:r>
      <w:r w:rsidR="003D4B08" w:rsidRPr="009D11AD">
        <w:rPr>
          <w:rFonts w:ascii="標楷體" w:eastAsia="標楷體" w:hAnsi="標楷體" w:hint="eastAsia"/>
          <w:color w:val="000000" w:themeColor="text1"/>
          <w:szCs w:val="28"/>
        </w:rPr>
        <w:t>等電商平臺或企業網站，進行關鍵字搜尋。執行結果，該會</w:t>
      </w:r>
      <w:r w:rsidRPr="009D11AD">
        <w:rPr>
          <w:rFonts w:ascii="標楷體" w:eastAsia="標楷體" w:hAnsi="標楷體" w:hint="eastAsia"/>
          <w:color w:val="000000" w:themeColor="text1"/>
          <w:szCs w:val="28"/>
        </w:rPr>
        <w:t>於110年度及111年4至8月間查察發現之一般商品不實廣告207件及56件，截至111年8</w:t>
      </w:r>
      <w:r w:rsidR="003D4B08" w:rsidRPr="009D11AD">
        <w:rPr>
          <w:rFonts w:ascii="標楷體" w:eastAsia="標楷體" w:hAnsi="標楷體" w:hint="eastAsia"/>
          <w:color w:val="000000" w:themeColor="text1"/>
          <w:szCs w:val="28"/>
        </w:rPr>
        <w:t>月底止，</w:t>
      </w:r>
      <w:r w:rsidRPr="009D11AD">
        <w:rPr>
          <w:rFonts w:ascii="標楷體" w:eastAsia="標楷體" w:hAnsi="標楷體" w:hint="eastAsia"/>
          <w:color w:val="000000" w:themeColor="text1"/>
          <w:szCs w:val="28"/>
        </w:rPr>
        <w:t>依公平交易法第26條規定立案調查僅22件、7</w:t>
      </w:r>
      <w:r w:rsidR="003D4B08" w:rsidRPr="009D11AD">
        <w:rPr>
          <w:rFonts w:ascii="標楷體" w:eastAsia="標楷體" w:hAnsi="標楷體" w:hint="eastAsia"/>
          <w:color w:val="000000" w:themeColor="text1"/>
          <w:szCs w:val="28"/>
        </w:rPr>
        <w:t>件，</w:t>
      </w:r>
      <w:r w:rsidR="00164AFA">
        <w:rPr>
          <w:rFonts w:ascii="標楷體" w:eastAsia="標楷體" w:hAnsi="標楷體" w:hint="eastAsia"/>
          <w:color w:val="000000" w:themeColor="text1"/>
          <w:szCs w:val="28"/>
        </w:rPr>
        <w:t>其</w:t>
      </w:r>
      <w:r w:rsidR="003D4B08" w:rsidRPr="009D11AD">
        <w:rPr>
          <w:rFonts w:ascii="標楷體" w:eastAsia="標楷體" w:hAnsi="標楷體" w:hint="eastAsia"/>
          <w:color w:val="000000" w:themeColor="text1"/>
          <w:szCs w:val="28"/>
        </w:rPr>
        <w:t>餘多以行政指導「發函促請業者注意」方式辦理結案。惟</w:t>
      </w:r>
      <w:r w:rsidRPr="009D11AD">
        <w:rPr>
          <w:rFonts w:ascii="標楷體" w:eastAsia="標楷體" w:hAnsi="標楷體" w:hint="eastAsia"/>
          <w:color w:val="000000" w:themeColor="text1"/>
          <w:szCs w:val="28"/>
        </w:rPr>
        <w:t>發函對象為MOMO</w:t>
      </w:r>
      <w:r w:rsidR="003D4B08" w:rsidRPr="009D11AD">
        <w:rPr>
          <w:rFonts w:ascii="標楷體" w:eastAsia="標楷體" w:hAnsi="標楷體" w:hint="eastAsia"/>
          <w:color w:val="000000" w:themeColor="text1"/>
          <w:szCs w:val="28"/>
        </w:rPr>
        <w:t>購物網等網站經營商而非實際廣告主，復因該會</w:t>
      </w:r>
      <w:r w:rsidRPr="009D11AD">
        <w:rPr>
          <w:rFonts w:ascii="標楷體" w:eastAsia="標楷體" w:hAnsi="標楷體" w:hint="eastAsia"/>
          <w:color w:val="000000" w:themeColor="text1"/>
          <w:szCs w:val="28"/>
        </w:rPr>
        <w:t>於勞務採購案結案後，</w:t>
      </w:r>
      <w:r w:rsidR="003D4B08" w:rsidRPr="009D11AD">
        <w:rPr>
          <w:rFonts w:ascii="標楷體" w:eastAsia="標楷體" w:hAnsi="標楷體" w:hint="eastAsia"/>
          <w:color w:val="000000" w:themeColor="text1"/>
          <w:szCs w:val="28"/>
        </w:rPr>
        <w:t>未</w:t>
      </w:r>
      <w:r w:rsidRPr="009D11AD">
        <w:rPr>
          <w:rFonts w:ascii="標楷體" w:eastAsia="標楷體" w:hAnsi="標楷體" w:hint="eastAsia"/>
          <w:color w:val="000000" w:themeColor="text1"/>
          <w:szCs w:val="28"/>
        </w:rPr>
        <w:t>持續就其結案報告書所列69件尚未移除或改正之不實廣告列管追蹤移除或改正情形，截至111年10月28日止，經本部抽查</w:t>
      </w:r>
      <w:r w:rsidRPr="009D11AD">
        <w:rPr>
          <w:rFonts w:ascii="標楷體" w:eastAsia="標楷體" w:hAnsi="標楷體"/>
          <w:color w:val="000000" w:themeColor="text1"/>
          <w:szCs w:val="28"/>
        </w:rPr>
        <w:t>11</w:t>
      </w:r>
      <w:r w:rsidRPr="009D11AD">
        <w:rPr>
          <w:rFonts w:ascii="標楷體" w:eastAsia="標楷體" w:hAnsi="標楷體" w:hint="eastAsia"/>
          <w:color w:val="000000" w:themeColor="text1"/>
          <w:szCs w:val="28"/>
        </w:rPr>
        <w:t>件發現仍有</w:t>
      </w:r>
      <w:r w:rsidRPr="009D11AD">
        <w:rPr>
          <w:rFonts w:ascii="標楷體" w:eastAsia="標楷體" w:hAnsi="標楷體"/>
          <w:color w:val="000000" w:themeColor="text1"/>
          <w:szCs w:val="28"/>
        </w:rPr>
        <w:t>9</w:t>
      </w:r>
      <w:r w:rsidRPr="009D11AD">
        <w:rPr>
          <w:rFonts w:ascii="標楷體" w:eastAsia="標楷體" w:hAnsi="標楷體" w:hint="eastAsia"/>
          <w:color w:val="000000" w:themeColor="text1"/>
          <w:szCs w:val="28"/>
        </w:rPr>
        <w:t>件不實廣告尚未移除或改正，顯示該會</w:t>
      </w:r>
      <w:r w:rsidR="003D4B08" w:rsidRPr="009D11AD">
        <w:rPr>
          <w:rFonts w:ascii="標楷體" w:eastAsia="標楷體" w:hAnsi="標楷體" w:hint="eastAsia"/>
          <w:color w:val="000000" w:themeColor="text1"/>
          <w:szCs w:val="28"/>
        </w:rPr>
        <w:t>現行函請業者注意改善之作業方式，未能有效督促廣告主更正不實廣告。</w:t>
      </w:r>
      <w:r w:rsidRPr="009D11AD">
        <w:rPr>
          <w:rFonts w:ascii="標楷體" w:eastAsia="標楷體" w:hAnsi="標楷體" w:hint="eastAsia"/>
          <w:color w:val="000000" w:themeColor="text1"/>
          <w:szCs w:val="28"/>
        </w:rPr>
        <w:t>又據該會說明未立案調查之理由，係廣告</w:t>
      </w:r>
      <w:r w:rsidR="003D4B08" w:rsidRPr="009D11AD">
        <w:rPr>
          <w:rFonts w:ascii="標楷體" w:eastAsia="標楷體" w:hAnsi="標楷體" w:hint="eastAsia"/>
          <w:color w:val="000000" w:themeColor="text1"/>
          <w:szCs w:val="28"/>
        </w:rPr>
        <w:t>僅存有顯而易見之誤植或誤勘，</w:t>
      </w:r>
      <w:r w:rsidRPr="009D11AD">
        <w:rPr>
          <w:rFonts w:ascii="標楷體" w:eastAsia="標楷體" w:hAnsi="標楷體" w:hint="eastAsia"/>
          <w:color w:val="000000" w:themeColor="text1"/>
          <w:szCs w:val="28"/>
        </w:rPr>
        <w:t>情節輕微顯無依公平交易法第42條規定以警示函處理之必要，但為避免衍生消費爭議，爰以行政指導方式促請業者注意其廣告內容之表示，以免觸法等，惟110年度委外查察發現一般商品不實廣告207件中，逾6成屬節能標章過期、節能效率虛偽不實，或商品產地不符、未取得MIT微笑標章，或經濟部標準檢驗局BSMI</w:t>
      </w:r>
      <w:r w:rsidR="003D4B08" w:rsidRPr="009D11AD">
        <w:rPr>
          <w:rFonts w:ascii="標楷體" w:eastAsia="標楷體" w:hAnsi="標楷體" w:hint="eastAsia"/>
          <w:color w:val="000000" w:themeColor="text1"/>
          <w:szCs w:val="28"/>
        </w:rPr>
        <w:t>商品安全標章過</w:t>
      </w:r>
      <w:r w:rsidR="003D4B08" w:rsidRPr="009D11AD">
        <w:rPr>
          <w:rFonts w:ascii="標楷體" w:eastAsia="標楷體" w:hAnsi="標楷體" w:hint="eastAsia"/>
          <w:color w:val="000000" w:themeColor="text1"/>
          <w:szCs w:val="28"/>
        </w:rPr>
        <w:lastRenderedPageBreak/>
        <w:t>期、廢止、註銷等情節</w:t>
      </w:r>
      <w:r w:rsidRPr="009D11AD">
        <w:rPr>
          <w:rFonts w:ascii="標楷體" w:eastAsia="標楷體" w:hAnsi="標楷體" w:hint="eastAsia"/>
          <w:color w:val="000000" w:themeColor="text1"/>
          <w:szCs w:val="28"/>
        </w:rPr>
        <w:t>，該會以情節輕微為由未立案調查，亦未</w:t>
      </w:r>
      <w:r w:rsidR="003D4B08" w:rsidRPr="009D11AD">
        <w:rPr>
          <w:rFonts w:ascii="標楷體" w:eastAsia="標楷體" w:hAnsi="標楷體" w:hint="eastAsia"/>
          <w:color w:val="000000" w:themeColor="text1"/>
          <w:szCs w:val="28"/>
        </w:rPr>
        <w:t>持續追蹤移除或改正情形</w:t>
      </w:r>
      <w:r w:rsidRPr="009D11AD">
        <w:rPr>
          <w:rFonts w:ascii="標楷體" w:eastAsia="標楷體" w:hAnsi="標楷體" w:hint="eastAsia"/>
          <w:color w:val="000000" w:themeColor="text1"/>
          <w:szCs w:val="28"/>
        </w:rPr>
        <w:t>，致商品節能標章過期等商品持續公開販售，相關作業有欠妥適。另查，公平交易委員會鑑於廣告薦證者之推薦或使用心得分享，影響消費者購買商品或服務之決定，爰訂定「公平交易委員會對於薦證廣告之規範說明」，具體定義薦證廣告，並說明其可能違反公平交易法之行為態樣，俾使廣告主、廣告薦證者得所依循，同時作為該會處理相關案件之參考，按前揭薦證廣告之規範說明第5點規定，已明訂薦證者以網路部落客推文或論壇發言等方式進行廣告時之利益關係揭露義務，惟查實務上亦有網紅或素人錄製影片於影音平臺推薦、於各類商品銷售平臺或事業網頁之消費者留言區發表使用心得，或知名公眾人物或專家於節目分享使用心得等薦證廣告方式，相關規範說明卻僅規定於社群網站推文及論壇發言始有揭露義務，其涵蓋範圍與實務薦證廣告託播方式未臻契合，管理規範對象之涵蓋層面容有精進之處。經函請公平交易委員會檢討網路不實廣告查察之改善措施，並研謀改善薦證廣告規範說明之利益關係揭露義務規定，研議增列相關範例，及依薦證廣告不同型式訂定明確可行之具體揭露方式，以保障民眾消費權益。據復：112年度預計辦理數位匯流新時代之不實廣告及不動產查察計畫，除提高立案調查件數外，針對去函促請注意案件，將要求委外廠商每月持續追蹤廣告後續改正情形，倘無正當理由達3個月以上仍未予以改正，將予以立案調查；另公平交易委員會對於薦證廣告之規範說明第5點規定係屬例示規定，可彈性因應各類新興媒體及薦證廣告型態，日後將會密切觀察市場動態發展，並參考國外相關法制及執法經驗，適時於相關規範說明中訂定具體明確可行的廣告主與薦證者利益揭露方式。</w:t>
      </w:r>
    </w:p>
    <w:p w14:paraId="1F13724C" w14:textId="12F76F30" w:rsidR="004F5F76" w:rsidRPr="009D11AD" w:rsidRDefault="004F5F76" w:rsidP="00BC5E44">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（三十三）　政府透由報備制管理多層次傳銷事業已逾40年，惟近5年間傳銷事業查有缺失家數已逾整體6成，未報備之違法傳銷行為亦非少見，另傳銷保護機構自正式運作已屆7年，惟尚未充分發揮設立之功能，允宜研謀善策因應，俾利維護多層次傳銷市場之安定及發展</w:t>
      </w:r>
      <w:r w:rsidRPr="009D11AD">
        <w:rPr>
          <w:rFonts w:hAnsi="標楷體" w:hint="eastAsia"/>
          <w:b/>
          <w:color w:val="000000" w:themeColor="text1"/>
          <w:spacing w:val="-2"/>
          <w:sz w:val="28"/>
          <w:szCs w:val="28"/>
        </w:rPr>
        <w:t>。</w:t>
      </w:r>
    </w:p>
    <w:p w14:paraId="48148428" w14:textId="77777777" w:rsidR="004F5F76" w:rsidRPr="009D11AD" w:rsidRDefault="004F5F76" w:rsidP="00DA2751">
      <w:pPr>
        <w:kinsoku w:val="0"/>
        <w:overflowPunct w:val="0"/>
        <w:adjustRightInd w:val="0"/>
        <w:spacing w:line="420" w:lineRule="exact"/>
        <w:ind w:firstLineChars="200" w:firstLine="480"/>
        <w:jc w:val="both"/>
        <w:textAlignment w:val="baseline"/>
        <w:rPr>
          <w:rFonts w:ascii="標楷體" w:eastAsia="標楷體" w:hAnsi="標楷體"/>
          <w:color w:val="000000" w:themeColor="text1"/>
          <w:kern w:val="0"/>
          <w:szCs w:val="24"/>
        </w:rPr>
      </w:pPr>
      <w:r w:rsidRPr="009D11AD">
        <w:rPr>
          <w:rFonts w:ascii="標楷體" w:eastAsia="標楷體" w:hAnsi="標楷體" w:hint="eastAsia"/>
          <w:color w:val="000000" w:themeColor="text1"/>
          <w:kern w:val="0"/>
          <w:szCs w:val="24"/>
        </w:rPr>
        <w:t>公平交易委員會為保障經報備之多層次傳銷事業（下稱傳銷事業）及其傳銷商權益，依多層次傳銷管理法第38條第1項及第5項規定，於103年5月19日訂定發布多層次傳銷保護機構設立及管理辦法（下稱保護機構管理辦法），103年9月12日許可設立財團法人多層次傳銷保護基金會（下稱傳保會）辦理傳銷事業與傳銷商間之民事爭議調處等業務。經查公平交易委員會健全多層次傳銷市場發展、督導管理傳保會業務運作情形，核有下列事項：</w:t>
      </w:r>
    </w:p>
    <w:p w14:paraId="561ED55C" w14:textId="36420F3D" w:rsidR="004F5F76" w:rsidRPr="009D11AD" w:rsidRDefault="004F5F76" w:rsidP="00DA2751">
      <w:pPr>
        <w:kinsoku w:val="0"/>
        <w:overflowPunct w:val="0"/>
        <w:adjustRightInd w:val="0"/>
        <w:spacing w:line="430" w:lineRule="exact"/>
        <w:ind w:firstLineChars="450" w:firstLine="1081"/>
        <w:jc w:val="both"/>
        <w:textAlignment w:val="baseline"/>
        <w:rPr>
          <w:rFonts w:ascii="標楷體" w:eastAsia="標楷體" w:hAnsi="標楷體"/>
          <w:color w:val="000000" w:themeColor="text1"/>
          <w:kern w:val="0"/>
          <w:szCs w:val="24"/>
        </w:rPr>
      </w:pPr>
      <w:r w:rsidRPr="009D11AD">
        <w:rPr>
          <w:rFonts w:ascii="標楷體" w:eastAsia="標楷體" w:hAnsi="標楷體" w:hint="eastAsia"/>
          <w:b/>
          <w:color w:val="000000" w:themeColor="text1"/>
          <w:kern w:val="0"/>
          <w:szCs w:val="24"/>
        </w:rPr>
        <w:t>1.　近5年間派員檢查之傳銷事業中逾6成家數查有缺失情形，以未變更報備之違法傳銷行為為大宗，允宜研謀善策強化傳銷事業遵法情形，有效維護多層次傳銷市場之交易秩序：</w:t>
      </w:r>
      <w:r w:rsidRPr="009D11AD">
        <w:rPr>
          <w:rFonts w:ascii="標楷體" w:eastAsia="標楷體" w:hAnsi="標楷體" w:hint="eastAsia"/>
          <w:color w:val="000000" w:themeColor="text1"/>
          <w:kern w:val="0"/>
          <w:szCs w:val="24"/>
        </w:rPr>
        <w:t>依多層次傳銷管理法第6條第1項規定，傳銷事業於開始實施多層次傳銷行為前，應檢具載明基本資料、傳銷制度、傳銷商參加契約內容等法定事項之文件、資料，向公平交易委員會報</w:t>
      </w:r>
      <w:r w:rsidRPr="009D11AD">
        <w:rPr>
          <w:rFonts w:ascii="標楷體" w:eastAsia="標楷體" w:hAnsi="標楷體" w:hint="eastAsia"/>
          <w:color w:val="000000" w:themeColor="text1"/>
          <w:kern w:val="0"/>
          <w:szCs w:val="24"/>
        </w:rPr>
        <w:lastRenderedPageBreak/>
        <w:t>備。據該會111年7月發布調查結果，截至110年底止向該會報備並於110年間實施多層次傳銷之事業計347家，傳銷商計363萬餘人。經查該會近5年度（107</w:t>
      </w:r>
      <w:r w:rsidR="00164AFA">
        <w:rPr>
          <w:rFonts w:ascii="標楷體" w:eastAsia="標楷體" w:hAnsi="標楷體" w:hint="eastAsia"/>
          <w:color w:val="000000" w:themeColor="text1"/>
          <w:kern w:val="0"/>
          <w:szCs w:val="24"/>
        </w:rPr>
        <w:t>年度</w:t>
      </w:r>
      <w:r w:rsidRPr="009D11AD">
        <w:rPr>
          <w:rFonts w:ascii="標楷體" w:eastAsia="標楷體" w:hAnsi="標楷體" w:hint="eastAsia"/>
          <w:color w:val="000000" w:themeColor="text1"/>
          <w:kern w:val="0"/>
          <w:szCs w:val="24"/>
        </w:rPr>
        <w:t>至111年8月）派員檢查243家傳銷事業中，未符規定者共計149家，分別立案調查92家，及因缺失情節輕微去函警示57家，接受檢查之傳銷事業中逾6成家數查有缺失情形。復查，同期間該會作成有關非法多層次傳銷行為之處分書157件，處分原因以未依多層次傳銷管理法第7條規定變更報備居首，計102件；其次為違反同法第6條規定未於開始實施多層次傳銷行為前向公平交易委員會報備計28件，顯示近年未依規定變更報備內容及未報備之多層次傳銷行為，為違法行為之大宗，尚待強化傳銷事業遵法情形，方能有效透由報備制落實傳銷產業之監督管理。經函請公平交易委員會加強輔導業者積極履行法遵義務，以有效管理多層次傳銷產業。據復：將加強檢視報備案件及實施業務檢查以就傳銷事業經營行為進行查核及輔導，並致函傳保會及中華民國多層次傳銷商業同業公會等團體督促所屬會員，勿加入及推廣非法吸金組織，及加強所屬人員法令教育訓練，亦藉由電子報等方式傳達相關資訊，增進傳銷事業遵法自律避免觸法。</w:t>
      </w:r>
    </w:p>
    <w:p w14:paraId="77EC1AA9" w14:textId="67BD42F4" w:rsidR="004F5F76" w:rsidRPr="009D11AD" w:rsidRDefault="00844457" w:rsidP="00DA2751">
      <w:pPr>
        <w:kinsoku w:val="0"/>
        <w:overflowPunct w:val="0"/>
        <w:adjustRightInd w:val="0"/>
        <w:spacing w:line="440" w:lineRule="exact"/>
        <w:ind w:firstLineChars="450" w:firstLine="1080"/>
        <w:jc w:val="both"/>
        <w:textAlignment w:val="baseline"/>
        <w:rPr>
          <w:rFonts w:ascii="標楷體" w:eastAsia="標楷體" w:hAnsi="標楷體"/>
          <w:color w:val="000000" w:themeColor="text1"/>
          <w:kern w:val="0"/>
          <w:sz w:val="28"/>
          <w:szCs w:val="28"/>
        </w:rPr>
      </w:pPr>
      <w:r w:rsidRPr="009D11AD">
        <w:rPr>
          <w:rFonts w:ascii="標楷體" w:eastAsia="標楷體" w:hAnsi="標楷體"/>
          <w:noProof/>
          <w:szCs w:val="24"/>
        </w:rPr>
        <mc:AlternateContent>
          <mc:Choice Requires="wps">
            <w:drawing>
              <wp:anchor distT="28575" distB="28575" distL="100965" distR="100965" simplePos="0" relativeHeight="251667968" behindDoc="0" locked="0" layoutInCell="1" allowOverlap="1" wp14:anchorId="37C7C958" wp14:editId="753ABCF8">
                <wp:simplePos x="0" y="0"/>
                <wp:positionH relativeFrom="margin">
                  <wp:posOffset>3719195</wp:posOffset>
                </wp:positionH>
                <wp:positionV relativeFrom="margin">
                  <wp:posOffset>4027170</wp:posOffset>
                </wp:positionV>
                <wp:extent cx="2577465" cy="3818255"/>
                <wp:effectExtent l="0" t="0" r="0" b="0"/>
                <wp:wrapSquare wrapText="bothSides"/>
                <wp:docPr id="458" name="文字方塊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7465" cy="3818255"/>
                        </a:xfrm>
                        <a:prstGeom prst="rect">
                          <a:avLst/>
                        </a:prstGeom>
                        <a:solidFill>
                          <a:srgbClr val="FFFFFF"/>
                        </a:solidFill>
                        <a:ln w="9525">
                          <a:noFill/>
                          <a:miter lim="800000"/>
                          <a:headEnd/>
                          <a:tailEnd/>
                        </a:ln>
                      </wps:spPr>
                      <wps:txbx>
                        <w:txbxContent>
                          <w:tbl>
                            <w:tblPr>
                              <w:tblStyle w:val="2121"/>
                              <w:tblW w:w="4022" w:type="dxa"/>
                              <w:jc w:val="center"/>
                              <w:tblLook w:val="04A0" w:firstRow="1" w:lastRow="0" w:firstColumn="1" w:lastColumn="0" w:noHBand="0" w:noVBand="1"/>
                            </w:tblPr>
                            <w:tblGrid>
                              <w:gridCol w:w="511"/>
                              <w:gridCol w:w="3511"/>
                            </w:tblGrid>
                            <w:tr w:rsidR="00CE57F9" w14:paraId="7CD7E1E5" w14:textId="77777777" w:rsidTr="00493628">
                              <w:trPr>
                                <w:trHeight w:val="256"/>
                                <w:jc w:val="center"/>
                              </w:trPr>
                              <w:tc>
                                <w:tcPr>
                                  <w:tcW w:w="4022" w:type="dxa"/>
                                  <w:gridSpan w:val="2"/>
                                  <w:tcBorders>
                                    <w:top w:val="nil"/>
                                    <w:left w:val="nil"/>
                                    <w:right w:val="nil"/>
                                  </w:tcBorders>
                                  <w:vAlign w:val="center"/>
                                </w:tcPr>
                                <w:p w14:paraId="1F7407B6" w14:textId="7B9A8E4E" w:rsidR="00CE57F9" w:rsidRDefault="00CE57F9" w:rsidP="00493628">
                                  <w:pPr>
                                    <w:tabs>
                                      <w:tab w:val="left" w:pos="532"/>
                                      <w:tab w:val="left" w:pos="1158"/>
                                      <w:tab w:val="left" w:pos="1300"/>
                                    </w:tabs>
                                    <w:overflowPunct w:val="0"/>
                                    <w:spacing w:afterLines="10" w:after="36" w:line="260" w:lineRule="exact"/>
                                    <w:ind w:left="118" w:hangingChars="50" w:hanging="118"/>
                                    <w:jc w:val="center"/>
                                    <w:rPr>
                                      <w:rFonts w:ascii="標楷體" w:eastAsia="標楷體" w:hAnsi="標楷體"/>
                                      <w:b/>
                                      <w:spacing w:val="-2"/>
                                    </w:rPr>
                                  </w:pPr>
                                  <w:r w:rsidRPr="005D32D4">
                                    <w:rPr>
                                      <w:rFonts w:ascii="標楷體" w:eastAsia="標楷體" w:hAnsi="標楷體" w:hint="eastAsia"/>
                                      <w:b/>
                                      <w:spacing w:val="-2"/>
                                    </w:rPr>
                                    <w:t>表</w:t>
                                  </w:r>
                                  <w:r>
                                    <w:rPr>
                                      <w:rFonts w:ascii="標楷體" w:eastAsia="標楷體" w:hAnsi="標楷體"/>
                                      <w:b/>
                                      <w:spacing w:val="-2"/>
                                    </w:rPr>
                                    <w:t>24</w:t>
                                  </w:r>
                                  <w:r w:rsidRPr="005D32D4">
                                    <w:rPr>
                                      <w:rFonts w:ascii="標楷體" w:eastAsia="標楷體" w:hAnsi="標楷體" w:hint="eastAsia"/>
                                      <w:b/>
                                      <w:spacing w:val="-2"/>
                                    </w:rPr>
                                    <w:t xml:space="preserve">　</w:t>
                                  </w:r>
                                  <w:r>
                                    <w:rPr>
                                      <w:rFonts w:ascii="標楷體" w:eastAsia="標楷體" w:hAnsi="標楷體" w:hint="eastAsia"/>
                                      <w:b/>
                                      <w:spacing w:val="-2"/>
                                    </w:rPr>
                                    <w:t>財團法人多層次傳銷保護基</w:t>
                                  </w:r>
                                </w:p>
                                <w:p w14:paraId="41588AF6" w14:textId="77777777" w:rsidR="00CE57F9" w:rsidRPr="005D32D4" w:rsidRDefault="00CE57F9" w:rsidP="00137F40">
                                  <w:pPr>
                                    <w:tabs>
                                      <w:tab w:val="left" w:pos="532"/>
                                      <w:tab w:val="left" w:pos="1158"/>
                                      <w:tab w:val="left" w:pos="1300"/>
                                    </w:tabs>
                                    <w:overflowPunct w:val="0"/>
                                    <w:spacing w:afterLines="10" w:after="36" w:line="260" w:lineRule="exact"/>
                                    <w:ind w:leftChars="50" w:left="120" w:firstLineChars="330" w:firstLine="780"/>
                                    <w:rPr>
                                      <w:rFonts w:ascii="標楷體" w:eastAsia="標楷體" w:hAnsi="標楷體"/>
                                      <w:b/>
                                      <w:spacing w:val="-2"/>
                                    </w:rPr>
                                  </w:pPr>
                                  <w:r>
                                    <w:rPr>
                                      <w:rFonts w:ascii="標楷體" w:eastAsia="標楷體" w:hAnsi="標楷體" w:hint="eastAsia"/>
                                      <w:b/>
                                      <w:spacing w:val="-2"/>
                                    </w:rPr>
                                    <w:t>金</w:t>
                                  </w:r>
                                  <w:r w:rsidRPr="005D32D4">
                                    <w:rPr>
                                      <w:rFonts w:ascii="標楷體" w:eastAsia="標楷體" w:hAnsi="標楷體"/>
                                      <w:b/>
                                      <w:spacing w:val="-2"/>
                                    </w:rPr>
                                    <w:t>會之</w:t>
                                  </w:r>
                                  <w:r w:rsidRPr="005D32D4">
                                    <w:rPr>
                                      <w:rFonts w:ascii="標楷體" w:eastAsia="標楷體" w:hAnsi="標楷體" w:hint="eastAsia"/>
                                      <w:b/>
                                      <w:spacing w:val="-2"/>
                                    </w:rPr>
                                    <w:t>任務</w:t>
                                  </w:r>
                                </w:p>
                              </w:tc>
                            </w:tr>
                            <w:tr w:rsidR="00CE57F9" w14:paraId="695EF8E6" w14:textId="77777777" w:rsidTr="00493628">
                              <w:trPr>
                                <w:trHeight w:val="171"/>
                                <w:jc w:val="center"/>
                              </w:trPr>
                              <w:tc>
                                <w:tcPr>
                                  <w:tcW w:w="511" w:type="dxa"/>
                                  <w:vAlign w:val="center"/>
                                </w:tcPr>
                                <w:p w14:paraId="010208EE" w14:textId="77777777" w:rsidR="00CE57F9" w:rsidRPr="005E15F3" w:rsidRDefault="00CE57F9" w:rsidP="00493628">
                                  <w:pPr>
                                    <w:tabs>
                                      <w:tab w:val="left" w:pos="532"/>
                                    </w:tabs>
                                    <w:overflowPunct w:val="0"/>
                                    <w:spacing w:line="260" w:lineRule="exact"/>
                                    <w:ind w:leftChars="-817" w:left="-1961" w:rightChars="-25" w:right="-60" w:firstLineChars="1065" w:firstLine="1874"/>
                                    <w:jc w:val="center"/>
                                    <w:rPr>
                                      <w:rFonts w:ascii="標楷體" w:eastAsia="標楷體" w:hAnsi="標楷體"/>
                                      <w:spacing w:val="-12"/>
                                      <w:sz w:val="20"/>
                                    </w:rPr>
                                  </w:pPr>
                                  <w:r w:rsidRPr="005E15F3">
                                    <w:rPr>
                                      <w:rFonts w:ascii="標楷體" w:eastAsia="標楷體" w:hAnsi="標楷體" w:hint="eastAsia"/>
                                      <w:spacing w:val="-12"/>
                                      <w:sz w:val="20"/>
                                    </w:rPr>
                                    <w:t>項次</w:t>
                                  </w:r>
                                </w:p>
                              </w:tc>
                              <w:tc>
                                <w:tcPr>
                                  <w:tcW w:w="3511" w:type="dxa"/>
                                  <w:vAlign w:val="center"/>
                                </w:tcPr>
                                <w:p w14:paraId="461D33F4" w14:textId="77777777" w:rsidR="00CE57F9" w:rsidRPr="005E15F3" w:rsidRDefault="00CE57F9" w:rsidP="00493628">
                                  <w:pPr>
                                    <w:tabs>
                                      <w:tab w:val="left" w:pos="532"/>
                                    </w:tabs>
                                    <w:overflowPunct w:val="0"/>
                                    <w:spacing w:line="260" w:lineRule="exact"/>
                                    <w:jc w:val="center"/>
                                    <w:rPr>
                                      <w:rFonts w:ascii="標楷體" w:eastAsia="標楷體" w:hAnsi="標楷體"/>
                                      <w:spacing w:val="-4"/>
                                      <w:sz w:val="20"/>
                                    </w:rPr>
                                  </w:pPr>
                                  <w:r w:rsidRPr="005E15F3">
                                    <w:rPr>
                                      <w:rFonts w:ascii="標楷體" w:eastAsia="標楷體" w:hAnsi="標楷體" w:hint="eastAsia"/>
                                      <w:spacing w:val="-4"/>
                                      <w:sz w:val="20"/>
                                    </w:rPr>
                                    <w:t>內容</w:t>
                                  </w:r>
                                </w:p>
                              </w:tc>
                            </w:tr>
                            <w:tr w:rsidR="00CE57F9" w14:paraId="0CA9586D" w14:textId="77777777" w:rsidTr="00493628">
                              <w:trPr>
                                <w:trHeight w:val="513"/>
                                <w:jc w:val="center"/>
                              </w:trPr>
                              <w:tc>
                                <w:tcPr>
                                  <w:tcW w:w="511" w:type="dxa"/>
                                  <w:vAlign w:val="center"/>
                                </w:tcPr>
                                <w:p w14:paraId="7B7F6C03" w14:textId="77777777" w:rsidR="00CE57F9" w:rsidRPr="005E15F3" w:rsidRDefault="00CE57F9" w:rsidP="00493628">
                                  <w:pPr>
                                    <w:tabs>
                                      <w:tab w:val="left" w:pos="532"/>
                                    </w:tabs>
                                    <w:overflowPunct w:val="0"/>
                                    <w:spacing w:line="260" w:lineRule="exact"/>
                                    <w:jc w:val="center"/>
                                    <w:rPr>
                                      <w:rFonts w:ascii="標楷體" w:eastAsia="標楷體" w:hAnsi="標楷體"/>
                                      <w:sz w:val="20"/>
                                    </w:rPr>
                                  </w:pPr>
                                  <w:r w:rsidRPr="005E15F3">
                                    <w:rPr>
                                      <w:rFonts w:ascii="標楷體" w:eastAsia="標楷體" w:hAnsi="標楷體"/>
                                      <w:sz w:val="20"/>
                                    </w:rPr>
                                    <w:t>1</w:t>
                                  </w:r>
                                </w:p>
                              </w:tc>
                              <w:tc>
                                <w:tcPr>
                                  <w:tcW w:w="3511" w:type="dxa"/>
                                  <w:vAlign w:val="center"/>
                                </w:tcPr>
                                <w:p w14:paraId="625FB4D6" w14:textId="77777777" w:rsidR="00CE57F9" w:rsidRPr="005E15F3" w:rsidRDefault="00CE57F9" w:rsidP="001357D4">
                                  <w:pPr>
                                    <w:tabs>
                                      <w:tab w:val="left" w:pos="532"/>
                                    </w:tabs>
                                    <w:overflowPunct w:val="0"/>
                                    <w:spacing w:afterLines="10" w:after="36" w:line="260" w:lineRule="exact"/>
                                    <w:ind w:leftChars="-30" w:left="-64" w:rightChars="-23" w:right="-55" w:hangingChars="4" w:hanging="8"/>
                                    <w:jc w:val="both"/>
                                    <w:rPr>
                                      <w:rFonts w:ascii="標楷體" w:eastAsia="標楷體" w:hAnsi="標楷體"/>
                                      <w:spacing w:val="-4"/>
                                      <w:sz w:val="20"/>
                                    </w:rPr>
                                  </w:pPr>
                                  <w:r w:rsidRPr="005E15F3">
                                    <w:rPr>
                                      <w:rFonts w:ascii="標楷體" w:eastAsia="標楷體" w:hAnsi="標楷體" w:hint="eastAsia"/>
                                      <w:color w:val="222222"/>
                                      <w:sz w:val="20"/>
                                      <w:shd w:val="clear" w:color="auto" w:fill="FFFFFF"/>
                                    </w:rPr>
                                    <w:t>調處傳銷事業與傳銷商間之多層次傳銷民事爭議</w:t>
                                  </w:r>
                                </w:p>
                              </w:tc>
                            </w:tr>
                            <w:tr w:rsidR="00CE57F9" w14:paraId="74A4296F" w14:textId="77777777" w:rsidTr="00493628">
                              <w:trPr>
                                <w:trHeight w:val="724"/>
                                <w:jc w:val="center"/>
                              </w:trPr>
                              <w:tc>
                                <w:tcPr>
                                  <w:tcW w:w="511" w:type="dxa"/>
                                  <w:vAlign w:val="center"/>
                                </w:tcPr>
                                <w:p w14:paraId="57B2098A" w14:textId="77777777" w:rsidR="00CE57F9" w:rsidRPr="005E15F3" w:rsidRDefault="00CE57F9" w:rsidP="00493628">
                                  <w:pPr>
                                    <w:tabs>
                                      <w:tab w:val="left" w:pos="532"/>
                                    </w:tabs>
                                    <w:overflowPunct w:val="0"/>
                                    <w:spacing w:line="260" w:lineRule="exact"/>
                                    <w:jc w:val="center"/>
                                    <w:rPr>
                                      <w:rFonts w:ascii="標楷體" w:eastAsia="標楷體" w:hAnsi="標楷體"/>
                                      <w:sz w:val="20"/>
                                    </w:rPr>
                                  </w:pPr>
                                  <w:r w:rsidRPr="005E15F3">
                                    <w:rPr>
                                      <w:rFonts w:ascii="標楷體" w:eastAsia="標楷體" w:hAnsi="標楷體" w:hint="eastAsia"/>
                                      <w:sz w:val="20"/>
                                    </w:rPr>
                                    <w:t>2</w:t>
                                  </w:r>
                                </w:p>
                              </w:tc>
                              <w:tc>
                                <w:tcPr>
                                  <w:tcW w:w="3511" w:type="dxa"/>
                                  <w:vAlign w:val="center"/>
                                </w:tcPr>
                                <w:p w14:paraId="6424D8F5" w14:textId="77777777" w:rsidR="00CE57F9" w:rsidRPr="005E15F3" w:rsidRDefault="00CE57F9" w:rsidP="001357D4">
                                  <w:pPr>
                                    <w:tabs>
                                      <w:tab w:val="left" w:pos="532"/>
                                    </w:tabs>
                                    <w:overflowPunct w:val="0"/>
                                    <w:spacing w:afterLines="10" w:after="36" w:line="260" w:lineRule="exact"/>
                                    <w:ind w:leftChars="-30" w:left="-64" w:rightChars="-23" w:right="-55" w:hangingChars="4" w:hanging="8"/>
                                    <w:jc w:val="both"/>
                                    <w:rPr>
                                      <w:rFonts w:ascii="標楷體" w:eastAsia="標楷體" w:hAnsi="標楷體"/>
                                      <w:sz w:val="20"/>
                                    </w:rPr>
                                  </w:pPr>
                                  <w:r w:rsidRPr="005E15F3">
                                    <w:rPr>
                                      <w:rFonts w:ascii="標楷體" w:eastAsia="標楷體" w:hAnsi="標楷體" w:hint="eastAsia"/>
                                      <w:sz w:val="20"/>
                                    </w:rPr>
                                    <w:t>對於同一原因事件，致20位以上傳銷商受損害或請求賠償金額達100萬元以上者，協助傳銷商提起訴訟</w:t>
                                  </w:r>
                                </w:p>
                              </w:tc>
                            </w:tr>
                            <w:tr w:rsidR="00CE57F9" w14:paraId="49014FE5" w14:textId="77777777" w:rsidTr="00493628">
                              <w:trPr>
                                <w:trHeight w:val="529"/>
                                <w:jc w:val="center"/>
                              </w:trPr>
                              <w:tc>
                                <w:tcPr>
                                  <w:tcW w:w="511" w:type="dxa"/>
                                  <w:vAlign w:val="center"/>
                                </w:tcPr>
                                <w:p w14:paraId="58D67FE2" w14:textId="77777777" w:rsidR="00CE57F9" w:rsidRPr="005E15F3" w:rsidRDefault="00CE57F9" w:rsidP="00493628">
                                  <w:pPr>
                                    <w:tabs>
                                      <w:tab w:val="left" w:pos="532"/>
                                    </w:tabs>
                                    <w:overflowPunct w:val="0"/>
                                    <w:spacing w:line="260" w:lineRule="exact"/>
                                    <w:jc w:val="center"/>
                                    <w:rPr>
                                      <w:rFonts w:ascii="標楷體" w:eastAsia="標楷體" w:hAnsi="標楷體"/>
                                      <w:sz w:val="20"/>
                                    </w:rPr>
                                  </w:pPr>
                                  <w:r w:rsidRPr="005E15F3">
                                    <w:rPr>
                                      <w:rFonts w:ascii="標楷體" w:eastAsia="標楷體" w:hAnsi="標楷體" w:hint="eastAsia"/>
                                      <w:sz w:val="20"/>
                                    </w:rPr>
                                    <w:t>3</w:t>
                                  </w:r>
                                </w:p>
                              </w:tc>
                              <w:tc>
                                <w:tcPr>
                                  <w:tcW w:w="3511" w:type="dxa"/>
                                  <w:vAlign w:val="center"/>
                                </w:tcPr>
                                <w:p w14:paraId="37F4E4FB" w14:textId="77777777" w:rsidR="00CE57F9" w:rsidRPr="005E15F3" w:rsidRDefault="00CE57F9" w:rsidP="001357D4">
                                  <w:pPr>
                                    <w:tabs>
                                      <w:tab w:val="left" w:pos="532"/>
                                    </w:tabs>
                                    <w:overflowPunct w:val="0"/>
                                    <w:spacing w:afterLines="10" w:after="36" w:line="260" w:lineRule="exact"/>
                                    <w:ind w:leftChars="-30" w:left="-64" w:rightChars="-23" w:right="-55" w:hangingChars="4" w:hanging="8"/>
                                    <w:jc w:val="both"/>
                                    <w:rPr>
                                      <w:rFonts w:ascii="標楷體" w:eastAsia="標楷體" w:hAnsi="標楷體"/>
                                      <w:b/>
                                      <w:spacing w:val="-4"/>
                                      <w:sz w:val="20"/>
                                    </w:rPr>
                                  </w:pPr>
                                  <w:r w:rsidRPr="005E15F3">
                                    <w:rPr>
                                      <w:rFonts w:ascii="標楷體" w:eastAsia="標楷體" w:hAnsi="標楷體" w:hint="eastAsia"/>
                                      <w:color w:val="222222"/>
                                      <w:spacing w:val="-4"/>
                                      <w:sz w:val="20"/>
                                      <w:shd w:val="clear" w:color="auto" w:fill="FFFFFF"/>
                                    </w:rPr>
                                    <w:t>代償及追償傳銷事業因多層次傳銷民事爭議，而對於傳銷商所應負之損害賠償</w:t>
                                  </w:r>
                                </w:p>
                              </w:tc>
                            </w:tr>
                            <w:tr w:rsidR="00CE57F9" w14:paraId="3A22BFE6" w14:textId="77777777" w:rsidTr="00493628">
                              <w:trPr>
                                <w:trHeight w:val="501"/>
                                <w:jc w:val="center"/>
                              </w:trPr>
                              <w:tc>
                                <w:tcPr>
                                  <w:tcW w:w="511" w:type="dxa"/>
                                  <w:vAlign w:val="center"/>
                                </w:tcPr>
                                <w:p w14:paraId="5262CE72" w14:textId="77777777" w:rsidR="00CE57F9" w:rsidRPr="005E15F3" w:rsidRDefault="00CE57F9" w:rsidP="00493628">
                                  <w:pPr>
                                    <w:tabs>
                                      <w:tab w:val="left" w:pos="532"/>
                                    </w:tabs>
                                    <w:overflowPunct w:val="0"/>
                                    <w:spacing w:line="260" w:lineRule="exact"/>
                                    <w:jc w:val="center"/>
                                    <w:rPr>
                                      <w:rFonts w:ascii="標楷體" w:eastAsia="標楷體" w:hAnsi="標楷體"/>
                                      <w:sz w:val="20"/>
                                    </w:rPr>
                                  </w:pPr>
                                  <w:r w:rsidRPr="005E15F3">
                                    <w:rPr>
                                      <w:rFonts w:ascii="標楷體" w:eastAsia="標楷體" w:hAnsi="標楷體" w:hint="eastAsia"/>
                                      <w:sz w:val="20"/>
                                    </w:rPr>
                                    <w:t>4</w:t>
                                  </w:r>
                                </w:p>
                              </w:tc>
                              <w:tc>
                                <w:tcPr>
                                  <w:tcW w:w="3511" w:type="dxa"/>
                                  <w:vAlign w:val="center"/>
                                </w:tcPr>
                                <w:p w14:paraId="3396C57B" w14:textId="77777777" w:rsidR="00CE57F9" w:rsidRPr="005E15F3" w:rsidRDefault="00CE57F9" w:rsidP="001357D4">
                                  <w:pPr>
                                    <w:tabs>
                                      <w:tab w:val="left" w:pos="532"/>
                                    </w:tabs>
                                    <w:overflowPunct w:val="0"/>
                                    <w:spacing w:afterLines="10" w:after="36" w:line="260" w:lineRule="exact"/>
                                    <w:ind w:leftChars="-30" w:left="-64" w:rightChars="-23" w:right="-55" w:hangingChars="4" w:hanging="8"/>
                                    <w:jc w:val="both"/>
                                    <w:rPr>
                                      <w:rFonts w:ascii="標楷體" w:eastAsia="標楷體" w:hAnsi="標楷體"/>
                                      <w:sz w:val="20"/>
                                    </w:rPr>
                                  </w:pPr>
                                  <w:r w:rsidRPr="005E15F3">
                                    <w:rPr>
                                      <w:rFonts w:ascii="標楷體" w:eastAsia="標楷體" w:hAnsi="標楷體" w:hint="eastAsia"/>
                                      <w:color w:val="222222"/>
                                      <w:sz w:val="20"/>
                                      <w:shd w:val="clear" w:color="auto" w:fill="FFFFFF"/>
                                    </w:rPr>
                                    <w:t>管理及運用傳銷事業及傳銷商提繳之保護基金、年費及其孳息</w:t>
                                  </w:r>
                                </w:p>
                              </w:tc>
                            </w:tr>
                            <w:tr w:rsidR="00CE57F9" w14:paraId="5C4B05DF" w14:textId="77777777" w:rsidTr="00493628">
                              <w:trPr>
                                <w:trHeight w:val="516"/>
                                <w:jc w:val="center"/>
                              </w:trPr>
                              <w:tc>
                                <w:tcPr>
                                  <w:tcW w:w="511" w:type="dxa"/>
                                  <w:vAlign w:val="center"/>
                                </w:tcPr>
                                <w:p w14:paraId="6228A794" w14:textId="77777777" w:rsidR="00CE57F9" w:rsidRPr="005E15F3" w:rsidRDefault="00CE57F9" w:rsidP="00493628">
                                  <w:pPr>
                                    <w:tabs>
                                      <w:tab w:val="left" w:pos="532"/>
                                    </w:tabs>
                                    <w:overflowPunct w:val="0"/>
                                    <w:spacing w:line="260" w:lineRule="exact"/>
                                    <w:jc w:val="center"/>
                                    <w:rPr>
                                      <w:rFonts w:ascii="標楷體" w:eastAsia="標楷體" w:hAnsi="標楷體"/>
                                      <w:sz w:val="20"/>
                                    </w:rPr>
                                  </w:pPr>
                                  <w:r w:rsidRPr="005E15F3">
                                    <w:rPr>
                                      <w:rFonts w:ascii="標楷體" w:eastAsia="標楷體" w:hAnsi="標楷體" w:hint="eastAsia"/>
                                      <w:sz w:val="20"/>
                                    </w:rPr>
                                    <w:t>5</w:t>
                                  </w:r>
                                </w:p>
                              </w:tc>
                              <w:tc>
                                <w:tcPr>
                                  <w:tcW w:w="3511" w:type="dxa"/>
                                  <w:vAlign w:val="center"/>
                                </w:tcPr>
                                <w:p w14:paraId="4CB1CE7A" w14:textId="77777777" w:rsidR="00CE57F9" w:rsidRPr="005E15F3" w:rsidRDefault="00CE57F9" w:rsidP="001357D4">
                                  <w:pPr>
                                    <w:tabs>
                                      <w:tab w:val="left" w:pos="532"/>
                                    </w:tabs>
                                    <w:overflowPunct w:val="0"/>
                                    <w:spacing w:afterLines="10" w:after="36" w:line="260" w:lineRule="exact"/>
                                    <w:ind w:leftChars="-30" w:left="-64" w:rightChars="-23" w:right="-55" w:hangingChars="4" w:hanging="8"/>
                                    <w:jc w:val="both"/>
                                    <w:rPr>
                                      <w:rFonts w:ascii="標楷體" w:eastAsia="標楷體" w:hAnsi="標楷體"/>
                                      <w:sz w:val="20"/>
                                    </w:rPr>
                                  </w:pPr>
                                  <w:r w:rsidRPr="005E15F3">
                                    <w:rPr>
                                      <w:rFonts w:ascii="標楷體" w:eastAsia="標楷體" w:hAnsi="標楷體" w:hint="eastAsia"/>
                                      <w:sz w:val="20"/>
                                    </w:rPr>
                                    <w:t>協助傳銷事業及傳銷商增進對多層次傳銷法令之專業知能</w:t>
                                  </w:r>
                                </w:p>
                              </w:tc>
                            </w:tr>
                            <w:tr w:rsidR="00CE57F9" w14:paraId="06DC7183" w14:textId="77777777" w:rsidTr="00493628">
                              <w:trPr>
                                <w:trHeight w:val="270"/>
                                <w:jc w:val="center"/>
                              </w:trPr>
                              <w:tc>
                                <w:tcPr>
                                  <w:tcW w:w="511" w:type="dxa"/>
                                  <w:vAlign w:val="center"/>
                                </w:tcPr>
                                <w:p w14:paraId="452D16E6" w14:textId="77777777" w:rsidR="00CE57F9" w:rsidRPr="005E15F3" w:rsidRDefault="00CE57F9" w:rsidP="00493628">
                                  <w:pPr>
                                    <w:tabs>
                                      <w:tab w:val="left" w:pos="532"/>
                                    </w:tabs>
                                    <w:overflowPunct w:val="0"/>
                                    <w:spacing w:line="260" w:lineRule="exact"/>
                                    <w:jc w:val="center"/>
                                    <w:rPr>
                                      <w:rFonts w:ascii="標楷體" w:eastAsia="標楷體" w:hAnsi="標楷體"/>
                                      <w:sz w:val="20"/>
                                    </w:rPr>
                                  </w:pPr>
                                  <w:r w:rsidRPr="005E15F3">
                                    <w:rPr>
                                      <w:rFonts w:ascii="標楷體" w:eastAsia="標楷體" w:hAnsi="標楷體" w:hint="eastAsia"/>
                                      <w:sz w:val="20"/>
                                    </w:rPr>
                                    <w:t>6</w:t>
                                  </w:r>
                                </w:p>
                              </w:tc>
                              <w:tc>
                                <w:tcPr>
                                  <w:tcW w:w="3511" w:type="dxa"/>
                                  <w:vAlign w:val="center"/>
                                </w:tcPr>
                                <w:p w14:paraId="6DD45C0E" w14:textId="77777777" w:rsidR="00CE57F9" w:rsidRPr="005E15F3" w:rsidRDefault="00CE57F9" w:rsidP="001357D4">
                                  <w:pPr>
                                    <w:tabs>
                                      <w:tab w:val="left" w:pos="532"/>
                                    </w:tabs>
                                    <w:overflowPunct w:val="0"/>
                                    <w:spacing w:afterLines="10" w:after="36" w:line="260" w:lineRule="exact"/>
                                    <w:ind w:leftChars="-30" w:left="-64" w:rightChars="-23" w:right="-55" w:hangingChars="4" w:hanging="8"/>
                                    <w:jc w:val="both"/>
                                    <w:rPr>
                                      <w:rFonts w:ascii="標楷體" w:eastAsia="標楷體" w:hAnsi="標楷體"/>
                                      <w:sz w:val="20"/>
                                    </w:rPr>
                                  </w:pPr>
                                  <w:r w:rsidRPr="005E15F3">
                                    <w:rPr>
                                      <w:rFonts w:ascii="標楷體" w:eastAsia="標楷體" w:hAnsi="標楷體" w:hint="eastAsia"/>
                                      <w:color w:val="222222"/>
                                      <w:sz w:val="20"/>
                                      <w:shd w:val="clear" w:color="auto" w:fill="FFFFFF"/>
                                    </w:rPr>
                                    <w:t>協助辦理教育訓練活動</w:t>
                                  </w:r>
                                </w:p>
                              </w:tc>
                            </w:tr>
                            <w:tr w:rsidR="00CE57F9" w14:paraId="1C2F5A69" w14:textId="77777777" w:rsidTr="00493628">
                              <w:trPr>
                                <w:trHeight w:val="278"/>
                                <w:jc w:val="center"/>
                              </w:trPr>
                              <w:tc>
                                <w:tcPr>
                                  <w:tcW w:w="511" w:type="dxa"/>
                                  <w:vAlign w:val="center"/>
                                </w:tcPr>
                                <w:p w14:paraId="51FB5BC5" w14:textId="77777777" w:rsidR="00CE57F9" w:rsidRPr="005E15F3" w:rsidRDefault="00CE57F9" w:rsidP="00493628">
                                  <w:pPr>
                                    <w:tabs>
                                      <w:tab w:val="left" w:pos="532"/>
                                    </w:tabs>
                                    <w:overflowPunct w:val="0"/>
                                    <w:spacing w:line="260" w:lineRule="exact"/>
                                    <w:jc w:val="center"/>
                                    <w:rPr>
                                      <w:rFonts w:ascii="標楷體" w:eastAsia="標楷體" w:hAnsi="標楷體"/>
                                      <w:sz w:val="20"/>
                                    </w:rPr>
                                  </w:pPr>
                                  <w:r w:rsidRPr="005E15F3">
                                    <w:rPr>
                                      <w:rFonts w:ascii="標楷體" w:eastAsia="標楷體" w:hAnsi="標楷體" w:hint="eastAsia"/>
                                      <w:sz w:val="20"/>
                                    </w:rPr>
                                    <w:t>7</w:t>
                                  </w:r>
                                </w:p>
                              </w:tc>
                              <w:tc>
                                <w:tcPr>
                                  <w:tcW w:w="3511" w:type="dxa"/>
                                  <w:vAlign w:val="center"/>
                                </w:tcPr>
                                <w:p w14:paraId="32FC82B6" w14:textId="77777777" w:rsidR="00CE57F9" w:rsidRPr="005E15F3" w:rsidRDefault="00CE57F9" w:rsidP="001357D4">
                                  <w:pPr>
                                    <w:tabs>
                                      <w:tab w:val="left" w:pos="532"/>
                                    </w:tabs>
                                    <w:overflowPunct w:val="0"/>
                                    <w:spacing w:afterLines="10" w:after="36" w:line="260" w:lineRule="exact"/>
                                    <w:ind w:leftChars="-30" w:left="-64" w:rightChars="-23" w:right="-55" w:hangingChars="4" w:hanging="8"/>
                                    <w:jc w:val="both"/>
                                    <w:rPr>
                                      <w:rFonts w:ascii="標楷體" w:eastAsia="標楷體" w:hAnsi="標楷體"/>
                                      <w:sz w:val="20"/>
                                    </w:rPr>
                                  </w:pPr>
                                  <w:r w:rsidRPr="005E15F3">
                                    <w:rPr>
                                      <w:rFonts w:ascii="標楷體" w:eastAsia="標楷體" w:hAnsi="標楷體" w:hint="eastAsia"/>
                                      <w:color w:val="222222"/>
                                      <w:sz w:val="20"/>
                                      <w:shd w:val="clear" w:color="auto" w:fill="FFFFFF"/>
                                    </w:rPr>
                                    <w:t>提供有關多層次傳銷法令之諮詢服務</w:t>
                                  </w:r>
                                </w:p>
                              </w:tc>
                            </w:tr>
                            <w:tr w:rsidR="00CE57F9" w14:paraId="161A469B" w14:textId="77777777" w:rsidTr="00493628">
                              <w:trPr>
                                <w:trHeight w:val="488"/>
                                <w:jc w:val="center"/>
                              </w:trPr>
                              <w:tc>
                                <w:tcPr>
                                  <w:tcW w:w="511" w:type="dxa"/>
                                  <w:tcBorders>
                                    <w:bottom w:val="single" w:sz="4" w:space="0" w:color="auto"/>
                                  </w:tcBorders>
                                  <w:vAlign w:val="center"/>
                                </w:tcPr>
                                <w:p w14:paraId="5FAC1CE6" w14:textId="77777777" w:rsidR="00CE57F9" w:rsidRPr="005E15F3" w:rsidRDefault="00CE57F9" w:rsidP="00493628">
                                  <w:pPr>
                                    <w:tabs>
                                      <w:tab w:val="left" w:pos="532"/>
                                    </w:tabs>
                                    <w:overflowPunct w:val="0"/>
                                    <w:spacing w:line="260" w:lineRule="exact"/>
                                    <w:jc w:val="center"/>
                                    <w:rPr>
                                      <w:rFonts w:ascii="標楷體" w:eastAsia="標楷體" w:hAnsi="標楷體"/>
                                      <w:sz w:val="20"/>
                                    </w:rPr>
                                  </w:pPr>
                                  <w:r w:rsidRPr="005E15F3">
                                    <w:rPr>
                                      <w:rFonts w:ascii="標楷體" w:eastAsia="標楷體" w:hAnsi="標楷體" w:hint="eastAsia"/>
                                      <w:sz w:val="20"/>
                                    </w:rPr>
                                    <w:t>8</w:t>
                                  </w:r>
                                </w:p>
                              </w:tc>
                              <w:tc>
                                <w:tcPr>
                                  <w:tcW w:w="3511" w:type="dxa"/>
                                  <w:tcBorders>
                                    <w:bottom w:val="single" w:sz="4" w:space="0" w:color="auto"/>
                                  </w:tcBorders>
                                  <w:vAlign w:val="center"/>
                                </w:tcPr>
                                <w:p w14:paraId="68DD8A94" w14:textId="77777777" w:rsidR="00CE57F9" w:rsidRPr="005E15F3" w:rsidRDefault="00CE57F9" w:rsidP="001357D4">
                                  <w:pPr>
                                    <w:tabs>
                                      <w:tab w:val="left" w:pos="532"/>
                                    </w:tabs>
                                    <w:overflowPunct w:val="0"/>
                                    <w:spacing w:afterLines="10" w:after="36" w:line="260" w:lineRule="exact"/>
                                    <w:ind w:leftChars="-30" w:left="-64" w:rightChars="-23" w:right="-55" w:hangingChars="4" w:hanging="8"/>
                                    <w:jc w:val="both"/>
                                    <w:rPr>
                                      <w:rFonts w:ascii="標楷體" w:eastAsia="標楷體" w:hAnsi="標楷體"/>
                                      <w:sz w:val="20"/>
                                    </w:rPr>
                                  </w:pPr>
                                  <w:r w:rsidRPr="005E15F3">
                                    <w:rPr>
                                      <w:rFonts w:ascii="標楷體" w:eastAsia="標楷體" w:hAnsi="標楷體" w:hint="eastAsia"/>
                                      <w:color w:val="222222"/>
                                      <w:sz w:val="20"/>
                                      <w:shd w:val="clear" w:color="auto" w:fill="FFFFFF"/>
                                    </w:rPr>
                                    <w:t>辦理輔導及評鑑傳銷事業與傳銷商間紛爭處理機制之相關事項</w:t>
                                  </w:r>
                                </w:p>
                              </w:tc>
                            </w:tr>
                            <w:tr w:rsidR="00CE57F9" w14:paraId="472DBA42" w14:textId="77777777" w:rsidTr="00493628">
                              <w:trPr>
                                <w:trHeight w:val="412"/>
                                <w:jc w:val="center"/>
                              </w:trPr>
                              <w:tc>
                                <w:tcPr>
                                  <w:tcW w:w="4022" w:type="dxa"/>
                                  <w:gridSpan w:val="2"/>
                                  <w:tcBorders>
                                    <w:left w:val="nil"/>
                                    <w:bottom w:val="nil"/>
                                    <w:right w:val="nil"/>
                                  </w:tcBorders>
                                  <w:vAlign w:val="center"/>
                                </w:tcPr>
                                <w:p w14:paraId="09135EEF" w14:textId="78CEC34B" w:rsidR="00CE57F9" w:rsidRPr="00322C47" w:rsidRDefault="00CE57F9" w:rsidP="00B322CC">
                                  <w:pPr>
                                    <w:widowControl/>
                                    <w:snapToGrid w:val="0"/>
                                    <w:spacing w:line="200" w:lineRule="exact"/>
                                    <w:ind w:leftChars="-9" w:left="891" w:hangingChars="507" w:hanging="913"/>
                                    <w:jc w:val="both"/>
                                    <w:rPr>
                                      <w:rFonts w:ascii="標楷體" w:eastAsia="標楷體" w:hAnsi="標楷體"/>
                                      <w:color w:val="222222"/>
                                      <w:shd w:val="clear" w:color="auto" w:fill="FFFFFF"/>
                                    </w:rPr>
                                  </w:pPr>
                                  <w:r>
                                    <w:rPr>
                                      <w:rFonts w:ascii="標楷體" w:eastAsia="標楷體" w:hAnsi="標楷體" w:hint="eastAsia"/>
                                      <w:sz w:val="18"/>
                                      <w:szCs w:val="18"/>
                                    </w:rPr>
                                    <w:t>資料來源：</w:t>
                                  </w:r>
                                  <w:r w:rsidRPr="00322C47">
                                    <w:rPr>
                                      <w:rFonts w:ascii="標楷體" w:eastAsia="標楷體" w:hAnsi="標楷體" w:hint="eastAsia"/>
                                      <w:sz w:val="18"/>
                                      <w:szCs w:val="18"/>
                                    </w:rPr>
                                    <w:t>整理自</w:t>
                                  </w:r>
                                  <w:r w:rsidRPr="00B322CC">
                                    <w:rPr>
                                      <w:rFonts w:ascii="標楷體" w:eastAsia="標楷體" w:hAnsi="標楷體" w:hint="eastAsia"/>
                                      <w:color w:val="000000"/>
                                      <w:sz w:val="18"/>
                                      <w:szCs w:val="18"/>
                                    </w:rPr>
                                    <w:t>108年10月31日</w:t>
                                  </w:r>
                                  <w:r>
                                    <w:rPr>
                                      <w:rFonts w:ascii="標楷體" w:eastAsia="標楷體" w:hAnsi="標楷體" w:hint="eastAsia"/>
                                      <w:sz w:val="18"/>
                                      <w:szCs w:val="18"/>
                                    </w:rPr>
                                    <w:t>修正發布</w:t>
                                  </w:r>
                                  <w:r>
                                    <w:rPr>
                                      <w:rFonts w:ascii="標楷體" w:eastAsia="標楷體" w:hAnsi="標楷體"/>
                                      <w:sz w:val="18"/>
                                      <w:szCs w:val="18"/>
                                    </w:rPr>
                                    <w:t>之</w:t>
                                  </w:r>
                                  <w:r w:rsidRPr="00322C47">
                                    <w:rPr>
                                      <w:rFonts w:ascii="標楷體" w:eastAsia="標楷體" w:hAnsi="標楷體" w:hint="eastAsia"/>
                                      <w:sz w:val="18"/>
                                      <w:szCs w:val="18"/>
                                    </w:rPr>
                                    <w:t>多層次傳銷保護機構設立及管理辦法第3條及第30條規定。</w:t>
                                  </w:r>
                                </w:p>
                              </w:tc>
                            </w:tr>
                          </w:tbl>
                          <w:p w14:paraId="404F6219" w14:textId="77777777" w:rsidR="00CE57F9" w:rsidRPr="008E5C41" w:rsidRDefault="00CE57F9" w:rsidP="00E8164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C7C958" id="文字方塊 458" o:spid="_x0000_s1142" type="#_x0000_t202" style="position:absolute;left:0;text-align:left;margin-left:292.85pt;margin-top:317.1pt;width:202.95pt;height:300.65pt;z-index:251667968;visibility:visible;mso-wrap-style:square;mso-width-percent:0;mso-height-percent:0;mso-wrap-distance-left:7.95pt;mso-wrap-distance-top:2.25pt;mso-wrap-distance-right:7.95pt;mso-wrap-distance-bottom:2.2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" stroked="f">
                <v:textbox>
                  <w:txbxContent>
                    <w:tbl>
                      <w:tblPr>
                        <w:tblStyle w:val="2121"/>
                        <w:tblW w:w="4022" w:type="dxa"/>
                        <w:jc w:val="center"/>
                        <w:tblLook w:val="04A0" w:firstRow="1" w:lastRow="0" w:firstColumn="1" w:lastColumn="0" w:noHBand="0" w:noVBand="1"/>
                      </w:tblPr>
                      <w:tblGrid>
                        <w:gridCol w:w="511"/>
                        <w:gridCol w:w="3511"/>
                      </w:tblGrid>
                      <w:tr w:rsidR="00CE57F9" w14:paraId="7CD7E1E5" w14:textId="77777777" w:rsidTr="00493628">
                        <w:trPr>
                          <w:trHeight w:val="256"/>
                          <w:jc w:val="center"/>
                        </w:trPr>
                        <w:tc>
                          <w:tcPr>
                            <w:tcW w:w="4022" w:type="dxa"/>
                            <w:gridSpan w:val="2"/>
                            <w:tcBorders>
                              <w:top w:val="nil"/>
                              <w:left w:val="nil"/>
                              <w:right w:val="nil"/>
                            </w:tcBorders>
                            <w:vAlign w:val="center"/>
                          </w:tcPr>
                          <w:p w14:paraId="1F7407B6" w14:textId="7B9A8E4E" w:rsidR="00CE57F9" w:rsidRDefault="00CE57F9" w:rsidP="00493628">
                            <w:pPr>
                              <w:tabs>
                                <w:tab w:val="left" w:pos="532"/>
                                <w:tab w:val="left" w:pos="1158"/>
                                <w:tab w:val="left" w:pos="1300"/>
                              </w:tabs>
                              <w:overflowPunct w:val="0"/>
                              <w:spacing w:afterLines="10" w:after="36" w:line="260" w:lineRule="exact"/>
                              <w:ind w:left="118" w:hangingChars="50" w:hanging="118"/>
                              <w:jc w:val="center"/>
                              <w:rPr>
                                <w:rFonts w:ascii="標楷體" w:eastAsia="標楷體" w:hAnsi="標楷體"/>
                                <w:b/>
                                <w:spacing w:val="-2"/>
                              </w:rPr>
                            </w:pPr>
                            <w:r w:rsidRPr="005D32D4">
                              <w:rPr>
                                <w:rFonts w:ascii="標楷體" w:eastAsia="標楷體" w:hAnsi="標楷體" w:hint="eastAsia"/>
                                <w:b/>
                                <w:spacing w:val="-2"/>
                              </w:rPr>
                              <w:t>表</w:t>
                            </w:r>
                            <w:r>
                              <w:rPr>
                                <w:rFonts w:ascii="標楷體" w:eastAsia="標楷體" w:hAnsi="標楷體"/>
                                <w:b/>
                                <w:spacing w:val="-2"/>
                              </w:rPr>
                              <w:t>24</w:t>
                            </w:r>
                            <w:r w:rsidRPr="005D32D4">
                              <w:rPr>
                                <w:rFonts w:ascii="標楷體" w:eastAsia="標楷體" w:hAnsi="標楷體" w:hint="eastAsia"/>
                                <w:b/>
                                <w:spacing w:val="-2"/>
                              </w:rPr>
                              <w:t xml:space="preserve">　</w:t>
                            </w:r>
                            <w:r>
                              <w:rPr>
                                <w:rFonts w:ascii="標楷體" w:eastAsia="標楷體" w:hAnsi="標楷體" w:hint="eastAsia"/>
                                <w:b/>
                                <w:spacing w:val="-2"/>
                              </w:rPr>
                              <w:t>財團法人多層次傳銷保護基</w:t>
                            </w:r>
                          </w:p>
                          <w:p w14:paraId="41588AF6" w14:textId="77777777" w:rsidR="00CE57F9" w:rsidRPr="005D32D4" w:rsidRDefault="00CE57F9" w:rsidP="00137F40">
                            <w:pPr>
                              <w:tabs>
                                <w:tab w:val="left" w:pos="532"/>
                                <w:tab w:val="left" w:pos="1158"/>
                                <w:tab w:val="left" w:pos="1300"/>
                              </w:tabs>
                              <w:overflowPunct w:val="0"/>
                              <w:spacing w:afterLines="10" w:after="36" w:line="260" w:lineRule="exact"/>
                              <w:ind w:leftChars="50" w:left="120" w:firstLineChars="330" w:firstLine="780"/>
                              <w:rPr>
                                <w:rFonts w:ascii="標楷體" w:eastAsia="標楷體" w:hAnsi="標楷體"/>
                                <w:b/>
                                <w:spacing w:val="-2"/>
                              </w:rPr>
                            </w:pPr>
                            <w:r>
                              <w:rPr>
                                <w:rFonts w:ascii="標楷體" w:eastAsia="標楷體" w:hAnsi="標楷體" w:hint="eastAsia"/>
                                <w:b/>
                                <w:spacing w:val="-2"/>
                              </w:rPr>
                              <w:t>金</w:t>
                            </w:r>
                            <w:r w:rsidRPr="005D32D4">
                              <w:rPr>
                                <w:rFonts w:ascii="標楷體" w:eastAsia="標楷體" w:hAnsi="標楷體"/>
                                <w:b/>
                                <w:spacing w:val="-2"/>
                              </w:rPr>
                              <w:t>會之</w:t>
                            </w:r>
                            <w:r w:rsidRPr="005D32D4">
                              <w:rPr>
                                <w:rFonts w:ascii="標楷體" w:eastAsia="標楷體" w:hAnsi="標楷體" w:hint="eastAsia"/>
                                <w:b/>
                                <w:spacing w:val="-2"/>
                              </w:rPr>
                              <w:t>任務</w:t>
                            </w:r>
                          </w:p>
                        </w:tc>
                      </w:tr>
                      <w:tr w:rsidR="00CE57F9" w14:paraId="695EF8E6" w14:textId="77777777" w:rsidTr="00493628">
                        <w:trPr>
                          <w:trHeight w:val="171"/>
                          <w:jc w:val="center"/>
                        </w:trPr>
                        <w:tc>
                          <w:tcPr>
                            <w:tcW w:w="511" w:type="dxa"/>
                            <w:vAlign w:val="center"/>
                          </w:tcPr>
                          <w:p w14:paraId="010208EE" w14:textId="77777777" w:rsidR="00CE57F9" w:rsidRPr="005E15F3" w:rsidRDefault="00CE57F9" w:rsidP="00493628">
                            <w:pPr>
                              <w:tabs>
                                <w:tab w:val="left" w:pos="532"/>
                              </w:tabs>
                              <w:overflowPunct w:val="0"/>
                              <w:spacing w:line="260" w:lineRule="exact"/>
                              <w:ind w:leftChars="-817" w:left="-1961" w:rightChars="-25" w:right="-60" w:firstLineChars="1065" w:firstLine="1874"/>
                              <w:jc w:val="center"/>
                              <w:rPr>
                                <w:rFonts w:ascii="標楷體" w:eastAsia="標楷體" w:hAnsi="標楷體"/>
                                <w:spacing w:val="-12"/>
                                <w:sz w:val="20"/>
                              </w:rPr>
                            </w:pPr>
                            <w:r w:rsidRPr="005E15F3">
                              <w:rPr>
                                <w:rFonts w:ascii="標楷體" w:eastAsia="標楷體" w:hAnsi="標楷體" w:hint="eastAsia"/>
                                <w:spacing w:val="-12"/>
                                <w:sz w:val="20"/>
                              </w:rPr>
                              <w:t>項次</w:t>
                            </w:r>
                          </w:p>
                        </w:tc>
                        <w:tc>
                          <w:tcPr>
                            <w:tcW w:w="3511" w:type="dxa"/>
                            <w:vAlign w:val="center"/>
                          </w:tcPr>
                          <w:p w14:paraId="461D33F4" w14:textId="77777777" w:rsidR="00CE57F9" w:rsidRPr="005E15F3" w:rsidRDefault="00CE57F9" w:rsidP="00493628">
                            <w:pPr>
                              <w:tabs>
                                <w:tab w:val="left" w:pos="532"/>
                              </w:tabs>
                              <w:overflowPunct w:val="0"/>
                              <w:spacing w:line="260" w:lineRule="exact"/>
                              <w:jc w:val="center"/>
                              <w:rPr>
                                <w:rFonts w:ascii="標楷體" w:eastAsia="標楷體" w:hAnsi="標楷體"/>
                                <w:spacing w:val="-4"/>
                                <w:sz w:val="20"/>
                              </w:rPr>
                            </w:pPr>
                            <w:r w:rsidRPr="005E15F3">
                              <w:rPr>
                                <w:rFonts w:ascii="標楷體" w:eastAsia="標楷體" w:hAnsi="標楷體" w:hint="eastAsia"/>
                                <w:spacing w:val="-4"/>
                                <w:sz w:val="20"/>
                              </w:rPr>
                              <w:t>內容</w:t>
                            </w:r>
                          </w:p>
                        </w:tc>
                      </w:tr>
                      <w:tr w:rsidR="00CE57F9" w14:paraId="0CA9586D" w14:textId="77777777" w:rsidTr="00493628">
                        <w:trPr>
                          <w:trHeight w:val="513"/>
                          <w:jc w:val="center"/>
                        </w:trPr>
                        <w:tc>
                          <w:tcPr>
                            <w:tcW w:w="511" w:type="dxa"/>
                            <w:vAlign w:val="center"/>
                          </w:tcPr>
                          <w:p w14:paraId="7B7F6C03" w14:textId="77777777" w:rsidR="00CE57F9" w:rsidRPr="005E15F3" w:rsidRDefault="00CE57F9" w:rsidP="00493628">
                            <w:pPr>
                              <w:tabs>
                                <w:tab w:val="left" w:pos="532"/>
                              </w:tabs>
                              <w:overflowPunct w:val="0"/>
                              <w:spacing w:line="260" w:lineRule="exact"/>
                              <w:jc w:val="center"/>
                              <w:rPr>
                                <w:rFonts w:ascii="標楷體" w:eastAsia="標楷體" w:hAnsi="標楷體"/>
                                <w:sz w:val="20"/>
                              </w:rPr>
                            </w:pPr>
                            <w:r w:rsidRPr="005E15F3">
                              <w:rPr>
                                <w:rFonts w:ascii="標楷體" w:eastAsia="標楷體" w:hAnsi="標楷體"/>
                                <w:sz w:val="20"/>
                              </w:rPr>
                              <w:t>1</w:t>
                            </w:r>
                          </w:p>
                        </w:tc>
                        <w:tc>
                          <w:tcPr>
                            <w:tcW w:w="3511" w:type="dxa"/>
                            <w:vAlign w:val="center"/>
                          </w:tcPr>
                          <w:p w14:paraId="625FB4D6" w14:textId="77777777" w:rsidR="00CE57F9" w:rsidRPr="005E15F3" w:rsidRDefault="00CE57F9" w:rsidP="001357D4">
                            <w:pPr>
                              <w:tabs>
                                <w:tab w:val="left" w:pos="532"/>
                              </w:tabs>
                              <w:overflowPunct w:val="0"/>
                              <w:spacing w:afterLines="10" w:after="36" w:line="260" w:lineRule="exact"/>
                              <w:ind w:leftChars="-30" w:left="-64" w:rightChars="-23" w:right="-55" w:hangingChars="4" w:hanging="8"/>
                              <w:jc w:val="both"/>
                              <w:rPr>
                                <w:rFonts w:ascii="標楷體" w:eastAsia="標楷體" w:hAnsi="標楷體"/>
                                <w:spacing w:val="-4"/>
                                <w:sz w:val="20"/>
                              </w:rPr>
                            </w:pPr>
                            <w:r w:rsidRPr="005E15F3">
                              <w:rPr>
                                <w:rFonts w:ascii="標楷體" w:eastAsia="標楷體" w:hAnsi="標楷體" w:hint="eastAsia"/>
                                <w:color w:val="222222"/>
                                <w:sz w:val="20"/>
                                <w:shd w:val="clear" w:color="auto" w:fill="FFFFFF"/>
                              </w:rPr>
                              <w:t>調處傳銷事業與傳銷商間之多層次傳銷民事爭議</w:t>
                            </w:r>
                          </w:p>
                        </w:tc>
                      </w:tr>
                      <w:tr w:rsidR="00CE57F9" w14:paraId="74A4296F" w14:textId="77777777" w:rsidTr="00493628">
                        <w:trPr>
                          <w:trHeight w:val="724"/>
                          <w:jc w:val="center"/>
                        </w:trPr>
                        <w:tc>
                          <w:tcPr>
                            <w:tcW w:w="511" w:type="dxa"/>
                            <w:vAlign w:val="center"/>
                          </w:tcPr>
                          <w:p w14:paraId="57B2098A" w14:textId="77777777" w:rsidR="00CE57F9" w:rsidRPr="005E15F3" w:rsidRDefault="00CE57F9" w:rsidP="00493628">
                            <w:pPr>
                              <w:tabs>
                                <w:tab w:val="left" w:pos="532"/>
                              </w:tabs>
                              <w:overflowPunct w:val="0"/>
                              <w:spacing w:line="260" w:lineRule="exact"/>
                              <w:jc w:val="center"/>
                              <w:rPr>
                                <w:rFonts w:ascii="標楷體" w:eastAsia="標楷體" w:hAnsi="標楷體"/>
                                <w:sz w:val="20"/>
                              </w:rPr>
                            </w:pPr>
                            <w:r w:rsidRPr="005E15F3">
                              <w:rPr>
                                <w:rFonts w:ascii="標楷體" w:eastAsia="標楷體" w:hAnsi="標楷體" w:hint="eastAsia"/>
                                <w:sz w:val="20"/>
                              </w:rPr>
                              <w:t>2</w:t>
                            </w:r>
                          </w:p>
                        </w:tc>
                        <w:tc>
                          <w:tcPr>
                            <w:tcW w:w="3511" w:type="dxa"/>
                            <w:vAlign w:val="center"/>
                          </w:tcPr>
                          <w:p w14:paraId="6424D8F5" w14:textId="77777777" w:rsidR="00CE57F9" w:rsidRPr="005E15F3" w:rsidRDefault="00CE57F9" w:rsidP="001357D4">
                            <w:pPr>
                              <w:tabs>
                                <w:tab w:val="left" w:pos="532"/>
                              </w:tabs>
                              <w:overflowPunct w:val="0"/>
                              <w:spacing w:afterLines="10" w:after="36" w:line="260" w:lineRule="exact"/>
                              <w:ind w:leftChars="-30" w:left="-64" w:rightChars="-23" w:right="-55" w:hangingChars="4" w:hanging="8"/>
                              <w:jc w:val="both"/>
                              <w:rPr>
                                <w:rFonts w:ascii="標楷體" w:eastAsia="標楷體" w:hAnsi="標楷體"/>
                                <w:sz w:val="20"/>
                              </w:rPr>
                            </w:pPr>
                            <w:r w:rsidRPr="005E15F3">
                              <w:rPr>
                                <w:rFonts w:ascii="標楷體" w:eastAsia="標楷體" w:hAnsi="標楷體" w:hint="eastAsia"/>
                                <w:sz w:val="20"/>
                              </w:rPr>
                              <w:t>對於同一原因事件，致20位以上傳銷商受損害或請求賠償金額達100萬元以上者，協助傳銷商提起訴訟</w:t>
                            </w:r>
                          </w:p>
                        </w:tc>
                      </w:tr>
                      <w:tr w:rsidR="00CE57F9" w14:paraId="49014FE5" w14:textId="77777777" w:rsidTr="00493628">
                        <w:trPr>
                          <w:trHeight w:val="529"/>
                          <w:jc w:val="center"/>
                        </w:trPr>
                        <w:tc>
                          <w:tcPr>
                            <w:tcW w:w="511" w:type="dxa"/>
                            <w:vAlign w:val="center"/>
                          </w:tcPr>
                          <w:p w14:paraId="58D67FE2" w14:textId="77777777" w:rsidR="00CE57F9" w:rsidRPr="005E15F3" w:rsidRDefault="00CE57F9" w:rsidP="00493628">
                            <w:pPr>
                              <w:tabs>
                                <w:tab w:val="left" w:pos="532"/>
                              </w:tabs>
                              <w:overflowPunct w:val="0"/>
                              <w:spacing w:line="260" w:lineRule="exact"/>
                              <w:jc w:val="center"/>
                              <w:rPr>
                                <w:rFonts w:ascii="標楷體" w:eastAsia="標楷體" w:hAnsi="標楷體"/>
                                <w:sz w:val="20"/>
                              </w:rPr>
                            </w:pPr>
                            <w:r w:rsidRPr="005E15F3">
                              <w:rPr>
                                <w:rFonts w:ascii="標楷體" w:eastAsia="標楷體" w:hAnsi="標楷體" w:hint="eastAsia"/>
                                <w:sz w:val="20"/>
                              </w:rPr>
                              <w:t>3</w:t>
                            </w:r>
                          </w:p>
                        </w:tc>
                        <w:tc>
                          <w:tcPr>
                            <w:tcW w:w="3511" w:type="dxa"/>
                            <w:vAlign w:val="center"/>
                          </w:tcPr>
                          <w:p w14:paraId="37F4E4FB" w14:textId="77777777" w:rsidR="00CE57F9" w:rsidRPr="005E15F3" w:rsidRDefault="00CE57F9" w:rsidP="001357D4">
                            <w:pPr>
                              <w:tabs>
                                <w:tab w:val="left" w:pos="532"/>
                              </w:tabs>
                              <w:overflowPunct w:val="0"/>
                              <w:spacing w:afterLines="10" w:after="36" w:line="260" w:lineRule="exact"/>
                              <w:ind w:leftChars="-30" w:left="-64" w:rightChars="-23" w:right="-55" w:hangingChars="4" w:hanging="8"/>
                              <w:jc w:val="both"/>
                              <w:rPr>
                                <w:rFonts w:ascii="標楷體" w:eastAsia="標楷體" w:hAnsi="標楷體"/>
                                <w:b/>
                                <w:spacing w:val="-4"/>
                                <w:sz w:val="20"/>
                              </w:rPr>
                            </w:pPr>
                            <w:r w:rsidRPr="005E15F3">
                              <w:rPr>
                                <w:rFonts w:ascii="標楷體" w:eastAsia="標楷體" w:hAnsi="標楷體" w:hint="eastAsia"/>
                                <w:color w:val="222222"/>
                                <w:spacing w:val="-4"/>
                                <w:sz w:val="20"/>
                                <w:shd w:val="clear" w:color="auto" w:fill="FFFFFF"/>
                              </w:rPr>
                              <w:t>代償及追償傳銷事業因多層次傳銷民事爭議，而對於傳銷商所應負之損害賠償</w:t>
                            </w:r>
                          </w:p>
                        </w:tc>
                      </w:tr>
                      <w:tr w:rsidR="00CE57F9" w14:paraId="3A22BFE6" w14:textId="77777777" w:rsidTr="00493628">
                        <w:trPr>
                          <w:trHeight w:val="501"/>
                          <w:jc w:val="center"/>
                        </w:trPr>
                        <w:tc>
                          <w:tcPr>
                            <w:tcW w:w="511" w:type="dxa"/>
                            <w:vAlign w:val="center"/>
                          </w:tcPr>
                          <w:p w14:paraId="5262CE72" w14:textId="77777777" w:rsidR="00CE57F9" w:rsidRPr="005E15F3" w:rsidRDefault="00CE57F9" w:rsidP="00493628">
                            <w:pPr>
                              <w:tabs>
                                <w:tab w:val="left" w:pos="532"/>
                              </w:tabs>
                              <w:overflowPunct w:val="0"/>
                              <w:spacing w:line="260" w:lineRule="exact"/>
                              <w:jc w:val="center"/>
                              <w:rPr>
                                <w:rFonts w:ascii="標楷體" w:eastAsia="標楷體" w:hAnsi="標楷體"/>
                                <w:sz w:val="20"/>
                              </w:rPr>
                            </w:pPr>
                            <w:r w:rsidRPr="005E15F3">
                              <w:rPr>
                                <w:rFonts w:ascii="標楷體" w:eastAsia="標楷體" w:hAnsi="標楷體" w:hint="eastAsia"/>
                                <w:sz w:val="20"/>
                              </w:rPr>
                              <w:t>4</w:t>
                            </w:r>
                          </w:p>
                        </w:tc>
                        <w:tc>
                          <w:tcPr>
                            <w:tcW w:w="3511" w:type="dxa"/>
                            <w:vAlign w:val="center"/>
                          </w:tcPr>
                          <w:p w14:paraId="3396C57B" w14:textId="77777777" w:rsidR="00CE57F9" w:rsidRPr="005E15F3" w:rsidRDefault="00CE57F9" w:rsidP="001357D4">
                            <w:pPr>
                              <w:tabs>
                                <w:tab w:val="left" w:pos="532"/>
                              </w:tabs>
                              <w:overflowPunct w:val="0"/>
                              <w:spacing w:afterLines="10" w:after="36" w:line="260" w:lineRule="exact"/>
                              <w:ind w:leftChars="-30" w:left="-64" w:rightChars="-23" w:right="-55" w:hangingChars="4" w:hanging="8"/>
                              <w:jc w:val="both"/>
                              <w:rPr>
                                <w:rFonts w:ascii="標楷體" w:eastAsia="標楷體" w:hAnsi="標楷體"/>
                                <w:sz w:val="20"/>
                              </w:rPr>
                            </w:pPr>
                            <w:r w:rsidRPr="005E15F3">
                              <w:rPr>
                                <w:rFonts w:ascii="標楷體" w:eastAsia="標楷體" w:hAnsi="標楷體" w:hint="eastAsia"/>
                                <w:color w:val="222222"/>
                                <w:sz w:val="20"/>
                                <w:shd w:val="clear" w:color="auto" w:fill="FFFFFF"/>
                              </w:rPr>
                              <w:t>管理及運用傳銷事業及傳銷商提繳之保護基金、年費及其孳息</w:t>
                            </w:r>
                          </w:p>
                        </w:tc>
                      </w:tr>
                      <w:tr w:rsidR="00CE57F9" w14:paraId="5C4B05DF" w14:textId="77777777" w:rsidTr="00493628">
                        <w:trPr>
                          <w:trHeight w:val="516"/>
                          <w:jc w:val="center"/>
                        </w:trPr>
                        <w:tc>
                          <w:tcPr>
                            <w:tcW w:w="511" w:type="dxa"/>
                            <w:vAlign w:val="center"/>
                          </w:tcPr>
                          <w:p w14:paraId="6228A794" w14:textId="77777777" w:rsidR="00CE57F9" w:rsidRPr="005E15F3" w:rsidRDefault="00CE57F9" w:rsidP="00493628">
                            <w:pPr>
                              <w:tabs>
                                <w:tab w:val="left" w:pos="532"/>
                              </w:tabs>
                              <w:overflowPunct w:val="0"/>
                              <w:spacing w:line="260" w:lineRule="exact"/>
                              <w:jc w:val="center"/>
                              <w:rPr>
                                <w:rFonts w:ascii="標楷體" w:eastAsia="標楷體" w:hAnsi="標楷體"/>
                                <w:sz w:val="20"/>
                              </w:rPr>
                            </w:pPr>
                            <w:r w:rsidRPr="005E15F3">
                              <w:rPr>
                                <w:rFonts w:ascii="標楷體" w:eastAsia="標楷體" w:hAnsi="標楷體" w:hint="eastAsia"/>
                                <w:sz w:val="20"/>
                              </w:rPr>
                              <w:t>5</w:t>
                            </w:r>
                          </w:p>
                        </w:tc>
                        <w:tc>
                          <w:tcPr>
                            <w:tcW w:w="3511" w:type="dxa"/>
                            <w:vAlign w:val="center"/>
                          </w:tcPr>
                          <w:p w14:paraId="4CB1CE7A" w14:textId="77777777" w:rsidR="00CE57F9" w:rsidRPr="005E15F3" w:rsidRDefault="00CE57F9" w:rsidP="001357D4">
                            <w:pPr>
                              <w:tabs>
                                <w:tab w:val="left" w:pos="532"/>
                              </w:tabs>
                              <w:overflowPunct w:val="0"/>
                              <w:spacing w:afterLines="10" w:after="36" w:line="260" w:lineRule="exact"/>
                              <w:ind w:leftChars="-30" w:left="-64" w:rightChars="-23" w:right="-55" w:hangingChars="4" w:hanging="8"/>
                              <w:jc w:val="both"/>
                              <w:rPr>
                                <w:rFonts w:ascii="標楷體" w:eastAsia="標楷體" w:hAnsi="標楷體"/>
                                <w:sz w:val="20"/>
                              </w:rPr>
                            </w:pPr>
                            <w:r w:rsidRPr="005E15F3">
                              <w:rPr>
                                <w:rFonts w:ascii="標楷體" w:eastAsia="標楷體" w:hAnsi="標楷體" w:hint="eastAsia"/>
                                <w:sz w:val="20"/>
                              </w:rPr>
                              <w:t>協助傳銷事業及傳銷商增進對多層次傳銷法令之專業知能</w:t>
                            </w:r>
                          </w:p>
                        </w:tc>
                      </w:tr>
                      <w:tr w:rsidR="00CE57F9" w14:paraId="06DC7183" w14:textId="77777777" w:rsidTr="00493628">
                        <w:trPr>
                          <w:trHeight w:val="270"/>
                          <w:jc w:val="center"/>
                        </w:trPr>
                        <w:tc>
                          <w:tcPr>
                            <w:tcW w:w="511" w:type="dxa"/>
                            <w:vAlign w:val="center"/>
                          </w:tcPr>
                          <w:p w14:paraId="452D16E6" w14:textId="77777777" w:rsidR="00CE57F9" w:rsidRPr="005E15F3" w:rsidRDefault="00CE57F9" w:rsidP="00493628">
                            <w:pPr>
                              <w:tabs>
                                <w:tab w:val="left" w:pos="532"/>
                              </w:tabs>
                              <w:overflowPunct w:val="0"/>
                              <w:spacing w:line="260" w:lineRule="exact"/>
                              <w:jc w:val="center"/>
                              <w:rPr>
                                <w:rFonts w:ascii="標楷體" w:eastAsia="標楷體" w:hAnsi="標楷體"/>
                                <w:sz w:val="20"/>
                              </w:rPr>
                            </w:pPr>
                            <w:r w:rsidRPr="005E15F3">
                              <w:rPr>
                                <w:rFonts w:ascii="標楷體" w:eastAsia="標楷體" w:hAnsi="標楷體" w:hint="eastAsia"/>
                                <w:sz w:val="20"/>
                              </w:rPr>
                              <w:t>6</w:t>
                            </w:r>
                          </w:p>
                        </w:tc>
                        <w:tc>
                          <w:tcPr>
                            <w:tcW w:w="3511" w:type="dxa"/>
                            <w:vAlign w:val="center"/>
                          </w:tcPr>
                          <w:p w14:paraId="6DD45C0E" w14:textId="77777777" w:rsidR="00CE57F9" w:rsidRPr="005E15F3" w:rsidRDefault="00CE57F9" w:rsidP="001357D4">
                            <w:pPr>
                              <w:tabs>
                                <w:tab w:val="left" w:pos="532"/>
                              </w:tabs>
                              <w:overflowPunct w:val="0"/>
                              <w:spacing w:afterLines="10" w:after="36" w:line="260" w:lineRule="exact"/>
                              <w:ind w:leftChars="-30" w:left="-64" w:rightChars="-23" w:right="-55" w:hangingChars="4" w:hanging="8"/>
                              <w:jc w:val="both"/>
                              <w:rPr>
                                <w:rFonts w:ascii="標楷體" w:eastAsia="標楷體" w:hAnsi="標楷體"/>
                                <w:sz w:val="20"/>
                              </w:rPr>
                            </w:pPr>
                            <w:r w:rsidRPr="005E15F3">
                              <w:rPr>
                                <w:rFonts w:ascii="標楷體" w:eastAsia="標楷體" w:hAnsi="標楷體" w:hint="eastAsia"/>
                                <w:color w:val="222222"/>
                                <w:sz w:val="20"/>
                                <w:shd w:val="clear" w:color="auto" w:fill="FFFFFF"/>
                              </w:rPr>
                              <w:t>協助辦理教育訓練活動</w:t>
                            </w:r>
                          </w:p>
                        </w:tc>
                      </w:tr>
                      <w:tr w:rsidR="00CE57F9" w14:paraId="1C2F5A69" w14:textId="77777777" w:rsidTr="00493628">
                        <w:trPr>
                          <w:trHeight w:val="278"/>
                          <w:jc w:val="center"/>
                        </w:trPr>
                        <w:tc>
                          <w:tcPr>
                            <w:tcW w:w="511" w:type="dxa"/>
                            <w:vAlign w:val="center"/>
                          </w:tcPr>
                          <w:p w14:paraId="51FB5BC5" w14:textId="77777777" w:rsidR="00CE57F9" w:rsidRPr="005E15F3" w:rsidRDefault="00CE57F9" w:rsidP="00493628">
                            <w:pPr>
                              <w:tabs>
                                <w:tab w:val="left" w:pos="532"/>
                              </w:tabs>
                              <w:overflowPunct w:val="0"/>
                              <w:spacing w:line="260" w:lineRule="exact"/>
                              <w:jc w:val="center"/>
                              <w:rPr>
                                <w:rFonts w:ascii="標楷體" w:eastAsia="標楷體" w:hAnsi="標楷體"/>
                                <w:sz w:val="20"/>
                              </w:rPr>
                            </w:pPr>
                            <w:r w:rsidRPr="005E15F3">
                              <w:rPr>
                                <w:rFonts w:ascii="標楷體" w:eastAsia="標楷體" w:hAnsi="標楷體" w:hint="eastAsia"/>
                                <w:sz w:val="20"/>
                              </w:rPr>
                              <w:t>7</w:t>
                            </w:r>
                          </w:p>
                        </w:tc>
                        <w:tc>
                          <w:tcPr>
                            <w:tcW w:w="3511" w:type="dxa"/>
                            <w:vAlign w:val="center"/>
                          </w:tcPr>
                          <w:p w14:paraId="32FC82B6" w14:textId="77777777" w:rsidR="00CE57F9" w:rsidRPr="005E15F3" w:rsidRDefault="00CE57F9" w:rsidP="001357D4">
                            <w:pPr>
                              <w:tabs>
                                <w:tab w:val="left" w:pos="532"/>
                              </w:tabs>
                              <w:overflowPunct w:val="0"/>
                              <w:spacing w:afterLines="10" w:after="36" w:line="260" w:lineRule="exact"/>
                              <w:ind w:leftChars="-30" w:left="-64" w:rightChars="-23" w:right="-55" w:hangingChars="4" w:hanging="8"/>
                              <w:jc w:val="both"/>
                              <w:rPr>
                                <w:rFonts w:ascii="標楷體" w:eastAsia="標楷體" w:hAnsi="標楷體"/>
                                <w:sz w:val="20"/>
                              </w:rPr>
                            </w:pPr>
                            <w:r w:rsidRPr="005E15F3">
                              <w:rPr>
                                <w:rFonts w:ascii="標楷體" w:eastAsia="標楷體" w:hAnsi="標楷體" w:hint="eastAsia"/>
                                <w:color w:val="222222"/>
                                <w:sz w:val="20"/>
                                <w:shd w:val="clear" w:color="auto" w:fill="FFFFFF"/>
                              </w:rPr>
                              <w:t>提供有關多層次傳銷法令之諮詢服務</w:t>
                            </w:r>
                          </w:p>
                        </w:tc>
                      </w:tr>
                      <w:tr w:rsidR="00CE57F9" w14:paraId="161A469B" w14:textId="77777777" w:rsidTr="00493628">
                        <w:trPr>
                          <w:trHeight w:val="488"/>
                          <w:jc w:val="center"/>
                        </w:trPr>
                        <w:tc>
                          <w:tcPr>
                            <w:tcW w:w="511" w:type="dxa"/>
                            <w:tcBorders>
                              <w:bottom w:val="single" w:sz="4" w:space="0" w:color="auto"/>
                            </w:tcBorders>
                            <w:vAlign w:val="center"/>
                          </w:tcPr>
                          <w:p w14:paraId="5FAC1CE6" w14:textId="77777777" w:rsidR="00CE57F9" w:rsidRPr="005E15F3" w:rsidRDefault="00CE57F9" w:rsidP="00493628">
                            <w:pPr>
                              <w:tabs>
                                <w:tab w:val="left" w:pos="532"/>
                              </w:tabs>
                              <w:overflowPunct w:val="0"/>
                              <w:spacing w:line="260" w:lineRule="exact"/>
                              <w:jc w:val="center"/>
                              <w:rPr>
                                <w:rFonts w:ascii="標楷體" w:eastAsia="標楷體" w:hAnsi="標楷體"/>
                                <w:sz w:val="20"/>
                              </w:rPr>
                            </w:pPr>
                            <w:r w:rsidRPr="005E15F3">
                              <w:rPr>
                                <w:rFonts w:ascii="標楷體" w:eastAsia="標楷體" w:hAnsi="標楷體" w:hint="eastAsia"/>
                                <w:sz w:val="20"/>
                              </w:rPr>
                              <w:t>8</w:t>
                            </w:r>
                          </w:p>
                        </w:tc>
                        <w:tc>
                          <w:tcPr>
                            <w:tcW w:w="3511" w:type="dxa"/>
                            <w:tcBorders>
                              <w:bottom w:val="single" w:sz="4" w:space="0" w:color="auto"/>
                            </w:tcBorders>
                            <w:vAlign w:val="center"/>
                          </w:tcPr>
                          <w:p w14:paraId="68DD8A94" w14:textId="77777777" w:rsidR="00CE57F9" w:rsidRPr="005E15F3" w:rsidRDefault="00CE57F9" w:rsidP="001357D4">
                            <w:pPr>
                              <w:tabs>
                                <w:tab w:val="left" w:pos="532"/>
                              </w:tabs>
                              <w:overflowPunct w:val="0"/>
                              <w:spacing w:afterLines="10" w:after="36" w:line="260" w:lineRule="exact"/>
                              <w:ind w:leftChars="-30" w:left="-64" w:rightChars="-23" w:right="-55" w:hangingChars="4" w:hanging="8"/>
                              <w:jc w:val="both"/>
                              <w:rPr>
                                <w:rFonts w:ascii="標楷體" w:eastAsia="標楷體" w:hAnsi="標楷體"/>
                                <w:sz w:val="20"/>
                              </w:rPr>
                            </w:pPr>
                            <w:r w:rsidRPr="005E15F3">
                              <w:rPr>
                                <w:rFonts w:ascii="標楷體" w:eastAsia="標楷體" w:hAnsi="標楷體" w:hint="eastAsia"/>
                                <w:color w:val="222222"/>
                                <w:sz w:val="20"/>
                                <w:shd w:val="clear" w:color="auto" w:fill="FFFFFF"/>
                              </w:rPr>
                              <w:t>辦理輔導及評鑑傳銷事業與傳銷商間紛爭處理機制之相關事項</w:t>
                            </w:r>
                          </w:p>
                        </w:tc>
                      </w:tr>
                      <w:tr w:rsidR="00CE57F9" w14:paraId="472DBA42" w14:textId="77777777" w:rsidTr="00493628">
                        <w:trPr>
                          <w:trHeight w:val="412"/>
                          <w:jc w:val="center"/>
                        </w:trPr>
                        <w:tc>
                          <w:tcPr>
                            <w:tcW w:w="4022" w:type="dxa"/>
                            <w:gridSpan w:val="2"/>
                            <w:tcBorders>
                              <w:left w:val="nil"/>
                              <w:bottom w:val="nil"/>
                              <w:right w:val="nil"/>
                            </w:tcBorders>
                            <w:vAlign w:val="center"/>
                          </w:tcPr>
                          <w:p w14:paraId="09135EEF" w14:textId="78CEC34B" w:rsidR="00CE57F9" w:rsidRPr="00322C47" w:rsidRDefault="00CE57F9" w:rsidP="00B322CC">
                            <w:pPr>
                              <w:widowControl/>
                              <w:snapToGrid w:val="0"/>
                              <w:spacing w:line="200" w:lineRule="exact"/>
                              <w:ind w:leftChars="-9" w:left="891" w:hangingChars="507" w:hanging="913"/>
                              <w:jc w:val="both"/>
                              <w:rPr>
                                <w:rFonts w:ascii="標楷體" w:eastAsia="標楷體" w:hAnsi="標楷體"/>
                                <w:color w:val="222222"/>
                                <w:shd w:val="clear" w:color="auto" w:fill="FFFFFF"/>
                              </w:rPr>
                            </w:pPr>
                            <w:r>
                              <w:rPr>
                                <w:rFonts w:ascii="標楷體" w:eastAsia="標楷體" w:hAnsi="標楷體" w:hint="eastAsia"/>
                                <w:sz w:val="18"/>
                                <w:szCs w:val="18"/>
                              </w:rPr>
                              <w:t>資料來源：</w:t>
                            </w:r>
                            <w:r w:rsidRPr="00322C47">
                              <w:rPr>
                                <w:rFonts w:ascii="標楷體" w:eastAsia="標楷體" w:hAnsi="標楷體" w:hint="eastAsia"/>
                                <w:sz w:val="18"/>
                                <w:szCs w:val="18"/>
                              </w:rPr>
                              <w:t>整理自</w:t>
                            </w:r>
                            <w:r w:rsidRPr="00B322CC">
                              <w:rPr>
                                <w:rFonts w:ascii="標楷體" w:eastAsia="標楷體" w:hAnsi="標楷體" w:hint="eastAsia"/>
                                <w:color w:val="000000"/>
                                <w:sz w:val="18"/>
                                <w:szCs w:val="18"/>
                              </w:rPr>
                              <w:t>108年10月31日</w:t>
                            </w:r>
                            <w:r>
                              <w:rPr>
                                <w:rFonts w:ascii="標楷體" w:eastAsia="標楷體" w:hAnsi="標楷體" w:hint="eastAsia"/>
                                <w:sz w:val="18"/>
                                <w:szCs w:val="18"/>
                              </w:rPr>
                              <w:t>修正發布</w:t>
                            </w:r>
                            <w:r>
                              <w:rPr>
                                <w:rFonts w:ascii="標楷體" w:eastAsia="標楷體" w:hAnsi="標楷體"/>
                                <w:sz w:val="18"/>
                                <w:szCs w:val="18"/>
                              </w:rPr>
                              <w:t>之</w:t>
                            </w:r>
                            <w:r w:rsidRPr="00322C47">
                              <w:rPr>
                                <w:rFonts w:ascii="標楷體" w:eastAsia="標楷體" w:hAnsi="標楷體" w:hint="eastAsia"/>
                                <w:sz w:val="18"/>
                                <w:szCs w:val="18"/>
                              </w:rPr>
                              <w:t>多層次傳銷保護機構設立及管理辦法第3條及第30條規定。</w:t>
                            </w:r>
                          </w:p>
                        </w:tc>
                      </w:tr>
                    </w:tbl>
                    <w:p w14:paraId="404F6219" w14:textId="77777777" w:rsidR="00CE57F9" w:rsidRPr="008E5C41" w:rsidRDefault="00CE57F9" w:rsidP="00E8164A"/>
                  </w:txbxContent>
                </v:textbox>
                <w10:wrap type="square" anchorx="margin" anchory="margin"/>
              </v:shape>
            </w:pict>
          </mc:Fallback>
        </mc:AlternateContent>
      </w:r>
      <w:r w:rsidR="004F5F76" w:rsidRPr="009D11AD">
        <w:rPr>
          <w:rFonts w:ascii="標楷體" w:eastAsia="標楷體" w:hAnsi="標楷體" w:hint="eastAsia"/>
          <w:b/>
          <w:color w:val="000000" w:themeColor="text1"/>
          <w:kern w:val="0"/>
          <w:szCs w:val="24"/>
        </w:rPr>
        <w:t>2.　傳保會自正式運作已屆7年，惟尚未充分發揮設立之功能，允宜研謀善策，完備傳銷商權益保護措施及提升專業知能課程之知識擴散效果，強化傳保會組織定位功能之發揮：</w:t>
      </w:r>
      <w:r w:rsidR="004F5F76" w:rsidRPr="009D11AD">
        <w:rPr>
          <w:rFonts w:ascii="標楷體" w:eastAsia="標楷體" w:hAnsi="標楷體" w:hint="eastAsia"/>
          <w:color w:val="000000" w:themeColor="text1"/>
          <w:kern w:val="0"/>
          <w:szCs w:val="24"/>
        </w:rPr>
        <w:t>依保護機構管理辦法（108年10月31日修正發布，下同）第3條規定，傳保會主要任務係辦理爭議調處、訴訟協助、損害代償、提升傳銷事業及傳銷商之專業知能、輔導及評鑑傳銷事業與傳銷商間紛爭處理機制等業務</w:t>
      </w:r>
      <w:r w:rsidR="004F5F76" w:rsidRPr="00346BDD">
        <w:rPr>
          <w:rFonts w:ascii="標楷體" w:eastAsia="標楷體" w:hAnsi="標楷體" w:hint="eastAsia"/>
          <w:color w:val="000000" w:themeColor="text1"/>
          <w:kern w:val="0"/>
          <w:szCs w:val="24"/>
        </w:rPr>
        <w:t>（表2</w:t>
      </w:r>
      <w:r w:rsidR="00B729E6" w:rsidRPr="00346BDD">
        <w:rPr>
          <w:rFonts w:ascii="標楷體" w:eastAsia="標楷體" w:hAnsi="標楷體" w:hint="eastAsia"/>
          <w:color w:val="000000" w:themeColor="text1"/>
          <w:kern w:val="0"/>
          <w:szCs w:val="24"/>
        </w:rPr>
        <w:t>4</w:t>
      </w:r>
      <w:r w:rsidR="004F5F76" w:rsidRPr="00346BDD">
        <w:rPr>
          <w:rFonts w:ascii="標楷體" w:eastAsia="標楷體" w:hAnsi="標楷體" w:hint="eastAsia"/>
          <w:color w:val="000000" w:themeColor="text1"/>
          <w:kern w:val="0"/>
          <w:szCs w:val="24"/>
        </w:rPr>
        <w:t>）</w:t>
      </w:r>
      <w:r w:rsidR="004F5F76" w:rsidRPr="009D11AD">
        <w:rPr>
          <w:rFonts w:ascii="標楷體" w:eastAsia="標楷體" w:hAnsi="標楷體" w:hint="eastAsia"/>
          <w:color w:val="000000" w:themeColor="text1"/>
          <w:kern w:val="0"/>
          <w:szCs w:val="24"/>
        </w:rPr>
        <w:t>。復依多層次傳銷管理法第38條第1項及第2項規定，傳保會為辦理多層次傳銷事業與傳銷商權益保障及爭議處理相關業務，得向完成報備之多層次傳銷事業與傳銷商收取保護基金及年費。另依保護機構管理辦法第21條規定，傳銷事業依上一會計年度多層次傳銷營業額分級距強制繳納保護基金及年費；傳銷商每位繳納1次性100元之保護基金，年費則由公平交易委員會視基金規模於每年1月底前公告實施，於完成繳納後始取得申請傳保會保護之權利。傳保會自成立至111年8月底止，累計收納保護基金、年費等收入2億7,485萬餘元，累計支出業務、行政管理等費用6,577萬餘元，累計賸餘2億907萬餘元。經查傳保會執行任務情形，核有：（1）傳保會自107</w:t>
      </w:r>
      <w:r w:rsidR="00164AFA">
        <w:rPr>
          <w:rFonts w:ascii="標楷體" w:eastAsia="標楷體" w:hAnsi="標楷體" w:hint="eastAsia"/>
          <w:color w:val="000000" w:themeColor="text1"/>
          <w:kern w:val="0"/>
          <w:szCs w:val="24"/>
        </w:rPr>
        <w:t>年度</w:t>
      </w:r>
      <w:r w:rsidR="004F5F76" w:rsidRPr="009D11AD">
        <w:rPr>
          <w:rFonts w:ascii="標楷體" w:eastAsia="標楷體" w:hAnsi="標楷體" w:hint="eastAsia"/>
          <w:color w:val="000000" w:themeColor="text1"/>
          <w:kern w:val="0"/>
          <w:szCs w:val="24"/>
        </w:rPr>
        <w:t>至111年8月底止，受理爭議調處案件計26件，辦結案件31件（包括107年度以前受理之案件），辦結案件中10件調處成立、10件未成立、6件申請人撤回，5件因程序不符駁回申請，顯示傳</w:t>
      </w:r>
      <w:r w:rsidR="004F5F76" w:rsidRPr="009D11AD">
        <w:rPr>
          <w:rFonts w:ascii="標楷體" w:eastAsia="標楷體" w:hAnsi="標楷體" w:hint="eastAsia"/>
          <w:color w:val="000000" w:themeColor="text1"/>
          <w:kern w:val="0"/>
          <w:szCs w:val="24"/>
        </w:rPr>
        <w:lastRenderedPageBreak/>
        <w:t>保會協助於訴訟外解決爭議已有相當成效。而前揭調處未成立或成立之案件，如符合保護機構管理辦法所訂相關要件，即能向傳保會申請訴訟協助或損害代償，惟因調處案件量為數不多，又須符合訴訟協助或損害代償申請要件情況，傳保會自104年1月1日起正式運作至111年8月底止，受理申請訴訟協助及損害代償案件僅各1件，其中訴訟協助申請案考量傳保會訴訟協助要件較為嚴格，經與申請人說明後，因申請人放棄申請，以確定無法提供訴訟協助結案；嗣據公平交易委員會說明，傳保會曾於110年間接獲傳銷產業界提出放寬訴訟協助要件之建議，截至111年8月底止，相關規範之調整尚在研議中，有待加強檢討調整相關規範，以強化傳銷商之權益保障；（2）保護機構管理辦法於108年間2度修正發布，新增辦理「輔導」及「評鑑」傳銷事業與傳銷商間紛爭處理機制為傳保會任務之一，期能輔導傳銷事業建置其與傳銷商間紛爭處理機制，並透由同業比較及標竿學習之評鑑機制提升傳銷事業主動建立內部紛爭處理機制之誘因，最終促成產業自律；據公平交易委員會統計，截至111年8月底止，傳保會僅完成189家事業紛爭處理機制之輔導（占110年底止已報備傳銷事業347家之54.47％），均未完成評鑑作業，按保護機構管理辦法自108年修正新增發布迄至111年8月底止已近3年，傳保會尚未完整落實輔導及評鑑傳銷事業紛爭處理機制業務，不利檢視新政策成效；（3）完成繳納保護基金及年費者，能報名參加傳保會為增進傳銷事業及傳銷商對多層次傳銷法令之瞭解所辦理之專業知能課程，惟截至111年8月底止完成繳納保護基金，納入傳保會保護範圍之傳銷商合計僅2,321人，分別占110年度訂貨傳銷商261萬餘人、領取佣（獎）金傳銷商98萬餘人，約0.09％及0.24％，傳銷商自主繳費加入傳保會之比率甚低，影響相關課程知識擴散效果，</w:t>
      </w:r>
      <w:r w:rsidR="001A60FE">
        <w:rPr>
          <w:rFonts w:ascii="標楷體" w:eastAsia="標楷體" w:hAnsi="標楷體" w:hint="eastAsia"/>
          <w:color w:val="000000" w:themeColor="text1"/>
          <w:kern w:val="0"/>
          <w:szCs w:val="24"/>
        </w:rPr>
        <w:t>在</w:t>
      </w:r>
      <w:r w:rsidR="004F5F76" w:rsidRPr="009D11AD">
        <w:rPr>
          <w:rFonts w:ascii="標楷體" w:eastAsia="標楷體" w:hAnsi="標楷體" w:hint="eastAsia"/>
          <w:color w:val="000000" w:themeColor="text1"/>
          <w:kern w:val="0"/>
          <w:szCs w:val="24"/>
        </w:rPr>
        <w:t>傳銷商僅需繳納1次性保護基金100元（106至111年度均經核定傳銷商年費為0元）之優惠條件下，尚待研謀善策提高傳銷商加入傳保會之誘因，以弭平傳銷商於多層次傳銷爭議中常居於資源及資訊相對弱勢之情況等情事。經函請公平交易委員會協助傳保會檢討強化任務達成情形，督促傳保會衡酌業務經驗及產業實需，適時依組織未來發展方向調整業務主軸及相關規範，以完善促進多層次傳銷產業良性發展之支持網絡。據復：保護機構管理辦法於112年4月7日修正發布，修正重點如擴大傳保會任務及功能、調整傳銷事業及傳銷商繳納保護基金及年費事宜、鬆綁保護基金及年費之用途限制、改善調處申請及進行程序、移除請求協助訴訟之人數及損害金額限制門檻等。</w:t>
      </w:r>
    </w:p>
    <w:p w14:paraId="63179C40" w14:textId="5C6059F3" w:rsidR="004F5F76" w:rsidRPr="009D11AD" w:rsidRDefault="004F5F76" w:rsidP="00860D54">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（三十四）　國家通訊傳播委員會為提升廣電內容品質，持續強化廣電業者製播之監理機制，惟間有廣電媒體製播選舉開票新聞出現過度灌票情形，恐衍生</w:t>
      </w:r>
      <w:r w:rsidR="00164AFA">
        <w:rPr>
          <w:rFonts w:hAnsi="標楷體" w:hint="eastAsia"/>
          <w:b/>
          <w:color w:val="000000" w:themeColor="text1"/>
          <w:sz w:val="28"/>
          <w:szCs w:val="28"/>
        </w:rPr>
        <w:t>治安</w:t>
      </w:r>
      <w:r w:rsidRPr="009D11AD">
        <w:rPr>
          <w:rFonts w:hAnsi="標楷體" w:hint="eastAsia"/>
          <w:b/>
          <w:color w:val="000000" w:themeColor="text1"/>
          <w:sz w:val="28"/>
          <w:szCs w:val="28"/>
        </w:rPr>
        <w:t>事件發生風險，允宜加強監督促請善盡事實查證責任，避免因不實報導發生損及公共利益情事</w:t>
      </w:r>
      <w:r w:rsidRPr="009D11AD">
        <w:rPr>
          <w:rFonts w:hAnsi="標楷體" w:hint="eastAsia"/>
          <w:b/>
          <w:color w:val="000000" w:themeColor="text1"/>
          <w:spacing w:val="-2"/>
          <w:sz w:val="28"/>
          <w:szCs w:val="28"/>
        </w:rPr>
        <w:t>。</w:t>
      </w:r>
    </w:p>
    <w:p w14:paraId="3C13DF10" w14:textId="72BA2BAA" w:rsidR="00A54EAE" w:rsidRPr="009D11AD" w:rsidRDefault="00546970" w:rsidP="00DA2751">
      <w:pPr>
        <w:overflowPunct w:val="0"/>
        <w:autoSpaceDE w:val="0"/>
        <w:autoSpaceDN w:val="0"/>
        <w:snapToGrid w:val="0"/>
        <w:spacing w:line="430" w:lineRule="exact"/>
        <w:ind w:firstLineChars="300" w:firstLine="720"/>
        <w:jc w:val="both"/>
        <w:rPr>
          <w:rFonts w:ascii="標楷體" w:eastAsia="標楷體" w:hAnsi="標楷體"/>
          <w:bCs/>
          <w:noProof/>
          <w:color w:val="000000"/>
        </w:rPr>
      </w:pPr>
      <w:r w:rsidRPr="009D11AD">
        <w:rPr>
          <w:rFonts w:ascii="標楷體" w:eastAsia="標楷體" w:hAnsi="標楷體" w:hint="eastAsia"/>
          <w:bCs/>
          <w:noProof/>
          <w:color w:val="000000"/>
        </w:rPr>
        <w:t>國家通訊傳播委員會</w:t>
      </w:r>
      <w:r w:rsidR="004F5F76" w:rsidRPr="009D11AD">
        <w:rPr>
          <w:rFonts w:ascii="標楷體" w:eastAsia="標楷體" w:hAnsi="標楷體" w:hint="eastAsia"/>
          <w:bCs/>
          <w:noProof/>
          <w:color w:val="000000"/>
        </w:rPr>
        <w:t>為提升廣電內容品質，落實監理機制，於選舉期間籲請廣電媒體製</w:t>
      </w:r>
      <w:r w:rsidR="004F5F76" w:rsidRPr="009D11AD">
        <w:rPr>
          <w:rFonts w:ascii="標楷體" w:eastAsia="標楷體" w:hAnsi="標楷體" w:hint="eastAsia"/>
          <w:bCs/>
          <w:noProof/>
          <w:color w:val="000000"/>
        </w:rPr>
        <w:lastRenderedPageBreak/>
        <w:t>播選舉相關新聞及評論，應注意事實查證及公平原則，且不得違反事實查證原則，並避免以聳動標題誤導觀眾致損害公共利益。又依衛星廣播電視法第27條第4項規定，衛星廣播電視事業及境外衛星廣播電視事業之分公司或代理商涉有製播新聞違反事實查證原則，致損害公共利益者，應由該事業建置之自律規範機制調查後作成調查報告，提送主管機關審議。按該條文之立法理由係為落實問責並體現共管機制，促使媒體自律與社會他律先行，藉此責成電視臺落實內部控管，就製播新聞涉有違反事實查證原則致損害公共利益者，先透過自律規範機制對製播新聞個案，進行事實查證之調查程序，並將相關報告及說明送主管機關審議，以落實內部控管及問責機制。惟據媒體報導，九合一選舉於111年11月26日舉行投票，是日開票過程中，部分電視臺自行計票票數與中央選舉委員會（下稱中選會）公布數據差距過大，引發各界訾議；又因電視臺於播報開票過程中涉有灌票、誤植票數等爭議不斷，該會共計接獲開票申訴5案，分屬3家電視臺。上開媒體報導涉及開票爭議之3家電視臺，皆屬中華民國衛星廣播電視事業商業同業公</w:t>
      </w:r>
    </w:p>
    <w:p w14:paraId="1BD21FDD" w14:textId="6B2A1B81" w:rsidR="004F5F76" w:rsidRPr="009D11AD" w:rsidRDefault="00173862" w:rsidP="00DA2751">
      <w:pPr>
        <w:overflowPunct w:val="0"/>
        <w:autoSpaceDE w:val="0"/>
        <w:autoSpaceDN w:val="0"/>
        <w:snapToGrid w:val="0"/>
        <w:spacing w:line="440" w:lineRule="exact"/>
        <w:jc w:val="both"/>
        <w:rPr>
          <w:rFonts w:ascii="標楷體" w:eastAsia="標楷體" w:hAnsi="標楷體" w:cs="新細明體"/>
          <w:bCs/>
          <w:kern w:val="0"/>
        </w:rPr>
      </w:pPr>
      <w:r w:rsidRPr="009D11AD">
        <w:rPr>
          <w:rFonts w:ascii="標楷體" w:eastAsia="標楷體" w:hAnsi="標楷體" w:hint="eastAsia"/>
          <w:bCs/>
          <w:noProof/>
          <w:color w:val="000000"/>
        </w:rPr>
        <w:t>會之</w:t>
      </w:r>
      <w:r w:rsidR="00A54EAE" w:rsidRPr="00DA2751">
        <w:rPr>
          <w:rFonts w:ascii="標楷體" w:eastAsia="標楷體" w:hAnsi="標楷體"/>
          <w:noProof/>
          <w:color w:val="000000"/>
          <w:kern w:val="0"/>
          <w:sz w:val="16"/>
          <w:szCs w:val="22"/>
        </w:rPr>
        <mc:AlternateContent>
          <mc:Choice Requires="wps">
            <w:drawing>
              <wp:anchor distT="0" distB="0" distL="144145" distR="71755" simplePos="0" relativeHeight="251673088" behindDoc="1" locked="0" layoutInCell="1" allowOverlap="1" wp14:anchorId="3234C3C2" wp14:editId="69706330">
                <wp:simplePos x="0" y="0"/>
                <wp:positionH relativeFrom="margin">
                  <wp:posOffset>3838105</wp:posOffset>
                </wp:positionH>
                <wp:positionV relativeFrom="paragraph">
                  <wp:posOffset>867468</wp:posOffset>
                </wp:positionV>
                <wp:extent cx="2451100" cy="1302385"/>
                <wp:effectExtent l="0" t="0" r="0" b="0"/>
                <wp:wrapTight wrapText="bothSides">
                  <wp:wrapPolygon edited="0">
                    <wp:start x="336" y="0"/>
                    <wp:lineTo x="336" y="21168"/>
                    <wp:lineTo x="21152" y="21168"/>
                    <wp:lineTo x="21152" y="0"/>
                    <wp:lineTo x="336" y="0"/>
                  </wp:wrapPolygon>
                </wp:wrapTight>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1100" cy="1302385"/>
                        </a:xfrm>
                        <a:prstGeom prst="rect">
                          <a:avLst/>
                        </a:prstGeom>
                        <a:noFill/>
                        <a:ln w="9525">
                          <a:noFill/>
                          <a:miter lim="800000"/>
                          <a:headEnd/>
                          <a:tailEnd/>
                        </a:ln>
                      </wps:spPr>
                      <wps:txbx>
                        <w:txbxContent>
                          <w:tbl>
                            <w:tblPr>
                              <w:tblStyle w:val="222"/>
                              <w:tblOverlap w:val="never"/>
                              <w:tblW w:w="0" w:type="auto"/>
                              <w:jc w:val="center"/>
                              <w:tblLook w:val="04A0" w:firstRow="1" w:lastRow="0" w:firstColumn="1" w:lastColumn="0" w:noHBand="0" w:noVBand="1"/>
                            </w:tblPr>
                            <w:tblGrid>
                              <w:gridCol w:w="642"/>
                              <w:gridCol w:w="2841"/>
                            </w:tblGrid>
                            <w:tr w:rsidR="00CE57F9" w:rsidRPr="006134DD" w14:paraId="34A13E53" w14:textId="77777777" w:rsidTr="006457AF">
                              <w:trPr>
                                <w:trHeight w:val="20"/>
                                <w:jc w:val="center"/>
                              </w:trPr>
                              <w:tc>
                                <w:tcPr>
                                  <w:tcW w:w="3483" w:type="dxa"/>
                                  <w:gridSpan w:val="2"/>
                                  <w:tcBorders>
                                    <w:top w:val="nil"/>
                                    <w:left w:val="nil"/>
                                    <w:bottom w:val="nil"/>
                                    <w:right w:val="nil"/>
                                  </w:tcBorders>
                                  <w:shd w:val="clear" w:color="auto" w:fill="auto"/>
                                  <w:vAlign w:val="center"/>
                                </w:tcPr>
                                <w:p w14:paraId="6CA5EDD0" w14:textId="34C540C3" w:rsidR="00CE57F9" w:rsidRPr="006134DD" w:rsidRDefault="00CE57F9" w:rsidP="00E8164A">
                                  <w:pPr>
                                    <w:overflowPunct w:val="0"/>
                                    <w:ind w:left="661" w:hangingChars="275" w:hanging="661"/>
                                    <w:suppressOverlap/>
                                    <w:jc w:val="center"/>
                                    <w:textAlignment w:val="center"/>
                                    <w:rPr>
                                      <w:rFonts w:ascii="標楷體" w:eastAsia="標楷體" w:hAnsi="標楷體"/>
                                      <w:b/>
                                    </w:rPr>
                                  </w:pPr>
                                  <w:r w:rsidRPr="006134DD">
                                    <w:rPr>
                                      <w:rFonts w:ascii="標楷體" w:eastAsia="標楷體" w:hAnsi="標楷體" w:hint="eastAsia"/>
                                      <w:b/>
                                    </w:rPr>
                                    <w:t>表</w:t>
                                  </w:r>
                                  <w:r>
                                    <w:rPr>
                                      <w:rFonts w:ascii="標楷體" w:eastAsia="標楷體" w:hAnsi="標楷體"/>
                                      <w:b/>
                                    </w:rPr>
                                    <w:t>25</w:t>
                                  </w:r>
                                  <w:r w:rsidRPr="006134DD">
                                    <w:rPr>
                                      <w:rFonts w:ascii="標楷體" w:eastAsia="標楷體" w:hAnsi="標楷體" w:hint="eastAsia"/>
                                      <w:b/>
                                    </w:rPr>
                                    <w:t xml:space="preserve">　開票作業計票來源</w:t>
                                  </w:r>
                                </w:p>
                              </w:tc>
                            </w:tr>
                            <w:tr w:rsidR="00CE57F9" w:rsidRPr="006134DD" w14:paraId="5B66BE6C" w14:textId="77777777" w:rsidTr="006457AF">
                              <w:trPr>
                                <w:trHeight w:val="20"/>
                                <w:jc w:val="center"/>
                              </w:trPr>
                              <w:tc>
                                <w:tcPr>
                                  <w:tcW w:w="642" w:type="dxa"/>
                                  <w:vAlign w:val="center"/>
                                </w:tcPr>
                                <w:p w14:paraId="28E0C700" w14:textId="77777777" w:rsidR="00CE57F9" w:rsidRPr="006134DD" w:rsidRDefault="00CE57F9" w:rsidP="00493628">
                                  <w:pPr>
                                    <w:overflowPunct w:val="0"/>
                                    <w:suppressOverlap/>
                                    <w:jc w:val="distribute"/>
                                    <w:textAlignment w:val="center"/>
                                    <w:rPr>
                                      <w:rFonts w:ascii="標楷體" w:eastAsia="標楷體" w:hAnsi="標楷體"/>
                                      <w:sz w:val="20"/>
                                      <w:szCs w:val="20"/>
                                    </w:rPr>
                                  </w:pPr>
                                  <w:r>
                                    <w:rPr>
                                      <w:rFonts w:ascii="標楷體" w:eastAsia="標楷體" w:hAnsi="標楷體" w:hint="eastAsia"/>
                                      <w:sz w:val="20"/>
                                      <w:szCs w:val="20"/>
                                    </w:rPr>
                                    <w:t>序號</w:t>
                                  </w:r>
                                </w:p>
                              </w:tc>
                              <w:tc>
                                <w:tcPr>
                                  <w:tcW w:w="2841" w:type="dxa"/>
                                  <w:vAlign w:val="center"/>
                                </w:tcPr>
                                <w:p w14:paraId="523F2477" w14:textId="77777777" w:rsidR="00CE57F9" w:rsidRPr="006134DD" w:rsidRDefault="00CE57F9" w:rsidP="00493628">
                                  <w:pPr>
                                    <w:overflowPunct w:val="0"/>
                                    <w:suppressOverlap/>
                                    <w:jc w:val="center"/>
                                    <w:textAlignment w:val="center"/>
                                    <w:rPr>
                                      <w:rFonts w:ascii="標楷體" w:eastAsia="標楷體" w:hAnsi="標楷體"/>
                                      <w:sz w:val="20"/>
                                      <w:szCs w:val="20"/>
                                    </w:rPr>
                                  </w:pPr>
                                  <w:r>
                                    <w:rPr>
                                      <w:rFonts w:ascii="標楷體" w:eastAsia="標楷體" w:hAnsi="標楷體" w:hint="eastAsia"/>
                                      <w:sz w:val="20"/>
                                      <w:szCs w:val="20"/>
                                    </w:rPr>
                                    <w:t xml:space="preserve">來　</w:t>
                                  </w:r>
                                  <w:r>
                                    <w:rPr>
                                      <w:rFonts w:ascii="標楷體" w:eastAsia="標楷體" w:hAnsi="標楷體"/>
                                      <w:sz w:val="20"/>
                                      <w:szCs w:val="20"/>
                                    </w:rPr>
                                    <w:t xml:space="preserve">　　　　　　　</w:t>
                                  </w:r>
                                  <w:r>
                                    <w:rPr>
                                      <w:rFonts w:ascii="標楷體" w:eastAsia="標楷體" w:hAnsi="標楷體" w:hint="eastAsia"/>
                                      <w:sz w:val="20"/>
                                      <w:szCs w:val="20"/>
                                    </w:rPr>
                                    <w:t>源</w:t>
                                  </w:r>
                                </w:p>
                              </w:tc>
                            </w:tr>
                            <w:tr w:rsidR="00CE57F9" w:rsidRPr="006134DD" w14:paraId="3AEFAE61" w14:textId="77777777" w:rsidTr="006457AF">
                              <w:trPr>
                                <w:trHeight w:val="20"/>
                                <w:jc w:val="center"/>
                              </w:trPr>
                              <w:tc>
                                <w:tcPr>
                                  <w:tcW w:w="642" w:type="dxa"/>
                                  <w:vAlign w:val="center"/>
                                </w:tcPr>
                                <w:p w14:paraId="0FA4233B" w14:textId="77777777" w:rsidR="00CE57F9" w:rsidRPr="006134DD" w:rsidRDefault="00CE57F9" w:rsidP="00493628">
                                  <w:pPr>
                                    <w:overflowPunct w:val="0"/>
                                    <w:suppressOverlap/>
                                    <w:jc w:val="center"/>
                                    <w:textAlignment w:val="center"/>
                                    <w:rPr>
                                      <w:rFonts w:ascii="標楷體" w:eastAsia="標楷體" w:hAnsi="標楷體"/>
                                      <w:sz w:val="20"/>
                                      <w:szCs w:val="20"/>
                                    </w:rPr>
                                  </w:pPr>
                                  <w:r w:rsidRPr="006134DD">
                                    <w:rPr>
                                      <w:rFonts w:ascii="標楷體" w:eastAsia="標楷體" w:hAnsi="標楷體" w:hint="eastAsia"/>
                                      <w:sz w:val="20"/>
                                      <w:szCs w:val="20"/>
                                    </w:rPr>
                                    <w:t>1</w:t>
                                  </w:r>
                                </w:p>
                              </w:tc>
                              <w:tc>
                                <w:tcPr>
                                  <w:tcW w:w="2841" w:type="dxa"/>
                                  <w:vAlign w:val="center"/>
                                </w:tcPr>
                                <w:p w14:paraId="26E85ACA" w14:textId="77777777" w:rsidR="00CE57F9" w:rsidRPr="006134DD" w:rsidRDefault="00CE57F9" w:rsidP="00493628">
                                  <w:pPr>
                                    <w:overflowPunct w:val="0"/>
                                    <w:suppressOverlap/>
                                    <w:textAlignment w:val="center"/>
                                    <w:rPr>
                                      <w:rFonts w:ascii="標楷體" w:eastAsia="標楷體" w:hAnsi="標楷體"/>
                                      <w:sz w:val="20"/>
                                      <w:szCs w:val="20"/>
                                    </w:rPr>
                                  </w:pPr>
                                  <w:r w:rsidRPr="006134DD">
                                    <w:rPr>
                                      <w:rFonts w:ascii="標楷體" w:eastAsia="標楷體" w:hAnsi="標楷體" w:hint="eastAsia"/>
                                      <w:sz w:val="20"/>
                                      <w:szCs w:val="20"/>
                                    </w:rPr>
                                    <w:t>政黨計票</w:t>
                                  </w:r>
                                </w:p>
                              </w:tc>
                            </w:tr>
                            <w:tr w:rsidR="00CE57F9" w:rsidRPr="006134DD" w14:paraId="78AE2B6D" w14:textId="77777777" w:rsidTr="006457AF">
                              <w:trPr>
                                <w:trHeight w:val="20"/>
                                <w:jc w:val="center"/>
                              </w:trPr>
                              <w:tc>
                                <w:tcPr>
                                  <w:tcW w:w="642" w:type="dxa"/>
                                  <w:vAlign w:val="center"/>
                                </w:tcPr>
                                <w:p w14:paraId="1801A585" w14:textId="77777777" w:rsidR="00CE57F9" w:rsidRPr="006134DD" w:rsidRDefault="00CE57F9" w:rsidP="00493628">
                                  <w:pPr>
                                    <w:overflowPunct w:val="0"/>
                                    <w:suppressOverlap/>
                                    <w:jc w:val="center"/>
                                    <w:textAlignment w:val="center"/>
                                    <w:rPr>
                                      <w:rFonts w:ascii="標楷體" w:eastAsia="標楷體" w:hAnsi="標楷體"/>
                                      <w:sz w:val="20"/>
                                      <w:szCs w:val="20"/>
                                    </w:rPr>
                                  </w:pPr>
                                  <w:r w:rsidRPr="006134DD">
                                    <w:rPr>
                                      <w:rFonts w:ascii="標楷體" w:eastAsia="標楷體" w:hAnsi="標楷體" w:hint="eastAsia"/>
                                      <w:sz w:val="20"/>
                                      <w:szCs w:val="20"/>
                                    </w:rPr>
                                    <w:t>2</w:t>
                                  </w:r>
                                </w:p>
                              </w:tc>
                              <w:tc>
                                <w:tcPr>
                                  <w:tcW w:w="2841" w:type="dxa"/>
                                  <w:vAlign w:val="center"/>
                                </w:tcPr>
                                <w:p w14:paraId="12379079" w14:textId="77777777" w:rsidR="00CE57F9" w:rsidRPr="006134DD" w:rsidRDefault="00CE57F9" w:rsidP="00493628">
                                  <w:pPr>
                                    <w:overflowPunct w:val="0"/>
                                    <w:suppressOverlap/>
                                    <w:textAlignment w:val="center"/>
                                    <w:rPr>
                                      <w:rFonts w:ascii="標楷體" w:eastAsia="標楷體" w:hAnsi="標楷體"/>
                                      <w:sz w:val="20"/>
                                      <w:szCs w:val="20"/>
                                    </w:rPr>
                                  </w:pPr>
                                  <w:r w:rsidRPr="006134DD">
                                    <w:rPr>
                                      <w:rFonts w:ascii="標楷體" w:eastAsia="標楷體" w:hAnsi="標楷體" w:hint="eastAsia"/>
                                      <w:sz w:val="20"/>
                                      <w:szCs w:val="20"/>
                                    </w:rPr>
                                    <w:t>候選人競選總部自行計票</w:t>
                                  </w:r>
                                </w:p>
                              </w:tc>
                            </w:tr>
                            <w:tr w:rsidR="00CE57F9" w:rsidRPr="006134DD" w14:paraId="552E7EBB" w14:textId="77777777" w:rsidTr="006457AF">
                              <w:trPr>
                                <w:trHeight w:val="20"/>
                                <w:jc w:val="center"/>
                              </w:trPr>
                              <w:tc>
                                <w:tcPr>
                                  <w:tcW w:w="642" w:type="dxa"/>
                                  <w:vAlign w:val="center"/>
                                </w:tcPr>
                                <w:p w14:paraId="4CC4DAA6" w14:textId="77777777" w:rsidR="00CE57F9" w:rsidRPr="006134DD" w:rsidRDefault="00CE57F9" w:rsidP="00493628">
                                  <w:pPr>
                                    <w:overflowPunct w:val="0"/>
                                    <w:suppressOverlap/>
                                    <w:jc w:val="center"/>
                                    <w:textAlignment w:val="center"/>
                                    <w:rPr>
                                      <w:rFonts w:ascii="標楷體" w:eastAsia="標楷體" w:hAnsi="標楷體"/>
                                      <w:sz w:val="20"/>
                                      <w:szCs w:val="20"/>
                                    </w:rPr>
                                  </w:pPr>
                                  <w:r w:rsidRPr="006134DD">
                                    <w:rPr>
                                      <w:rFonts w:ascii="標楷體" w:eastAsia="標楷體" w:hAnsi="標楷體" w:hint="eastAsia"/>
                                      <w:sz w:val="20"/>
                                      <w:szCs w:val="20"/>
                                    </w:rPr>
                                    <w:t>3</w:t>
                                  </w:r>
                                </w:p>
                              </w:tc>
                              <w:tc>
                                <w:tcPr>
                                  <w:tcW w:w="2841" w:type="dxa"/>
                                  <w:vAlign w:val="center"/>
                                </w:tcPr>
                                <w:p w14:paraId="3704FB6E" w14:textId="77777777" w:rsidR="00CE57F9" w:rsidRPr="006134DD" w:rsidRDefault="00CE57F9" w:rsidP="00493628">
                                  <w:pPr>
                                    <w:overflowPunct w:val="0"/>
                                    <w:suppressOverlap/>
                                    <w:textAlignment w:val="center"/>
                                    <w:rPr>
                                      <w:rFonts w:ascii="標楷體" w:eastAsia="標楷體" w:hAnsi="標楷體"/>
                                      <w:sz w:val="20"/>
                                      <w:szCs w:val="20"/>
                                    </w:rPr>
                                  </w:pPr>
                                  <w:r w:rsidRPr="006134DD">
                                    <w:rPr>
                                      <w:rFonts w:ascii="標楷體" w:eastAsia="標楷體" w:hAnsi="標楷體" w:hint="eastAsia"/>
                                      <w:sz w:val="20"/>
                                      <w:szCs w:val="20"/>
                                    </w:rPr>
                                    <w:t>工讀生報票</w:t>
                                  </w:r>
                                </w:p>
                              </w:tc>
                            </w:tr>
                            <w:tr w:rsidR="00CE57F9" w:rsidRPr="006134DD" w14:paraId="4111A9B0" w14:textId="77777777" w:rsidTr="006457AF">
                              <w:trPr>
                                <w:trHeight w:val="94"/>
                                <w:jc w:val="center"/>
                              </w:trPr>
                              <w:tc>
                                <w:tcPr>
                                  <w:tcW w:w="3483" w:type="dxa"/>
                                  <w:gridSpan w:val="2"/>
                                  <w:tcBorders>
                                    <w:top w:val="single" w:sz="4" w:space="0" w:color="auto"/>
                                    <w:left w:val="nil"/>
                                    <w:bottom w:val="nil"/>
                                    <w:right w:val="nil"/>
                                  </w:tcBorders>
                                  <w:vAlign w:val="center"/>
                                </w:tcPr>
                                <w:p w14:paraId="73C0A89E" w14:textId="77777777" w:rsidR="00CE57F9" w:rsidRPr="00071087" w:rsidRDefault="00CE57F9" w:rsidP="006457AF">
                                  <w:pPr>
                                    <w:overflowPunct w:val="0"/>
                                    <w:spacing w:line="200" w:lineRule="exact"/>
                                    <w:ind w:leftChars="-50" w:left="744" w:hangingChars="480" w:hanging="864"/>
                                    <w:suppressOverlap/>
                                    <w:jc w:val="both"/>
                                    <w:textAlignment w:val="center"/>
                                    <w:rPr>
                                      <w:rFonts w:ascii="標楷體" w:eastAsia="標楷體" w:hAnsi="標楷體"/>
                                      <w:sz w:val="20"/>
                                      <w:szCs w:val="20"/>
                                    </w:rPr>
                                  </w:pPr>
                                  <w:r w:rsidRPr="00071087">
                                    <w:rPr>
                                      <w:rFonts w:ascii="標楷體" w:eastAsia="標楷體" w:hAnsi="標楷體" w:hint="eastAsia"/>
                                      <w:sz w:val="18"/>
                                      <w:szCs w:val="20"/>
                                    </w:rPr>
                                    <w:t>資料來源：整理自中華民國衛星廣播電視事業商業同業公會網站公開資料。</w:t>
                                  </w:r>
                                </w:p>
                              </w:tc>
                            </w:tr>
                          </w:tbl>
                          <w:p w14:paraId="5DA79B2E" w14:textId="77777777" w:rsidR="00CE57F9" w:rsidRPr="006134DD" w:rsidRDefault="00CE57F9" w:rsidP="00A54EAE">
                            <w:pPr>
                              <w:rPr>
                                <w:rFonts w:ascii="標楷體" w:eastAsia="標楷體" w:hAnsi="標楷體"/>
                              </w:rPr>
                            </w:pPr>
                          </w:p>
                        </w:txbxContent>
                      </wps:txbx>
                      <wps:bodyPr rot="0" vert="horz" wrap="square" lIns="72000" tIns="36000" rIns="72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4C3C2" id="_x0000_s1143" type="#_x0000_t202" style="position:absolute;left:0;text-align:left;margin-left:302.2pt;margin-top:68.3pt;width:193pt;height:102.55pt;z-index:-251643392;visibility:visible;mso-wrap-style:square;mso-width-percent:0;mso-height-percent:0;mso-wrap-distance-left:11.3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" filled="f" stroked="f">
                <v:textbox inset="2mm,1mm,2mm,1mm">
                  <w:txbxContent>
                    <w:tbl>
                      <w:tblPr>
                        <w:tblStyle w:val="222"/>
                        <w:tblOverlap w:val="never"/>
                        <w:tblW w:w="0" w:type="auto"/>
                        <w:jc w:val="center"/>
                        <w:tblLook w:val="04A0" w:firstRow="1" w:lastRow="0" w:firstColumn="1" w:lastColumn="0" w:noHBand="0" w:noVBand="1"/>
                      </w:tblPr>
                      <w:tblGrid>
                        <w:gridCol w:w="642"/>
                        <w:gridCol w:w="2841"/>
                      </w:tblGrid>
                      <w:tr w:rsidR="00CE57F9" w:rsidRPr="006134DD" w14:paraId="34A13E53" w14:textId="77777777" w:rsidTr="006457AF">
                        <w:trPr>
                          <w:trHeight w:val="20"/>
                          <w:jc w:val="center"/>
                        </w:trPr>
                        <w:tc>
                          <w:tcPr>
                            <w:tcW w:w="3483" w:type="dxa"/>
                            <w:gridSpan w:val="2"/>
                            <w:tcBorders>
                              <w:top w:val="nil"/>
                              <w:left w:val="nil"/>
                              <w:bottom w:val="nil"/>
                              <w:right w:val="nil"/>
                            </w:tcBorders>
                            <w:shd w:val="clear" w:color="auto" w:fill="auto"/>
                            <w:vAlign w:val="center"/>
                          </w:tcPr>
                          <w:p w14:paraId="6CA5EDD0" w14:textId="34C540C3" w:rsidR="00CE57F9" w:rsidRPr="006134DD" w:rsidRDefault="00CE57F9" w:rsidP="00E8164A">
                            <w:pPr>
                              <w:overflowPunct w:val="0"/>
                              <w:ind w:left="661" w:hangingChars="275" w:hanging="661"/>
                              <w:suppressOverlap/>
                              <w:jc w:val="center"/>
                              <w:textAlignment w:val="center"/>
                              <w:rPr>
                                <w:rFonts w:ascii="標楷體" w:eastAsia="標楷體" w:hAnsi="標楷體"/>
                                <w:b/>
                              </w:rPr>
                            </w:pPr>
                            <w:r w:rsidRPr="006134DD">
                              <w:rPr>
                                <w:rFonts w:ascii="標楷體" w:eastAsia="標楷體" w:hAnsi="標楷體" w:hint="eastAsia"/>
                                <w:b/>
                              </w:rPr>
                              <w:t>表</w:t>
                            </w:r>
                            <w:r>
                              <w:rPr>
                                <w:rFonts w:ascii="標楷體" w:eastAsia="標楷體" w:hAnsi="標楷體"/>
                                <w:b/>
                              </w:rPr>
                              <w:t>25</w:t>
                            </w:r>
                            <w:r w:rsidRPr="006134DD">
                              <w:rPr>
                                <w:rFonts w:ascii="標楷體" w:eastAsia="標楷體" w:hAnsi="標楷體" w:hint="eastAsia"/>
                                <w:b/>
                              </w:rPr>
                              <w:t xml:space="preserve">　開票作業計票來源</w:t>
                            </w:r>
                          </w:p>
                        </w:tc>
                      </w:tr>
                      <w:tr w:rsidR="00CE57F9" w:rsidRPr="006134DD" w14:paraId="5B66BE6C" w14:textId="77777777" w:rsidTr="006457AF">
                        <w:trPr>
                          <w:trHeight w:val="20"/>
                          <w:jc w:val="center"/>
                        </w:trPr>
                        <w:tc>
                          <w:tcPr>
                            <w:tcW w:w="642" w:type="dxa"/>
                            <w:vAlign w:val="center"/>
                          </w:tcPr>
                          <w:p w14:paraId="28E0C700" w14:textId="77777777" w:rsidR="00CE57F9" w:rsidRPr="006134DD" w:rsidRDefault="00CE57F9" w:rsidP="00493628">
                            <w:pPr>
                              <w:overflowPunct w:val="0"/>
                              <w:suppressOverlap/>
                              <w:jc w:val="distribute"/>
                              <w:textAlignment w:val="center"/>
                              <w:rPr>
                                <w:rFonts w:ascii="標楷體" w:eastAsia="標楷體" w:hAnsi="標楷體"/>
                                <w:sz w:val="20"/>
                                <w:szCs w:val="20"/>
                              </w:rPr>
                            </w:pPr>
                            <w:r>
                              <w:rPr>
                                <w:rFonts w:ascii="標楷體" w:eastAsia="標楷體" w:hAnsi="標楷體" w:hint="eastAsia"/>
                                <w:sz w:val="20"/>
                                <w:szCs w:val="20"/>
                              </w:rPr>
                              <w:t>序號</w:t>
                            </w:r>
                          </w:p>
                        </w:tc>
                        <w:tc>
                          <w:tcPr>
                            <w:tcW w:w="2841" w:type="dxa"/>
                            <w:vAlign w:val="center"/>
                          </w:tcPr>
                          <w:p w14:paraId="523F2477" w14:textId="77777777" w:rsidR="00CE57F9" w:rsidRPr="006134DD" w:rsidRDefault="00CE57F9" w:rsidP="00493628">
                            <w:pPr>
                              <w:overflowPunct w:val="0"/>
                              <w:suppressOverlap/>
                              <w:jc w:val="center"/>
                              <w:textAlignment w:val="center"/>
                              <w:rPr>
                                <w:rFonts w:ascii="標楷體" w:eastAsia="標楷體" w:hAnsi="標楷體"/>
                                <w:sz w:val="20"/>
                                <w:szCs w:val="20"/>
                              </w:rPr>
                            </w:pPr>
                            <w:r>
                              <w:rPr>
                                <w:rFonts w:ascii="標楷體" w:eastAsia="標楷體" w:hAnsi="標楷體" w:hint="eastAsia"/>
                                <w:sz w:val="20"/>
                                <w:szCs w:val="20"/>
                              </w:rPr>
                              <w:t xml:space="preserve">來　</w:t>
                            </w:r>
                            <w:r>
                              <w:rPr>
                                <w:rFonts w:ascii="標楷體" w:eastAsia="標楷體" w:hAnsi="標楷體"/>
                                <w:sz w:val="20"/>
                                <w:szCs w:val="20"/>
                              </w:rPr>
                              <w:t xml:space="preserve">　　　　　　　</w:t>
                            </w:r>
                            <w:r>
                              <w:rPr>
                                <w:rFonts w:ascii="標楷體" w:eastAsia="標楷體" w:hAnsi="標楷體" w:hint="eastAsia"/>
                                <w:sz w:val="20"/>
                                <w:szCs w:val="20"/>
                              </w:rPr>
                              <w:t>源</w:t>
                            </w:r>
                          </w:p>
                        </w:tc>
                      </w:tr>
                      <w:tr w:rsidR="00CE57F9" w:rsidRPr="006134DD" w14:paraId="3AEFAE61" w14:textId="77777777" w:rsidTr="006457AF">
                        <w:trPr>
                          <w:trHeight w:val="20"/>
                          <w:jc w:val="center"/>
                        </w:trPr>
                        <w:tc>
                          <w:tcPr>
                            <w:tcW w:w="642" w:type="dxa"/>
                            <w:vAlign w:val="center"/>
                          </w:tcPr>
                          <w:p w14:paraId="0FA4233B" w14:textId="77777777" w:rsidR="00CE57F9" w:rsidRPr="006134DD" w:rsidRDefault="00CE57F9" w:rsidP="00493628">
                            <w:pPr>
                              <w:overflowPunct w:val="0"/>
                              <w:suppressOverlap/>
                              <w:jc w:val="center"/>
                              <w:textAlignment w:val="center"/>
                              <w:rPr>
                                <w:rFonts w:ascii="標楷體" w:eastAsia="標楷體" w:hAnsi="標楷體"/>
                                <w:sz w:val="20"/>
                                <w:szCs w:val="20"/>
                              </w:rPr>
                            </w:pPr>
                            <w:r w:rsidRPr="006134DD">
                              <w:rPr>
                                <w:rFonts w:ascii="標楷體" w:eastAsia="標楷體" w:hAnsi="標楷體" w:hint="eastAsia"/>
                                <w:sz w:val="20"/>
                                <w:szCs w:val="20"/>
                              </w:rPr>
                              <w:t>1</w:t>
                            </w:r>
                          </w:p>
                        </w:tc>
                        <w:tc>
                          <w:tcPr>
                            <w:tcW w:w="2841" w:type="dxa"/>
                            <w:vAlign w:val="center"/>
                          </w:tcPr>
                          <w:p w14:paraId="26E85ACA" w14:textId="77777777" w:rsidR="00CE57F9" w:rsidRPr="006134DD" w:rsidRDefault="00CE57F9" w:rsidP="00493628">
                            <w:pPr>
                              <w:overflowPunct w:val="0"/>
                              <w:suppressOverlap/>
                              <w:textAlignment w:val="center"/>
                              <w:rPr>
                                <w:rFonts w:ascii="標楷體" w:eastAsia="標楷體" w:hAnsi="標楷體"/>
                                <w:sz w:val="20"/>
                                <w:szCs w:val="20"/>
                              </w:rPr>
                            </w:pPr>
                            <w:r w:rsidRPr="006134DD">
                              <w:rPr>
                                <w:rFonts w:ascii="標楷體" w:eastAsia="標楷體" w:hAnsi="標楷體" w:hint="eastAsia"/>
                                <w:sz w:val="20"/>
                                <w:szCs w:val="20"/>
                              </w:rPr>
                              <w:t>政黨計票</w:t>
                            </w:r>
                          </w:p>
                        </w:tc>
                      </w:tr>
                      <w:tr w:rsidR="00CE57F9" w:rsidRPr="006134DD" w14:paraId="78AE2B6D" w14:textId="77777777" w:rsidTr="006457AF">
                        <w:trPr>
                          <w:trHeight w:val="20"/>
                          <w:jc w:val="center"/>
                        </w:trPr>
                        <w:tc>
                          <w:tcPr>
                            <w:tcW w:w="642" w:type="dxa"/>
                            <w:vAlign w:val="center"/>
                          </w:tcPr>
                          <w:p w14:paraId="1801A585" w14:textId="77777777" w:rsidR="00CE57F9" w:rsidRPr="006134DD" w:rsidRDefault="00CE57F9" w:rsidP="00493628">
                            <w:pPr>
                              <w:overflowPunct w:val="0"/>
                              <w:suppressOverlap/>
                              <w:jc w:val="center"/>
                              <w:textAlignment w:val="center"/>
                              <w:rPr>
                                <w:rFonts w:ascii="標楷體" w:eastAsia="標楷體" w:hAnsi="標楷體"/>
                                <w:sz w:val="20"/>
                                <w:szCs w:val="20"/>
                              </w:rPr>
                            </w:pPr>
                            <w:r w:rsidRPr="006134DD">
                              <w:rPr>
                                <w:rFonts w:ascii="標楷體" w:eastAsia="標楷體" w:hAnsi="標楷體" w:hint="eastAsia"/>
                                <w:sz w:val="20"/>
                                <w:szCs w:val="20"/>
                              </w:rPr>
                              <w:t>2</w:t>
                            </w:r>
                          </w:p>
                        </w:tc>
                        <w:tc>
                          <w:tcPr>
                            <w:tcW w:w="2841" w:type="dxa"/>
                            <w:vAlign w:val="center"/>
                          </w:tcPr>
                          <w:p w14:paraId="12379079" w14:textId="77777777" w:rsidR="00CE57F9" w:rsidRPr="006134DD" w:rsidRDefault="00CE57F9" w:rsidP="00493628">
                            <w:pPr>
                              <w:overflowPunct w:val="0"/>
                              <w:suppressOverlap/>
                              <w:textAlignment w:val="center"/>
                              <w:rPr>
                                <w:rFonts w:ascii="標楷體" w:eastAsia="標楷體" w:hAnsi="標楷體"/>
                                <w:sz w:val="20"/>
                                <w:szCs w:val="20"/>
                              </w:rPr>
                            </w:pPr>
                            <w:r w:rsidRPr="006134DD">
                              <w:rPr>
                                <w:rFonts w:ascii="標楷體" w:eastAsia="標楷體" w:hAnsi="標楷體" w:hint="eastAsia"/>
                                <w:sz w:val="20"/>
                                <w:szCs w:val="20"/>
                              </w:rPr>
                              <w:t>候選人競選總部自行計票</w:t>
                            </w:r>
                          </w:p>
                        </w:tc>
                      </w:tr>
                      <w:tr w:rsidR="00CE57F9" w:rsidRPr="006134DD" w14:paraId="552E7EBB" w14:textId="77777777" w:rsidTr="006457AF">
                        <w:trPr>
                          <w:trHeight w:val="20"/>
                          <w:jc w:val="center"/>
                        </w:trPr>
                        <w:tc>
                          <w:tcPr>
                            <w:tcW w:w="642" w:type="dxa"/>
                            <w:vAlign w:val="center"/>
                          </w:tcPr>
                          <w:p w14:paraId="4CC4DAA6" w14:textId="77777777" w:rsidR="00CE57F9" w:rsidRPr="006134DD" w:rsidRDefault="00CE57F9" w:rsidP="00493628">
                            <w:pPr>
                              <w:overflowPunct w:val="0"/>
                              <w:suppressOverlap/>
                              <w:jc w:val="center"/>
                              <w:textAlignment w:val="center"/>
                              <w:rPr>
                                <w:rFonts w:ascii="標楷體" w:eastAsia="標楷體" w:hAnsi="標楷體"/>
                                <w:sz w:val="20"/>
                                <w:szCs w:val="20"/>
                              </w:rPr>
                            </w:pPr>
                            <w:r w:rsidRPr="006134DD">
                              <w:rPr>
                                <w:rFonts w:ascii="標楷體" w:eastAsia="標楷體" w:hAnsi="標楷體" w:hint="eastAsia"/>
                                <w:sz w:val="20"/>
                                <w:szCs w:val="20"/>
                              </w:rPr>
                              <w:t>3</w:t>
                            </w:r>
                          </w:p>
                        </w:tc>
                        <w:tc>
                          <w:tcPr>
                            <w:tcW w:w="2841" w:type="dxa"/>
                            <w:vAlign w:val="center"/>
                          </w:tcPr>
                          <w:p w14:paraId="3704FB6E" w14:textId="77777777" w:rsidR="00CE57F9" w:rsidRPr="006134DD" w:rsidRDefault="00CE57F9" w:rsidP="00493628">
                            <w:pPr>
                              <w:overflowPunct w:val="0"/>
                              <w:suppressOverlap/>
                              <w:textAlignment w:val="center"/>
                              <w:rPr>
                                <w:rFonts w:ascii="標楷體" w:eastAsia="標楷體" w:hAnsi="標楷體"/>
                                <w:sz w:val="20"/>
                                <w:szCs w:val="20"/>
                              </w:rPr>
                            </w:pPr>
                            <w:r w:rsidRPr="006134DD">
                              <w:rPr>
                                <w:rFonts w:ascii="標楷體" w:eastAsia="標楷體" w:hAnsi="標楷體" w:hint="eastAsia"/>
                                <w:sz w:val="20"/>
                                <w:szCs w:val="20"/>
                              </w:rPr>
                              <w:t>工讀生報票</w:t>
                            </w:r>
                          </w:p>
                        </w:tc>
                      </w:tr>
                      <w:tr w:rsidR="00CE57F9" w:rsidRPr="006134DD" w14:paraId="4111A9B0" w14:textId="77777777" w:rsidTr="006457AF">
                        <w:trPr>
                          <w:trHeight w:val="94"/>
                          <w:jc w:val="center"/>
                        </w:trPr>
                        <w:tc>
                          <w:tcPr>
                            <w:tcW w:w="3483" w:type="dxa"/>
                            <w:gridSpan w:val="2"/>
                            <w:tcBorders>
                              <w:top w:val="single" w:sz="4" w:space="0" w:color="auto"/>
                              <w:left w:val="nil"/>
                              <w:bottom w:val="nil"/>
                              <w:right w:val="nil"/>
                            </w:tcBorders>
                            <w:vAlign w:val="center"/>
                          </w:tcPr>
                          <w:p w14:paraId="73C0A89E" w14:textId="77777777" w:rsidR="00CE57F9" w:rsidRPr="00071087" w:rsidRDefault="00CE57F9" w:rsidP="006457AF">
                            <w:pPr>
                              <w:overflowPunct w:val="0"/>
                              <w:spacing w:line="200" w:lineRule="exact"/>
                              <w:ind w:leftChars="-50" w:left="744" w:hangingChars="480" w:hanging="864"/>
                              <w:suppressOverlap/>
                              <w:jc w:val="both"/>
                              <w:textAlignment w:val="center"/>
                              <w:rPr>
                                <w:rFonts w:ascii="標楷體" w:eastAsia="標楷體" w:hAnsi="標楷體"/>
                                <w:sz w:val="20"/>
                                <w:szCs w:val="20"/>
                              </w:rPr>
                            </w:pPr>
                            <w:r w:rsidRPr="00071087">
                              <w:rPr>
                                <w:rFonts w:ascii="標楷體" w:eastAsia="標楷體" w:hAnsi="標楷體" w:hint="eastAsia"/>
                                <w:sz w:val="18"/>
                                <w:szCs w:val="20"/>
                              </w:rPr>
                              <w:t>資料來源：整理自中華民國衛星廣播電視事業商業同業公會網站公開資料。</w:t>
                            </w:r>
                          </w:p>
                        </w:tc>
                      </w:tr>
                    </w:tbl>
                    <w:p w14:paraId="5DA79B2E" w14:textId="77777777" w:rsidR="00CE57F9" w:rsidRPr="006134DD" w:rsidRDefault="00CE57F9" w:rsidP="00A54EAE">
                      <w:pPr>
                        <w:rPr>
                          <w:rFonts w:ascii="標楷體" w:eastAsia="標楷體" w:hAnsi="標楷體"/>
                        </w:rPr>
                      </w:pPr>
                    </w:p>
                  </w:txbxContent>
                </v:textbox>
                <w10:wrap type="tight" anchorx="margin"/>
              </v:shape>
            </w:pict>
          </mc:Fallback>
        </mc:AlternateContent>
      </w:r>
      <w:r w:rsidR="004F5F76" w:rsidRPr="009D11AD">
        <w:rPr>
          <w:rFonts w:ascii="標楷體" w:eastAsia="標楷體" w:hAnsi="標楷體" w:hint="eastAsia"/>
          <w:bCs/>
          <w:noProof/>
          <w:color w:val="000000"/>
        </w:rPr>
        <w:t>會員，依該公會新聞自律執行綱要及公會公告之開票提醒與自律協議，製播新聞時應基於承擔公共責任及維護消費者權益之前提，將事實查證理念落實至採、編、播等環節，並明確責任歸屬，對於播送之內容應力求證據充足、避免無根據猜測，以確保產出內容的正確性，又選舉開票作業，必須秉持「真實、有所本，及可供查證」三大原則，除中選會計票系統來源外，若有不同來源（</w:t>
      </w:r>
      <w:r w:rsidR="004F5F76" w:rsidRPr="00346BDD">
        <w:rPr>
          <w:rFonts w:ascii="標楷體" w:eastAsia="標楷體" w:hAnsi="標楷體" w:hint="eastAsia"/>
          <w:bCs/>
          <w:noProof/>
          <w:color w:val="000000"/>
        </w:rPr>
        <w:t>表2</w:t>
      </w:r>
      <w:r w:rsidR="00B729E6" w:rsidRPr="00346BDD">
        <w:rPr>
          <w:rFonts w:ascii="標楷體" w:eastAsia="標楷體" w:hAnsi="標楷體" w:hint="eastAsia"/>
          <w:bCs/>
          <w:noProof/>
          <w:color w:val="000000"/>
        </w:rPr>
        <w:t>5</w:t>
      </w:r>
      <w:r w:rsidR="004F5F76" w:rsidRPr="009D11AD">
        <w:rPr>
          <w:rFonts w:ascii="標楷體" w:eastAsia="標楷體" w:hAnsi="標楷體" w:hint="eastAsia"/>
          <w:bCs/>
          <w:noProof/>
          <w:color w:val="000000"/>
        </w:rPr>
        <w:t>），必須清楚標示，並留存報票作業相關資料紀錄，必要時提供查證。鑑於部分電視臺報票作業未遵守上開新聞自律執行綱要及協議，開票間有為獲取高收視率而出現過度灌票情形，恐造成民眾情緒激動，衍生</w:t>
      </w:r>
      <w:r w:rsidR="00164AFA">
        <w:rPr>
          <w:rFonts w:ascii="標楷體" w:eastAsia="標楷體" w:hAnsi="標楷體" w:hint="eastAsia"/>
          <w:bCs/>
          <w:noProof/>
          <w:color w:val="000000"/>
        </w:rPr>
        <w:t>治安</w:t>
      </w:r>
      <w:r w:rsidR="004F5F76" w:rsidRPr="009D11AD">
        <w:rPr>
          <w:rFonts w:ascii="標楷體" w:eastAsia="標楷體" w:hAnsi="標楷體" w:hint="eastAsia"/>
          <w:bCs/>
          <w:noProof/>
          <w:color w:val="000000"/>
        </w:rPr>
        <w:t>事件發生之風險，致損害公共利益，經函請</w:t>
      </w:r>
      <w:r w:rsidR="00546970" w:rsidRPr="009D11AD">
        <w:rPr>
          <w:rFonts w:ascii="標楷體" w:eastAsia="標楷體" w:hAnsi="標楷體" w:hint="eastAsia"/>
          <w:bCs/>
          <w:noProof/>
          <w:color w:val="000000"/>
        </w:rPr>
        <w:t>國家通訊傳播委員會</w:t>
      </w:r>
      <w:r w:rsidR="004F5F76" w:rsidRPr="009D11AD">
        <w:rPr>
          <w:rFonts w:ascii="標楷體" w:eastAsia="標楷體" w:hAnsi="標楷體" w:hint="eastAsia"/>
          <w:bCs/>
          <w:noProof/>
          <w:color w:val="000000"/>
        </w:rPr>
        <w:t>加強監督廣電媒體製播新聞內部控管、同業自律及落實法遵情形。據復：已於選後辦理111年地方公職人員選舉後電視事業落實開票真實有所本交流會議，另有關電視臺開票涉有不實相關申訴案件，經召開廣播電視節目廣告諮詢會議作成處理建議，並由委員會議審議決議，函請電視臺改進，違規核處相關紀錄將納入營運計畫評鑑、換照之重點考量項目。</w:t>
      </w:r>
    </w:p>
    <w:p w14:paraId="288EF739" w14:textId="362C2D7F" w:rsidR="004F5F76" w:rsidRPr="009D11AD" w:rsidRDefault="004F5F76" w:rsidP="00860D54">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 xml:space="preserve">（三十五）　</w:t>
      </w:r>
      <w:r w:rsidRPr="009D11AD">
        <w:rPr>
          <w:rFonts w:hAnsi="標楷體" w:hint="eastAsia"/>
          <w:b/>
          <w:snapToGrid w:val="0"/>
          <w:sz w:val="28"/>
          <w:szCs w:val="28"/>
        </w:rPr>
        <w:t>行動通訊網路普及率等電信產業國際競爭力，業經國際評比機構肯定</w:t>
      </w:r>
      <w:r w:rsidRPr="009D11AD">
        <w:rPr>
          <w:rFonts w:hAnsi="標楷體" w:hint="eastAsia"/>
          <w:b/>
          <w:snapToGrid w:val="0"/>
          <w:spacing w:val="-2"/>
          <w:sz w:val="28"/>
          <w:szCs w:val="28"/>
        </w:rPr>
        <w:t>，惟部分評比指標尚有精進空間，允宜賡續盤點我國通訊產業發展挑戰，引導電信業者強化電信網路競爭弱勢項目，俾提升數位國力與保障消費者使用權益</w:t>
      </w:r>
      <w:r w:rsidRPr="009D11AD">
        <w:rPr>
          <w:rFonts w:hAnsi="標楷體" w:hint="eastAsia"/>
          <w:b/>
          <w:color w:val="000000" w:themeColor="text1"/>
          <w:spacing w:val="-2"/>
          <w:sz w:val="28"/>
          <w:szCs w:val="28"/>
        </w:rPr>
        <w:t>。</w:t>
      </w:r>
    </w:p>
    <w:p w14:paraId="0FAF1822" w14:textId="6176EB1B" w:rsidR="004F5F76" w:rsidRPr="009D11AD" w:rsidRDefault="004F5F76" w:rsidP="00DA2751">
      <w:pPr>
        <w:overflowPunct w:val="0"/>
        <w:autoSpaceDE w:val="0"/>
        <w:autoSpaceDN w:val="0"/>
        <w:snapToGrid w:val="0"/>
        <w:spacing w:line="430" w:lineRule="exact"/>
        <w:ind w:rightChars="-1" w:right="-2" w:firstLineChars="200" w:firstLine="480"/>
        <w:jc w:val="both"/>
        <w:rPr>
          <w:rFonts w:ascii="標楷體" w:eastAsia="標楷體" w:hAnsi="標楷體"/>
          <w:color w:val="FF0000"/>
        </w:rPr>
      </w:pPr>
      <w:r w:rsidRPr="009D11AD">
        <w:rPr>
          <w:rFonts w:ascii="標楷體" w:eastAsia="標楷體" w:hAnsi="標楷體" w:hint="eastAsia"/>
          <w:bCs/>
          <w:noProof/>
          <w:color w:val="000000"/>
        </w:rPr>
        <w:t>政府為健全電信產業發展，鼓勵創新服務，促進市場公平競爭與電信基礎建設，保障消費者權益，於108年6月26</w:t>
      </w:r>
      <w:r w:rsidR="00672104" w:rsidRPr="009D11AD">
        <w:rPr>
          <w:rFonts w:ascii="標楷體" w:eastAsia="標楷體" w:hAnsi="標楷體" w:hint="eastAsia"/>
          <w:bCs/>
          <w:noProof/>
          <w:color w:val="000000"/>
        </w:rPr>
        <w:t>日</w:t>
      </w:r>
      <w:r w:rsidRPr="009D11AD">
        <w:rPr>
          <w:rFonts w:ascii="標楷體" w:eastAsia="標楷體" w:hAnsi="標楷體" w:hint="eastAsia"/>
          <w:bCs/>
          <w:noProof/>
          <w:color w:val="000000"/>
        </w:rPr>
        <w:t>公布電信管理法，確保公眾電信網路資源合理使用與效率，增進技術發展與互通應用，以強化我國電信產業國際競爭力。據國際評比機構瑞士洛桑管理學院</w:t>
      </w:r>
      <w:r w:rsidR="007F2B71" w:rsidRPr="0053779E">
        <w:rPr>
          <w:rFonts w:ascii="標楷體" w:eastAsia="標楷體" w:hAnsi="標楷體" w:hint="eastAsia"/>
          <w:kern w:val="0"/>
          <w:szCs w:val="32"/>
        </w:rPr>
        <w:t>（International Institute for Management Development, IMD）</w:t>
      </w:r>
      <w:r w:rsidRPr="0053779E">
        <w:rPr>
          <w:rFonts w:ascii="標楷體" w:eastAsia="標楷體" w:hAnsi="標楷體" w:hint="eastAsia"/>
          <w:bCs/>
          <w:noProof/>
          <w:color w:val="000000"/>
        </w:rPr>
        <w:t>於2019至2022年公布之「IMD</w:t>
      </w:r>
      <w:r w:rsidRPr="0053779E">
        <w:rPr>
          <w:rFonts w:ascii="標楷體" w:eastAsia="標楷體" w:hAnsi="標楷體" w:hint="eastAsia"/>
          <w:bCs/>
          <w:noProof/>
          <w:color w:val="000000"/>
        </w:rPr>
        <w:lastRenderedPageBreak/>
        <w:t>世界競爭力年報」載列，與電信</w:t>
      </w:r>
      <w:r w:rsidRPr="009D11AD">
        <w:rPr>
          <w:rFonts w:ascii="標楷體" w:eastAsia="標楷體" w:hAnsi="標楷體" w:hint="eastAsia"/>
          <w:bCs/>
          <w:noProof/>
          <w:color w:val="000000"/>
        </w:rPr>
        <w:t>產業競爭力攸關之5項評比指標中</w:t>
      </w:r>
      <w:r w:rsidRPr="00346BDD">
        <w:rPr>
          <w:rFonts w:ascii="標楷體" w:eastAsia="標楷體" w:hAnsi="標楷體" w:hint="eastAsia"/>
          <w:bCs/>
          <w:noProof/>
          <w:color w:val="000000"/>
        </w:rPr>
        <w:t>（圖1</w:t>
      </w:r>
      <w:r w:rsidR="00105077" w:rsidRPr="00346BDD">
        <w:rPr>
          <w:rFonts w:ascii="標楷體" w:eastAsia="標楷體" w:hAnsi="標楷體" w:hint="eastAsia"/>
          <w:bCs/>
          <w:noProof/>
          <w:color w:val="000000"/>
        </w:rPr>
        <w:t>1</w:t>
      </w:r>
      <w:r w:rsidRPr="00346BDD">
        <w:rPr>
          <w:rFonts w:ascii="標楷體" w:eastAsia="標楷體" w:hAnsi="標楷體" w:hint="eastAsia"/>
          <w:bCs/>
          <w:noProof/>
          <w:color w:val="000000"/>
        </w:rPr>
        <w:t>）</w:t>
      </w:r>
      <w:r w:rsidRPr="009D11AD">
        <w:rPr>
          <w:rFonts w:ascii="標楷體" w:eastAsia="標楷體" w:hAnsi="標楷體" w:hint="eastAsia"/>
          <w:bCs/>
          <w:noProof/>
          <w:color w:val="000000"/>
        </w:rPr>
        <w:t>，2022年「行動寬頻用戶市場占比」指標，我國排名為63個受評國家或經濟體之第1名，顯示我國第4代（4G）及第5代（5G）行動通訊網路普及，占國內行動通訊市場比重位居全球領先地位；「網路頻寬速率」指</w:t>
      </w:r>
      <w:r w:rsidR="00D66F89" w:rsidRPr="009D11AD">
        <w:rPr>
          <w:rFonts w:ascii="標楷體" w:eastAsia="標楷體" w:hAnsi="標楷體"/>
          <w:bCs/>
          <w:noProof/>
          <w:color w:val="000000"/>
        </w:rPr>
        <mc:AlternateContent>
          <mc:Choice Requires="wps">
            <w:drawing>
              <wp:anchor distT="45720" distB="45720" distL="114300" distR="114300" simplePos="0" relativeHeight="251671040" behindDoc="1" locked="0" layoutInCell="1" allowOverlap="1" wp14:anchorId="0CF876B2" wp14:editId="179A1443">
                <wp:simplePos x="0" y="0"/>
                <wp:positionH relativeFrom="column">
                  <wp:posOffset>2315210</wp:posOffset>
                </wp:positionH>
                <wp:positionV relativeFrom="paragraph">
                  <wp:posOffset>17780</wp:posOffset>
                </wp:positionV>
                <wp:extent cx="3974400" cy="3038400"/>
                <wp:effectExtent l="0" t="0" r="7620" b="0"/>
                <wp:wrapTight wrapText="bothSides">
                  <wp:wrapPolygon edited="0">
                    <wp:start x="0" y="0"/>
                    <wp:lineTo x="0" y="21401"/>
                    <wp:lineTo x="21538" y="21401"/>
                    <wp:lineTo x="21538" y="0"/>
                    <wp:lineTo x="0" y="0"/>
                  </wp:wrapPolygon>
                </wp:wrapTight>
                <wp:docPr id="6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4400" cy="3038400"/>
                        </a:xfrm>
                        <a:prstGeom prst="rect">
                          <a:avLst/>
                        </a:prstGeom>
                        <a:solidFill>
                          <a:srgbClr val="FFFFFF"/>
                        </a:solidFill>
                        <a:ln w="9525">
                          <a:noFill/>
                          <a:miter lim="800000"/>
                          <a:headEnd/>
                          <a:tailEnd/>
                        </a:ln>
                      </wps:spPr>
                      <wps:txbx>
                        <w:txbxContent>
                          <w:p w14:paraId="19B90B71" w14:textId="0665F875" w:rsidR="00CE57F9" w:rsidRPr="00DB6D61" w:rsidRDefault="00CE57F9" w:rsidP="00D66F89">
                            <w:pPr>
                              <w:spacing w:afterLines="50" w:after="180" w:line="280" w:lineRule="exact"/>
                              <w:ind w:left="721" w:hangingChars="300" w:hanging="721"/>
                              <w:jc w:val="center"/>
                              <w:rPr>
                                <w:rFonts w:ascii="標楷體" w:eastAsia="標楷體" w:hAnsi="標楷體"/>
                                <w:b/>
                                <w:snapToGrid w:val="0"/>
                                <w:kern w:val="0"/>
                              </w:rPr>
                            </w:pPr>
                            <w:r w:rsidRPr="00DA2751">
                              <w:rPr>
                                <w:rFonts w:ascii="標楷體" w:eastAsia="標楷體" w:hAnsi="標楷體" w:hint="eastAsia"/>
                                <w:b/>
                                <w:snapToGrid w:val="0"/>
                                <w:kern w:val="0"/>
                              </w:rPr>
                              <w:t>圖</w:t>
                            </w:r>
                            <w:r w:rsidRPr="00DA2751">
                              <w:rPr>
                                <w:rFonts w:ascii="標楷體" w:eastAsia="標楷體" w:hAnsi="標楷體"/>
                                <w:b/>
                                <w:snapToGrid w:val="0"/>
                                <w:kern w:val="0"/>
                              </w:rPr>
                              <w:t>11</w:t>
                            </w:r>
                            <w:r w:rsidRPr="00DA2751">
                              <w:rPr>
                                <w:rFonts w:ascii="標楷體" w:eastAsia="標楷體" w:hAnsi="標楷體" w:hint="eastAsia"/>
                                <w:b/>
                                <w:snapToGrid w:val="0"/>
                                <w:kern w:val="0"/>
                              </w:rPr>
                              <w:t xml:space="preserve">　我國電信產業指標於</w:t>
                            </w:r>
                            <w:r w:rsidRPr="00DA2751">
                              <w:rPr>
                                <w:rFonts w:ascii="標楷體" w:eastAsia="標楷體" w:hAnsi="標楷體"/>
                                <w:b/>
                                <w:snapToGrid w:val="0"/>
                                <w:kern w:val="0"/>
                              </w:rPr>
                              <w:t>IMD</w:t>
                            </w:r>
                            <w:r w:rsidRPr="00DA2751">
                              <w:rPr>
                                <w:rFonts w:ascii="標楷體" w:eastAsia="標楷體" w:hAnsi="標楷體" w:hint="eastAsia"/>
                                <w:b/>
                                <w:snapToGrid w:val="0"/>
                                <w:kern w:val="0"/>
                              </w:rPr>
                              <w:t>世界競爭力年報排名情形</w:t>
                            </w:r>
                          </w:p>
                          <w:p w14:paraId="6AF8B84D" w14:textId="7D70EFCF" w:rsidR="00CE57F9" w:rsidRDefault="00CE57F9" w:rsidP="00D66F89">
                            <w:pPr>
                              <w:jc w:val="center"/>
                              <w:rPr>
                                <w:noProof/>
                              </w:rPr>
                            </w:pPr>
                            <w:r>
                              <w:rPr>
                                <w:noProof/>
                              </w:rPr>
                              <w:drawing>
                                <wp:inline distT="0" distB="0" distL="0" distR="0" wp14:anchorId="5993C86D" wp14:editId="41D972C3">
                                  <wp:extent cx="3894455" cy="2489918"/>
                                  <wp:effectExtent l="0" t="0" r="0" b="5715"/>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2949" t="31001" r="39834" b="16368"/>
                                          <a:stretch/>
                                        </pic:blipFill>
                                        <pic:spPr bwMode="auto">
                                          <a:xfrm>
                                            <a:off x="0" y="0"/>
                                            <a:ext cx="3894455" cy="2489918"/>
                                          </a:xfrm>
                                          <a:prstGeom prst="rect">
                                            <a:avLst/>
                                          </a:prstGeom>
                                          <a:ln>
                                            <a:noFill/>
                                          </a:ln>
                                          <a:extLst>
                                            <a:ext uri="{53640926-AAD7-44D8-BBD7-CCE9431645EC}">
                                              <a14:shadowObscured xmlns:a14="http://schemas.microsoft.com/office/drawing/2010/main"/>
                                            </a:ext>
                                          </a:extLst>
                                        </pic:spPr>
                                      </pic:pic>
                                    </a:graphicData>
                                  </a:graphic>
                                </wp:inline>
                              </w:drawing>
                            </w:r>
                          </w:p>
                          <w:p w14:paraId="62C36266" w14:textId="77777777" w:rsidR="00CE57F9" w:rsidRPr="003C6859" w:rsidRDefault="00CE57F9" w:rsidP="00D66F89">
                            <w:pPr>
                              <w:widowControl/>
                              <w:spacing w:line="240" w:lineRule="exact"/>
                              <w:rPr>
                                <w:rFonts w:ascii="標楷體" w:eastAsia="標楷體" w:hAnsi="標楷體"/>
                                <w:sz w:val="18"/>
                                <w:szCs w:val="18"/>
                              </w:rPr>
                            </w:pPr>
                            <w:r w:rsidRPr="003C6859">
                              <w:rPr>
                                <w:rFonts w:ascii="標楷體" w:eastAsia="標楷體" w:hAnsi="標楷體" w:hint="eastAsia"/>
                                <w:kern w:val="0"/>
                                <w:sz w:val="18"/>
                                <w:szCs w:val="18"/>
                              </w:rPr>
                              <w:t>資料來源：整理自</w:t>
                            </w:r>
                            <w:r w:rsidRPr="00546970">
                              <w:rPr>
                                <w:rFonts w:ascii="標楷體" w:eastAsia="標楷體" w:hAnsi="標楷體" w:hint="eastAsia"/>
                                <w:kern w:val="0"/>
                                <w:sz w:val="18"/>
                                <w:szCs w:val="18"/>
                              </w:rPr>
                              <w:t>國家通訊傳播委員會</w:t>
                            </w:r>
                            <w:r w:rsidRPr="003C6859">
                              <w:rPr>
                                <w:rFonts w:ascii="標楷體" w:eastAsia="標楷體" w:hAnsi="標楷體" w:hint="eastAsia"/>
                                <w:kern w:val="0"/>
                                <w:sz w:val="18"/>
                                <w:szCs w:val="18"/>
                              </w:rPr>
                              <w:t>提供資料。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CF876B2" id="_x0000_s1144" type="#_x0000_t202" style="position:absolute;left:0;text-align:left;margin-left:182.3pt;margin-top:1.4pt;width:312.95pt;height:239.25pt;z-index:-251645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" stroked="f">
                <v:textbox inset="1mm,1mm,1mm,1mm">
                  <w:txbxContent>
                    <w:p w14:paraId="19B90B71" w14:textId="0665F875" w:rsidR="00CE57F9" w:rsidRPr="00DB6D61" w:rsidRDefault="00CE57F9" w:rsidP="00D66F89">
                      <w:pPr>
                        <w:spacing w:afterLines="50" w:after="180" w:line="280" w:lineRule="exact"/>
                        <w:ind w:left="721" w:hangingChars="300" w:hanging="721"/>
                        <w:jc w:val="center"/>
                        <w:rPr>
                          <w:rFonts w:ascii="標楷體" w:eastAsia="標楷體" w:hAnsi="標楷體"/>
                          <w:b/>
                          <w:snapToGrid w:val="0"/>
                          <w:kern w:val="0"/>
                        </w:rPr>
                      </w:pPr>
                      <w:r w:rsidRPr="00DA2751">
                        <w:rPr>
                          <w:rFonts w:ascii="標楷體" w:eastAsia="標楷體" w:hAnsi="標楷體" w:hint="eastAsia"/>
                          <w:b/>
                          <w:snapToGrid w:val="0"/>
                          <w:kern w:val="0"/>
                        </w:rPr>
                        <w:t>圖</w:t>
                      </w:r>
                      <w:r w:rsidRPr="00DA2751">
                        <w:rPr>
                          <w:rFonts w:ascii="標楷體" w:eastAsia="標楷體" w:hAnsi="標楷體"/>
                          <w:b/>
                          <w:snapToGrid w:val="0"/>
                          <w:kern w:val="0"/>
                        </w:rPr>
                        <w:t>11</w:t>
                      </w:r>
                      <w:r w:rsidRPr="00DA2751">
                        <w:rPr>
                          <w:rFonts w:ascii="標楷體" w:eastAsia="標楷體" w:hAnsi="標楷體" w:hint="eastAsia"/>
                          <w:b/>
                          <w:snapToGrid w:val="0"/>
                          <w:kern w:val="0"/>
                        </w:rPr>
                        <w:t xml:space="preserve">　我國電信產業指標於</w:t>
                      </w:r>
                      <w:r w:rsidRPr="00DA2751">
                        <w:rPr>
                          <w:rFonts w:ascii="標楷體" w:eastAsia="標楷體" w:hAnsi="標楷體"/>
                          <w:b/>
                          <w:snapToGrid w:val="0"/>
                          <w:kern w:val="0"/>
                        </w:rPr>
                        <w:t>IMD</w:t>
                      </w:r>
                      <w:r w:rsidRPr="00DA2751">
                        <w:rPr>
                          <w:rFonts w:ascii="標楷體" w:eastAsia="標楷體" w:hAnsi="標楷體" w:hint="eastAsia"/>
                          <w:b/>
                          <w:snapToGrid w:val="0"/>
                          <w:kern w:val="0"/>
                        </w:rPr>
                        <w:t>世界競爭力年報排名情形</w:t>
                      </w:r>
                    </w:p>
                    <w:p w14:paraId="6AF8B84D" w14:textId="7D70EFCF" w:rsidR="00CE57F9" w:rsidRDefault="00CE57F9" w:rsidP="00D66F89">
                      <w:pPr>
                        <w:jc w:val="center"/>
                        <w:rPr>
                          <w:noProof/>
                        </w:rPr>
                      </w:pPr>
                      <w:r>
                        <w:rPr>
                          <w:noProof/>
                        </w:rPr>
                        <w:drawing>
                          <wp:inline distT="0" distB="0" distL="0" distR="0" wp14:anchorId="5993C86D" wp14:editId="41D972C3">
                            <wp:extent cx="3894455" cy="2489918"/>
                            <wp:effectExtent l="0" t="0" r="0" b="5715"/>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2949" t="31001" r="39834" b="16368"/>
                                    <a:stretch/>
                                  </pic:blipFill>
                                  <pic:spPr bwMode="auto">
                                    <a:xfrm>
                                      <a:off x="0" y="0"/>
                                      <a:ext cx="3894455" cy="2489918"/>
                                    </a:xfrm>
                                    <a:prstGeom prst="rect">
                                      <a:avLst/>
                                    </a:prstGeom>
                                    <a:ln>
                                      <a:noFill/>
                                    </a:ln>
                                    <a:extLst>
                                      <a:ext uri="{53640926-AAD7-44D8-BBD7-CCE9431645EC}">
                                        <a14:shadowObscured xmlns:a14="http://schemas.microsoft.com/office/drawing/2010/main"/>
                                      </a:ext>
                                    </a:extLst>
                                  </pic:spPr>
                                </pic:pic>
                              </a:graphicData>
                            </a:graphic>
                          </wp:inline>
                        </w:drawing>
                      </w:r>
                    </w:p>
                    <w:p w14:paraId="62C36266" w14:textId="77777777" w:rsidR="00CE57F9" w:rsidRPr="003C6859" w:rsidRDefault="00CE57F9" w:rsidP="00D66F89">
                      <w:pPr>
                        <w:widowControl/>
                        <w:spacing w:line="240" w:lineRule="exact"/>
                        <w:rPr>
                          <w:rFonts w:ascii="標楷體" w:eastAsia="標楷體" w:hAnsi="標楷體"/>
                          <w:sz w:val="18"/>
                          <w:szCs w:val="18"/>
                        </w:rPr>
                      </w:pPr>
                      <w:r w:rsidRPr="003C6859">
                        <w:rPr>
                          <w:rFonts w:ascii="標楷體" w:eastAsia="標楷體" w:hAnsi="標楷體" w:hint="eastAsia"/>
                          <w:kern w:val="0"/>
                          <w:sz w:val="18"/>
                          <w:szCs w:val="18"/>
                        </w:rPr>
                        <w:t>資料來源：整理自</w:t>
                      </w:r>
                      <w:r w:rsidRPr="00546970">
                        <w:rPr>
                          <w:rFonts w:ascii="標楷體" w:eastAsia="標楷體" w:hAnsi="標楷體" w:hint="eastAsia"/>
                          <w:kern w:val="0"/>
                          <w:sz w:val="18"/>
                          <w:szCs w:val="18"/>
                        </w:rPr>
                        <w:t>國家通訊傳播委員會</w:t>
                      </w:r>
                      <w:r w:rsidRPr="003C6859">
                        <w:rPr>
                          <w:rFonts w:ascii="標楷體" w:eastAsia="標楷體" w:hAnsi="標楷體" w:hint="eastAsia"/>
                          <w:kern w:val="0"/>
                          <w:sz w:val="18"/>
                          <w:szCs w:val="18"/>
                        </w:rPr>
                        <w:t>提供資料。</w:t>
                      </w:r>
                    </w:p>
                  </w:txbxContent>
                </v:textbox>
                <w10:wrap type="tight"/>
              </v:shape>
            </w:pict>
          </mc:Fallback>
        </mc:AlternateContent>
      </w:r>
      <w:r w:rsidRPr="009D11AD">
        <w:rPr>
          <w:rFonts w:ascii="標楷體" w:eastAsia="標楷體" w:hAnsi="標楷體" w:hint="eastAsia"/>
          <w:bCs/>
          <w:noProof/>
          <w:color w:val="000000"/>
        </w:rPr>
        <w:t>標，我國排名為第20名，亦領先大多受評國家或經濟體，惟與前2年相較，排名有逐年下滑趨勢，據</w:t>
      </w:r>
      <w:r w:rsidR="00546970" w:rsidRPr="009D11AD">
        <w:rPr>
          <w:rFonts w:ascii="標楷體" w:eastAsia="標楷體" w:hAnsi="標楷體" w:hint="eastAsia"/>
          <w:bCs/>
          <w:noProof/>
          <w:color w:val="000000"/>
        </w:rPr>
        <w:t>國家通訊傳播委員會</w:t>
      </w:r>
      <w:r w:rsidRPr="009D11AD">
        <w:rPr>
          <w:rFonts w:ascii="標楷體" w:eastAsia="標楷體" w:hAnsi="標楷體" w:hint="eastAsia"/>
          <w:bCs/>
          <w:noProof/>
          <w:color w:val="000000"/>
        </w:rPr>
        <w:t>說明為提高網路頻寬平均速率，已要求行動通信業者每年依網路建置計畫進行網路布建，並輔以獎助方式鼓勵超額建置；另「行動電話成本」、「寬頻用戶普及率」等2項指標，我國排名第34名及第38名，且近3年排名介於34至42名之間，屬競爭弱勢項目，據該會說明，已透過降低行動寬頻網路接續費率，引導各電信業者推出優惠資費，以降低行動電話成本，另寬頻用戶普及率因國內用戶偏好數據使用無限量方案，未來仍將致力營造有利新興技術發展環境，強化國際評比排名；至「電信投資」指標，我國排名第57名，僅領先6個受評國家或經濟體，且與前2年相較，排名呈逐年下滑趨勢，據該會說明主要係我國固網寬頻涵蓋率較高，投資金額成長幅度有限所致，將透過智慧國家方案帶動電信事業投入行動寬頻基地臺建置，以提升電信投資金額。</w:t>
      </w:r>
      <w:r w:rsidR="00164AFA">
        <w:rPr>
          <w:rFonts w:ascii="標楷體" w:eastAsia="標楷體" w:hAnsi="標楷體" w:hint="eastAsia"/>
          <w:bCs/>
          <w:noProof/>
          <w:color w:val="000000"/>
        </w:rPr>
        <w:t>鑑於</w:t>
      </w:r>
      <w:r w:rsidRPr="009D11AD">
        <w:rPr>
          <w:rFonts w:ascii="標楷體" w:eastAsia="標楷體" w:hAnsi="標楷體" w:hint="eastAsia"/>
          <w:bCs/>
          <w:noProof/>
          <w:color w:val="000000"/>
        </w:rPr>
        <w:t>我國行動通訊網路普及率等電信產業國際競爭力，業經國際評比機構肯定，惟部分評比指標尚有精進空間</w:t>
      </w:r>
      <w:r w:rsidRPr="009D11AD">
        <w:rPr>
          <w:rFonts w:ascii="標楷體" w:eastAsia="標楷體" w:hAnsi="標楷體" w:hint="eastAsia"/>
        </w:rPr>
        <w:t>，經函請</w:t>
      </w:r>
      <w:r w:rsidR="00546970" w:rsidRPr="009D11AD">
        <w:rPr>
          <w:rFonts w:ascii="標楷體" w:eastAsia="標楷體" w:hAnsi="標楷體" w:hint="eastAsia"/>
        </w:rPr>
        <w:t>國家通訊傳播委員會</w:t>
      </w:r>
      <w:r w:rsidRPr="009D11AD">
        <w:rPr>
          <w:rFonts w:ascii="標楷體" w:eastAsia="標楷體" w:hAnsi="標楷體" w:hint="eastAsia"/>
        </w:rPr>
        <w:t>賡續盤點我國通訊產業發展挑戰，引導電信業者強化電信網路競爭弱勢項目，俾提升數位國力與保障消費者使用權益。據復：</w:t>
      </w:r>
      <w:r w:rsidR="00164AFA">
        <w:rPr>
          <w:rFonts w:ascii="標楷體" w:eastAsia="標楷體" w:hAnsi="標楷體" w:hint="eastAsia"/>
        </w:rPr>
        <w:t>將</w:t>
      </w:r>
      <w:r w:rsidR="00644492" w:rsidRPr="009D11AD">
        <w:rPr>
          <w:rFonts w:ascii="標楷體" w:eastAsia="標楷體" w:hAnsi="標楷體" w:hint="eastAsia"/>
        </w:rPr>
        <w:t>藉由電信資費管制機制，調降中間批發價及接續費率，促進市場競爭，引導各電信業者推出優惠資費，以降低行動電話成本，並引導業者因應關鍵應用服務發展，逐步穩固增加電信投資支出。</w:t>
      </w:r>
    </w:p>
    <w:p w14:paraId="56492DD1" w14:textId="2E546885" w:rsidR="00962E5B" w:rsidRPr="009D11AD" w:rsidRDefault="00962E5B" w:rsidP="00860D54">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9D11AD">
        <w:rPr>
          <w:rFonts w:hAnsi="標楷體" w:hint="eastAsia"/>
          <w:b/>
          <w:color w:val="000000" w:themeColor="text1"/>
          <w:sz w:val="28"/>
          <w:szCs w:val="28"/>
        </w:rPr>
        <w:t>（三十六）　國家運輸安全調查委員會為應太空發展法施行，擴大安全調查範圍至太空領域，允宜參酌國際及國內太空產業與事故調查發展趨勢，妥謀整備相關資源並健全管理制度，俾利遂行調查職能</w:t>
      </w:r>
      <w:r w:rsidRPr="009D11AD">
        <w:rPr>
          <w:rFonts w:hAnsi="標楷體" w:hint="eastAsia"/>
          <w:b/>
          <w:color w:val="000000" w:themeColor="text1"/>
          <w:spacing w:val="-2"/>
          <w:sz w:val="28"/>
          <w:szCs w:val="28"/>
        </w:rPr>
        <w:t>。</w:t>
      </w:r>
    </w:p>
    <w:p w14:paraId="506F7CD2" w14:textId="57CC42E5" w:rsidR="00962E5B" w:rsidRPr="00DA2751" w:rsidRDefault="00962E5B" w:rsidP="00DA2751">
      <w:pPr>
        <w:overflowPunct w:val="0"/>
        <w:spacing w:line="430" w:lineRule="exact"/>
        <w:ind w:firstLineChars="200" w:firstLine="480"/>
        <w:jc w:val="both"/>
        <w:rPr>
          <w:rFonts w:ascii="標楷體" w:eastAsia="標楷體" w:hAnsi="標楷體"/>
          <w:szCs w:val="24"/>
        </w:rPr>
      </w:pPr>
      <w:r w:rsidRPr="00DA2751">
        <w:rPr>
          <w:rFonts w:ascii="標楷體" w:eastAsia="標楷體" w:hAnsi="標楷體" w:hint="eastAsia"/>
          <w:szCs w:val="24"/>
        </w:rPr>
        <w:t>歐洲太空總署（</w:t>
      </w:r>
      <w:r w:rsidRPr="00DA2751">
        <w:rPr>
          <w:rFonts w:ascii="標楷體" w:eastAsia="標楷體" w:hAnsi="標楷體"/>
          <w:szCs w:val="24"/>
        </w:rPr>
        <w:t>European Space Agency）為因應美國私營航太企業Space X已具備製造、發射、回收及運載火箭能力，並發射載人飛船及衛星系統進入各種軌道，於2022年2月16日</w:t>
      </w:r>
      <w:r w:rsidRPr="0053779E">
        <w:rPr>
          <w:rFonts w:ascii="標楷體" w:eastAsia="標楷體" w:hAnsi="標楷體"/>
          <w:szCs w:val="24"/>
        </w:rPr>
        <w:t>召開會議研議於太空交通管理方面，由歐盟推動太空通用規範。美國政府考量私人企業投入搭</w:t>
      </w:r>
      <w:r w:rsidRPr="00DA2751">
        <w:rPr>
          <w:rFonts w:ascii="標楷體" w:eastAsia="標楷體" w:hAnsi="標楷體"/>
          <w:szCs w:val="24"/>
        </w:rPr>
        <w:lastRenderedPageBreak/>
        <w:t>載旅客進入太空之產（服務）業與日俱增，為確保美國商業太空產業安全性及穩健發展，美國國家運輸安全委員</w:t>
      </w:r>
      <w:r w:rsidRPr="00DA2751">
        <w:rPr>
          <w:rFonts w:ascii="標楷體" w:eastAsia="標楷體" w:hAnsi="標楷體" w:hint="eastAsia"/>
          <w:szCs w:val="24"/>
        </w:rPr>
        <w:t>會（</w:t>
      </w:r>
      <w:r w:rsidRPr="00DA2751">
        <w:rPr>
          <w:rFonts w:ascii="標楷體" w:eastAsia="標楷體" w:hAnsi="標楷體"/>
          <w:szCs w:val="24"/>
        </w:rPr>
        <w:t>National Transportation Safety Board, NTSB</w:t>
      </w:r>
      <w:r w:rsidRPr="00DA2751">
        <w:rPr>
          <w:rFonts w:ascii="標楷體" w:eastAsia="標楷體" w:hAnsi="標楷體" w:hint="eastAsia"/>
          <w:szCs w:val="24"/>
        </w:rPr>
        <w:t>）於</w:t>
      </w:r>
      <w:r w:rsidRPr="00DA2751">
        <w:rPr>
          <w:rFonts w:ascii="標楷體" w:eastAsia="標楷體" w:hAnsi="標楷體"/>
          <w:szCs w:val="24"/>
        </w:rPr>
        <w:t>2022年9月間與聯邦航空總署</w:t>
      </w:r>
      <w:r w:rsidRPr="00DA2751">
        <w:rPr>
          <w:rFonts w:ascii="標楷體" w:eastAsia="標楷體" w:hAnsi="標楷體" w:hint="eastAsia"/>
          <w:szCs w:val="24"/>
        </w:rPr>
        <w:t>（</w:t>
      </w:r>
      <w:r w:rsidRPr="00DA2751">
        <w:rPr>
          <w:rFonts w:ascii="標楷體" w:eastAsia="標楷體" w:hAnsi="標楷體"/>
          <w:szCs w:val="24"/>
        </w:rPr>
        <w:t>Federal Aviation Administration</w:t>
      </w:r>
      <w:r w:rsidRPr="00DA2751">
        <w:rPr>
          <w:rFonts w:ascii="標楷體" w:eastAsia="標楷體" w:hAnsi="標楷體" w:hint="eastAsia"/>
          <w:szCs w:val="24"/>
        </w:rPr>
        <w:t>）</w:t>
      </w:r>
      <w:r w:rsidRPr="00DA2751">
        <w:rPr>
          <w:rFonts w:ascii="標楷體" w:eastAsia="標楷體" w:hAnsi="標楷體"/>
          <w:szCs w:val="24"/>
        </w:rPr>
        <w:t>簽署協議，由NTSB主導商業太空意外傷亡事故調查。</w:t>
      </w:r>
      <w:r w:rsidRPr="00DA2751">
        <w:rPr>
          <w:rFonts w:ascii="標楷體" w:eastAsia="標楷體" w:hAnsi="標楷體" w:hint="eastAsia"/>
          <w:szCs w:val="24"/>
        </w:rPr>
        <w:t>近年來國際間太空發展方興未艾，依國家太空中心資料，我國首顆自製氣象衛星「獵</w:t>
      </w:r>
      <w:r w:rsidR="00164AFA">
        <w:rPr>
          <w:rFonts w:ascii="標楷體" w:eastAsia="標楷體" w:hAnsi="標楷體" w:hint="eastAsia"/>
          <w:noProof/>
          <w:sz w:val="22"/>
        </w:rPr>
        <mc:AlternateContent>
          <mc:Choice Requires="wpg">
            <w:drawing>
              <wp:anchor distT="0" distB="0" distL="114300" distR="114300" simplePos="0" relativeHeight="251647488" behindDoc="0" locked="0" layoutInCell="1" allowOverlap="1" wp14:anchorId="0A5D6CC0" wp14:editId="0D08106E">
                <wp:simplePos x="0" y="0"/>
                <wp:positionH relativeFrom="column">
                  <wp:posOffset>2670175</wp:posOffset>
                </wp:positionH>
                <wp:positionV relativeFrom="paragraph">
                  <wp:posOffset>1202773</wp:posOffset>
                </wp:positionV>
                <wp:extent cx="3627120" cy="3027680"/>
                <wp:effectExtent l="0" t="0" r="0" b="1270"/>
                <wp:wrapSquare wrapText="bothSides"/>
                <wp:docPr id="495" name="群組 495"/>
                <wp:cNvGraphicFramePr/>
                <a:graphic xmlns:a="http://schemas.openxmlformats.org/drawingml/2006/main">
                  <a:graphicData uri="http://schemas.microsoft.com/office/word/2010/wordprocessingGroup">
                    <wpg:wgp>
                      <wpg:cNvGrpSpPr/>
                      <wpg:grpSpPr>
                        <a:xfrm>
                          <a:off x="0" y="0"/>
                          <a:ext cx="3627120" cy="3027680"/>
                          <a:chOff x="0" y="0"/>
                          <a:chExt cx="3627120" cy="2827020"/>
                        </a:xfrm>
                      </wpg:grpSpPr>
                      <wps:wsp>
                        <wps:cNvPr id="496" name="文字方塊 496"/>
                        <wps:cNvSpPr txBox="1"/>
                        <wps:spPr>
                          <a:xfrm>
                            <a:off x="0" y="0"/>
                            <a:ext cx="3627120" cy="2827020"/>
                          </a:xfrm>
                          <a:prstGeom prst="rect">
                            <a:avLst/>
                          </a:prstGeom>
                          <a:solidFill>
                            <a:schemeClr val="lt1"/>
                          </a:solidFill>
                          <a:ln w="6350">
                            <a:noFill/>
                          </a:ln>
                        </wps:spPr>
                        <wps:txbx>
                          <w:txbxContent>
                            <w:p w14:paraId="0AD2C0D7" w14:textId="77777777" w:rsidR="00CE57F9" w:rsidRDefault="00CE57F9" w:rsidP="00703F9D">
                              <w:pPr>
                                <w:jc w:val="center"/>
                                <w:rPr>
                                  <w:rFonts w:ascii="標楷體" w:eastAsia="標楷體" w:hAnsi="標楷體"/>
                                  <w:b/>
                                  <w:bCs/>
                                </w:rPr>
                              </w:pPr>
                              <w:r w:rsidRPr="00A36CCB">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2</w:t>
                              </w:r>
                              <w:r>
                                <w:rPr>
                                  <w:rFonts w:ascii="標楷體" w:eastAsia="標楷體" w:hAnsi="標楷體" w:hint="eastAsia"/>
                                  <w:b/>
                                  <w:bCs/>
                                </w:rPr>
                                <w:t xml:space="preserve">　</w:t>
                              </w:r>
                              <w:r w:rsidRPr="001862EF">
                                <w:rPr>
                                  <w:rFonts w:ascii="標楷體" w:eastAsia="標楷體" w:hAnsi="標楷體" w:hint="eastAsia"/>
                                  <w:b/>
                                  <w:bCs/>
                                </w:rPr>
                                <w:t>國家運輸安全調查委員會</w:t>
                              </w:r>
                              <w:r>
                                <w:rPr>
                                  <w:rFonts w:ascii="標楷體" w:eastAsia="標楷體" w:hAnsi="標楷體" w:hint="eastAsia"/>
                                  <w:b/>
                                  <w:bCs/>
                                </w:rPr>
                                <w:t>調查範疇</w:t>
                              </w:r>
                            </w:p>
                            <w:p w14:paraId="523CBBB1" w14:textId="3BF79965" w:rsidR="00CE57F9" w:rsidRDefault="00CE57F9" w:rsidP="00703F9D">
                              <w:pPr>
                                <w:rPr>
                                  <w:noProof/>
                                </w:rPr>
                              </w:pPr>
                            </w:p>
                            <w:p w14:paraId="7EF948FE" w14:textId="77777777" w:rsidR="00CE57F9" w:rsidRDefault="00CE57F9" w:rsidP="00703F9D">
                              <w:pPr>
                                <w:rPr>
                                  <w:rFonts w:ascii="標楷體" w:eastAsia="標楷體" w:hAnsi="標楷體"/>
                                  <w:sz w:val="18"/>
                                  <w:szCs w:val="16"/>
                                </w:rPr>
                              </w:pPr>
                              <w:r>
                                <w:rPr>
                                  <w:noProof/>
                                </w:rPr>
                                <w:drawing>
                                  <wp:inline distT="0" distB="0" distL="0" distR="0" wp14:anchorId="044F591C" wp14:editId="3587B74B">
                                    <wp:extent cx="3535680" cy="2149433"/>
                                    <wp:effectExtent l="0" t="57150" r="0" b="80010"/>
                                    <wp:docPr id="64" name="資料庫圖表 6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14:paraId="3C72345B" w14:textId="77777777" w:rsidR="00CE57F9" w:rsidRPr="00A36CCB" w:rsidRDefault="00CE57F9" w:rsidP="00703F9D">
                              <w:pPr>
                                <w:rPr>
                                  <w:rFonts w:ascii="標楷體" w:eastAsia="標楷體" w:hAnsi="標楷體"/>
                                  <w:sz w:val="18"/>
                                  <w:szCs w:val="16"/>
                                </w:rPr>
                              </w:pPr>
                              <w:r w:rsidRPr="00A36CCB">
                                <w:rPr>
                                  <w:rFonts w:ascii="標楷體" w:eastAsia="標楷體" w:hAnsi="標楷體" w:hint="eastAsia"/>
                                  <w:sz w:val="18"/>
                                  <w:szCs w:val="16"/>
                                </w:rPr>
                                <w:t>資料來源：</w:t>
                              </w:r>
                              <w:r>
                                <w:rPr>
                                  <w:rFonts w:ascii="標楷體" w:eastAsia="標楷體" w:hAnsi="標楷體" w:hint="eastAsia"/>
                                  <w:sz w:val="18"/>
                                  <w:szCs w:val="16"/>
                                </w:rPr>
                                <w:t>整理</w:t>
                              </w:r>
                              <w:r w:rsidRPr="00A36CCB">
                                <w:rPr>
                                  <w:rFonts w:ascii="標楷體" w:eastAsia="標楷體" w:hAnsi="標楷體" w:hint="eastAsia"/>
                                  <w:sz w:val="18"/>
                                  <w:szCs w:val="16"/>
                                </w:rPr>
                                <w:t>自</w:t>
                              </w:r>
                              <w:r w:rsidRPr="001862EF">
                                <w:rPr>
                                  <w:rFonts w:ascii="標楷體" w:eastAsia="標楷體" w:hAnsi="標楷體" w:hint="eastAsia"/>
                                  <w:sz w:val="18"/>
                                  <w:szCs w:val="16"/>
                                </w:rPr>
                                <w:t>國家運輸安全調查委員會</w:t>
                              </w:r>
                              <w:r>
                                <w:rPr>
                                  <w:rFonts w:ascii="標楷體" w:eastAsia="標楷體" w:hAnsi="標楷體" w:hint="eastAsia"/>
                                  <w:sz w:val="18"/>
                                  <w:szCs w:val="16"/>
                                </w:rPr>
                                <w:t>網站資料</w:t>
                              </w:r>
                              <w:r w:rsidRPr="00A36CCB">
                                <w:rPr>
                                  <w:rFonts w:ascii="標楷體" w:eastAsia="標楷體" w:hAnsi="標楷體" w:hint="eastAsia"/>
                                  <w:sz w:val="18"/>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7" name="文字方塊 497"/>
                        <wps:cNvSpPr txBox="1"/>
                        <wps:spPr>
                          <a:xfrm>
                            <a:off x="2077713" y="473921"/>
                            <a:ext cx="443865" cy="291121"/>
                          </a:xfrm>
                          <a:prstGeom prst="rect">
                            <a:avLst/>
                          </a:prstGeom>
                          <a:noFill/>
                          <a:ln w="6350">
                            <a:noFill/>
                          </a:ln>
                        </wps:spPr>
                        <wps:txbx>
                          <w:txbxContent>
                            <w:p w14:paraId="4FB06AD5" w14:textId="77777777" w:rsidR="00CE57F9" w:rsidRPr="00F828D1" w:rsidRDefault="00CE57F9" w:rsidP="00703F9D">
                              <w:pPr>
                                <w:rPr>
                                  <w:rFonts w:ascii="標楷體" w:eastAsia="標楷體" w:hAnsi="標楷體"/>
                                  <w:sz w:val="20"/>
                                  <w:szCs w:val="18"/>
                                </w:rPr>
                              </w:pPr>
                              <w:r>
                                <w:rPr>
                                  <w:rFonts w:ascii="標楷體" w:eastAsia="標楷體" w:hAnsi="標楷體" w:hint="eastAsia"/>
                                  <w:sz w:val="20"/>
                                  <w:szCs w:val="18"/>
                                </w:rPr>
                                <w:t>飛</w:t>
                              </w:r>
                              <w:r w:rsidRPr="00F828D1">
                                <w:rPr>
                                  <w:rFonts w:ascii="標楷體" w:eastAsia="標楷體" w:hAnsi="標楷體" w:hint="eastAsia"/>
                                  <w:sz w:val="20"/>
                                  <w:szCs w:val="18"/>
                                </w:rPr>
                                <w:t>航</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98" name="文字方塊 498"/>
                        <wps:cNvSpPr txBox="1"/>
                        <wps:spPr>
                          <a:xfrm>
                            <a:off x="2939829" y="1102939"/>
                            <a:ext cx="443865" cy="288750"/>
                          </a:xfrm>
                          <a:prstGeom prst="rect">
                            <a:avLst/>
                          </a:prstGeom>
                          <a:noFill/>
                          <a:ln w="6350">
                            <a:noFill/>
                          </a:ln>
                        </wps:spPr>
                        <wps:txbx>
                          <w:txbxContent>
                            <w:p w14:paraId="3DFF3B14" w14:textId="77777777" w:rsidR="00CE57F9" w:rsidRPr="00F828D1" w:rsidRDefault="00CE57F9" w:rsidP="00703F9D">
                              <w:pPr>
                                <w:rPr>
                                  <w:rFonts w:ascii="標楷體" w:eastAsia="標楷體" w:hAnsi="標楷體"/>
                                  <w:sz w:val="20"/>
                                  <w:szCs w:val="18"/>
                                </w:rPr>
                              </w:pPr>
                              <w:r>
                                <w:rPr>
                                  <w:rFonts w:ascii="標楷體" w:eastAsia="標楷體" w:hAnsi="標楷體" w:hint="eastAsia"/>
                                  <w:sz w:val="20"/>
                                  <w:szCs w:val="18"/>
                                </w:rPr>
                                <w:t>鐵道</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99" name="文字方塊 499"/>
                        <wps:cNvSpPr txBox="1"/>
                        <wps:spPr>
                          <a:xfrm>
                            <a:off x="2629664" y="2171411"/>
                            <a:ext cx="443865" cy="289343"/>
                          </a:xfrm>
                          <a:prstGeom prst="rect">
                            <a:avLst/>
                          </a:prstGeom>
                          <a:noFill/>
                          <a:ln w="6350">
                            <a:noFill/>
                          </a:ln>
                        </wps:spPr>
                        <wps:txbx>
                          <w:txbxContent>
                            <w:p w14:paraId="038A55F8" w14:textId="77777777" w:rsidR="00CE57F9" w:rsidRPr="00F828D1" w:rsidRDefault="00CE57F9" w:rsidP="00703F9D">
                              <w:pPr>
                                <w:rPr>
                                  <w:rFonts w:ascii="標楷體" w:eastAsia="標楷體" w:hAnsi="標楷體"/>
                                  <w:sz w:val="20"/>
                                  <w:szCs w:val="18"/>
                                </w:rPr>
                              </w:pPr>
                              <w:r>
                                <w:rPr>
                                  <w:rFonts w:ascii="標楷體" w:eastAsia="標楷體" w:hAnsi="標楷體" w:hint="eastAsia"/>
                                  <w:sz w:val="20"/>
                                  <w:szCs w:val="18"/>
                                </w:rPr>
                                <w:t>水路</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00" name="文字方塊 500"/>
                        <wps:cNvSpPr txBox="1"/>
                        <wps:spPr>
                          <a:xfrm>
                            <a:off x="310387" y="1102939"/>
                            <a:ext cx="443865" cy="288750"/>
                          </a:xfrm>
                          <a:prstGeom prst="rect">
                            <a:avLst/>
                          </a:prstGeom>
                          <a:noFill/>
                          <a:ln w="6350">
                            <a:noFill/>
                          </a:ln>
                        </wps:spPr>
                        <wps:txbx>
                          <w:txbxContent>
                            <w:p w14:paraId="6D10CD8D" w14:textId="77777777" w:rsidR="00CE57F9" w:rsidRPr="00F828D1" w:rsidRDefault="00CE57F9" w:rsidP="00703F9D">
                              <w:pPr>
                                <w:rPr>
                                  <w:rFonts w:ascii="標楷體" w:eastAsia="標楷體" w:hAnsi="標楷體"/>
                                  <w:sz w:val="20"/>
                                  <w:szCs w:val="18"/>
                                </w:rPr>
                              </w:pPr>
                              <w:r>
                                <w:rPr>
                                  <w:rFonts w:ascii="標楷體" w:eastAsia="標楷體" w:hAnsi="標楷體" w:hint="eastAsia"/>
                                  <w:sz w:val="20"/>
                                  <w:szCs w:val="18"/>
                                </w:rPr>
                                <w:t>太</w:t>
                              </w:r>
                              <w:r w:rsidRPr="00F828D1">
                                <w:rPr>
                                  <w:rFonts w:ascii="標楷體" w:eastAsia="標楷體" w:hAnsi="標楷體" w:hint="eastAsia"/>
                                  <w:sz w:val="20"/>
                                  <w:szCs w:val="18"/>
                                </w:rPr>
                                <w:t>空</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01" name="文字方塊 501"/>
                        <wps:cNvSpPr txBox="1"/>
                        <wps:spPr>
                          <a:xfrm>
                            <a:off x="577664" y="2171411"/>
                            <a:ext cx="443865" cy="289343"/>
                          </a:xfrm>
                          <a:prstGeom prst="rect">
                            <a:avLst/>
                          </a:prstGeom>
                          <a:noFill/>
                          <a:ln w="6350">
                            <a:noFill/>
                          </a:ln>
                        </wps:spPr>
                        <wps:txbx>
                          <w:txbxContent>
                            <w:p w14:paraId="38AA9ED9" w14:textId="77777777" w:rsidR="00CE57F9" w:rsidRPr="00F828D1" w:rsidRDefault="00CE57F9" w:rsidP="00703F9D">
                              <w:pPr>
                                <w:rPr>
                                  <w:rFonts w:ascii="標楷體" w:eastAsia="標楷體" w:hAnsi="標楷體"/>
                                  <w:sz w:val="20"/>
                                  <w:szCs w:val="18"/>
                                </w:rPr>
                              </w:pPr>
                              <w:r>
                                <w:rPr>
                                  <w:rFonts w:ascii="標楷體" w:eastAsia="標楷體" w:hAnsi="標楷體" w:hint="eastAsia"/>
                                  <w:sz w:val="20"/>
                                  <w:szCs w:val="18"/>
                                </w:rPr>
                                <w:t>公路</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02" name="圖形 20" descr="公車 以實心填滿"/>
                          <pic:cNvPicPr>
                            <a:picLocks noChangeAspect="1"/>
                          </pic:cNvPicPr>
                        </pic:nvPicPr>
                        <pic:blipFill>
                          <a:blip r:embed="rId29"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36"/>
                              </a:ext>
                            </a:extLst>
                          </a:blip>
                          <a:stretch>
                            <a:fillRect/>
                          </a:stretch>
                        </pic:blipFill>
                        <pic:spPr>
                          <a:xfrm>
                            <a:off x="1164566" y="2078966"/>
                            <a:ext cx="431800" cy="431800"/>
                          </a:xfrm>
                          <a:prstGeom prst="rect">
                            <a:avLst/>
                          </a:prstGeom>
                        </pic:spPr>
                      </pic:pic>
                      <pic:pic xmlns:pic="http://schemas.openxmlformats.org/drawingml/2006/picture">
                        <pic:nvPicPr>
                          <pic:cNvPr id="503" name="圖形 21" descr="飛機 以實心填滿"/>
                          <pic:cNvPicPr>
                            <a:picLocks noChangeAspect="1"/>
                          </pic:cNvPicPr>
                        </pic:nvPicPr>
                        <pic:blipFill>
                          <a:blip r:embed="rId37"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38"/>
                              </a:ext>
                            </a:extLst>
                          </a:blip>
                          <a:stretch>
                            <a:fillRect/>
                          </a:stretch>
                        </pic:blipFill>
                        <pic:spPr>
                          <a:xfrm>
                            <a:off x="1604513" y="534838"/>
                            <a:ext cx="510540" cy="510540"/>
                          </a:xfrm>
                          <a:prstGeom prst="rect">
                            <a:avLst/>
                          </a:prstGeom>
                        </pic:spPr>
                      </pic:pic>
                      <pic:pic xmlns:pic="http://schemas.openxmlformats.org/drawingml/2006/picture">
                        <pic:nvPicPr>
                          <pic:cNvPr id="504" name="圖形 22" descr="火箭 以實心填滿"/>
                          <pic:cNvPicPr>
                            <a:picLocks noChangeAspect="1"/>
                          </pic:cNvPicPr>
                        </pic:nvPicPr>
                        <pic:blipFill>
                          <a:blip r:embed="rId39"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40"/>
                              </a:ext>
                            </a:extLst>
                          </a:blip>
                          <a:stretch>
                            <a:fillRect/>
                          </a:stretch>
                        </pic:blipFill>
                        <pic:spPr>
                          <a:xfrm>
                            <a:off x="854015" y="1164566"/>
                            <a:ext cx="406400" cy="406400"/>
                          </a:xfrm>
                          <a:prstGeom prst="rect">
                            <a:avLst/>
                          </a:prstGeom>
                        </pic:spPr>
                      </pic:pic>
                      <pic:pic xmlns:pic="http://schemas.openxmlformats.org/drawingml/2006/picture">
                        <pic:nvPicPr>
                          <pic:cNvPr id="505" name="圖形 23" descr="波浪 以實心填滿"/>
                          <pic:cNvPicPr>
                            <a:picLocks noChangeAspect="1"/>
                          </pic:cNvPicPr>
                        </pic:nvPicPr>
                        <pic:blipFill>
                          <a:blip r:embed="rId41"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42"/>
                              </a:ext>
                            </a:extLst>
                          </a:blip>
                          <a:stretch>
                            <a:fillRect/>
                          </a:stretch>
                        </pic:blipFill>
                        <pic:spPr>
                          <a:xfrm>
                            <a:off x="2139351" y="2078966"/>
                            <a:ext cx="436880" cy="436880"/>
                          </a:xfrm>
                          <a:prstGeom prst="rect">
                            <a:avLst/>
                          </a:prstGeom>
                        </pic:spPr>
                      </pic:pic>
                      <pic:pic xmlns:pic="http://schemas.openxmlformats.org/drawingml/2006/picture">
                        <pic:nvPicPr>
                          <pic:cNvPr id="506" name="圖片 506"/>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2311879" y="1043796"/>
                            <a:ext cx="665480" cy="665480"/>
                          </a:xfrm>
                          <a:prstGeom prst="ellipse">
                            <a:avLst/>
                          </a:prstGeom>
                          <a:ln>
                            <a:noFill/>
                          </a:ln>
                          <a:effectLst>
                            <a:softEdge rad="112500"/>
                          </a:effectLst>
                        </pic:spPr>
                      </pic:pic>
                    </wpg:wgp>
                  </a:graphicData>
                </a:graphic>
                <wp14:sizeRelH relativeFrom="margin">
                  <wp14:pctWidth>0</wp14:pctWidth>
                </wp14:sizeRelH>
                <wp14:sizeRelV relativeFrom="margin">
                  <wp14:pctHeight>0</wp14:pctHeight>
                </wp14:sizeRelV>
              </wp:anchor>
            </w:drawing>
          </mc:Choice>
          <mc:Fallback>
            <w:pict>
              <v:group w14:anchorId="0A5D6CC0" id="群組 495" o:spid="_x0000_s1145" style="position:absolute;left:0;text-align:left;margin-left:210.25pt;margin-top:94.7pt;width:285.6pt;height:238.4pt;z-index:251647488;mso-width-relative:margin;mso-height-relative:margin" coordsize="36271,2827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&#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">
                <v:shape id="文字方塊 496" o:spid="_x0000_s1146" type="#_x0000_t202" style="position:absolute;width:36271;height:28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" fillcolor="white [3201]" stroked="f" strokeweight=".5pt">
                  <v:textbox>
                    <w:txbxContent>
                      <w:p w14:paraId="0AD2C0D7" w14:textId="77777777" w:rsidR="00CE57F9" w:rsidRDefault="00CE57F9" w:rsidP="00703F9D">
                        <w:pPr>
                          <w:jc w:val="center"/>
                          <w:rPr>
                            <w:rFonts w:ascii="標楷體" w:eastAsia="標楷體" w:hAnsi="標楷體"/>
                            <w:b/>
                            <w:bCs/>
                          </w:rPr>
                        </w:pPr>
                        <w:r w:rsidRPr="00A36CCB">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2</w:t>
                        </w:r>
                        <w:r>
                          <w:rPr>
                            <w:rFonts w:ascii="標楷體" w:eastAsia="標楷體" w:hAnsi="標楷體" w:hint="eastAsia"/>
                            <w:b/>
                            <w:bCs/>
                          </w:rPr>
                          <w:t xml:space="preserve">　</w:t>
                        </w:r>
                        <w:r w:rsidRPr="001862EF">
                          <w:rPr>
                            <w:rFonts w:ascii="標楷體" w:eastAsia="標楷體" w:hAnsi="標楷體" w:hint="eastAsia"/>
                            <w:b/>
                            <w:bCs/>
                          </w:rPr>
                          <w:t>國家運輸安全調查委員會</w:t>
                        </w:r>
                        <w:r>
                          <w:rPr>
                            <w:rFonts w:ascii="標楷體" w:eastAsia="標楷體" w:hAnsi="標楷體" w:hint="eastAsia"/>
                            <w:b/>
                            <w:bCs/>
                          </w:rPr>
                          <w:t>調查範疇</w:t>
                        </w:r>
                      </w:p>
                      <w:p w14:paraId="523CBBB1" w14:textId="3BF79965" w:rsidR="00CE57F9" w:rsidRDefault="00CE57F9" w:rsidP="00703F9D">
                        <w:pPr>
                          <w:rPr>
                            <w:noProof/>
                          </w:rPr>
                        </w:pPr>
                      </w:p>
                      <w:p w14:paraId="7EF948FE" w14:textId="77777777" w:rsidR="00CE57F9" w:rsidRDefault="00CE57F9" w:rsidP="00703F9D">
                        <w:pPr>
                          <w:rPr>
                            <w:rFonts w:ascii="標楷體" w:eastAsia="標楷體" w:hAnsi="標楷體"/>
                            <w:sz w:val="18"/>
                            <w:szCs w:val="16"/>
                          </w:rPr>
                        </w:pPr>
                        <w:r>
                          <w:rPr>
                            <w:noProof/>
                          </w:rPr>
                          <w:drawing>
                            <wp:inline distT="0" distB="0" distL="0" distR="0" wp14:anchorId="044F591C" wp14:editId="3587B74B">
                              <wp:extent cx="3535680" cy="2149433"/>
                              <wp:effectExtent l="0" t="57150" r="0" b="80010"/>
                              <wp:docPr id="64" name="資料庫圖表 6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25" r:qs="rId26" r:cs="rId27"/>
                                </a:graphicData>
                              </a:graphic>
                            </wp:inline>
                          </w:drawing>
                        </w:r>
                      </w:p>
                      <w:p w14:paraId="3C72345B" w14:textId="77777777" w:rsidR="00CE57F9" w:rsidRPr="00A36CCB" w:rsidRDefault="00CE57F9" w:rsidP="00703F9D">
                        <w:pPr>
                          <w:rPr>
                            <w:rFonts w:ascii="標楷體" w:eastAsia="標楷體" w:hAnsi="標楷體"/>
                            <w:sz w:val="18"/>
                            <w:szCs w:val="16"/>
                          </w:rPr>
                        </w:pPr>
                        <w:r w:rsidRPr="00A36CCB">
                          <w:rPr>
                            <w:rFonts w:ascii="標楷體" w:eastAsia="標楷體" w:hAnsi="標楷體" w:hint="eastAsia"/>
                            <w:sz w:val="18"/>
                            <w:szCs w:val="16"/>
                          </w:rPr>
                          <w:t>資料來源：</w:t>
                        </w:r>
                        <w:r>
                          <w:rPr>
                            <w:rFonts w:ascii="標楷體" w:eastAsia="標楷體" w:hAnsi="標楷體" w:hint="eastAsia"/>
                            <w:sz w:val="18"/>
                            <w:szCs w:val="16"/>
                          </w:rPr>
                          <w:t>整理</w:t>
                        </w:r>
                        <w:r w:rsidRPr="00A36CCB">
                          <w:rPr>
                            <w:rFonts w:ascii="標楷體" w:eastAsia="標楷體" w:hAnsi="標楷體" w:hint="eastAsia"/>
                            <w:sz w:val="18"/>
                            <w:szCs w:val="16"/>
                          </w:rPr>
                          <w:t>自</w:t>
                        </w:r>
                        <w:r w:rsidRPr="001862EF">
                          <w:rPr>
                            <w:rFonts w:ascii="標楷體" w:eastAsia="標楷體" w:hAnsi="標楷體" w:hint="eastAsia"/>
                            <w:sz w:val="18"/>
                            <w:szCs w:val="16"/>
                          </w:rPr>
                          <w:t>國家運輸安全調查委員會</w:t>
                        </w:r>
                        <w:r>
                          <w:rPr>
                            <w:rFonts w:ascii="標楷體" w:eastAsia="標楷體" w:hAnsi="標楷體" w:hint="eastAsia"/>
                            <w:sz w:val="18"/>
                            <w:szCs w:val="16"/>
                          </w:rPr>
                          <w:t>網站資料</w:t>
                        </w:r>
                        <w:r w:rsidRPr="00A36CCB">
                          <w:rPr>
                            <w:rFonts w:ascii="標楷體" w:eastAsia="標楷體" w:hAnsi="標楷體" w:hint="eastAsia"/>
                            <w:sz w:val="18"/>
                            <w:szCs w:val="16"/>
                          </w:rPr>
                          <w:t>。</w:t>
                        </w:r>
                      </w:p>
                    </w:txbxContent>
                  </v:textbox>
                </v:shape>
                <v:shape id="文字方塊 497" o:spid="_x0000_s1147" type="#_x0000_t202" style="position:absolute;left:20777;top:4739;width:4438;height:29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" filled="f" stroked="f" strokeweight=".5pt">
                  <v:textbox>
                    <w:txbxContent>
                      <w:p w14:paraId="4FB06AD5" w14:textId="77777777" w:rsidR="00CE57F9" w:rsidRPr="00F828D1" w:rsidRDefault="00CE57F9" w:rsidP="00703F9D">
                        <w:pPr>
                          <w:rPr>
                            <w:rFonts w:ascii="標楷體" w:eastAsia="標楷體" w:hAnsi="標楷體"/>
                            <w:sz w:val="20"/>
                            <w:szCs w:val="18"/>
                          </w:rPr>
                        </w:pPr>
                        <w:r>
                          <w:rPr>
                            <w:rFonts w:ascii="標楷體" w:eastAsia="標楷體" w:hAnsi="標楷體" w:hint="eastAsia"/>
                            <w:sz w:val="20"/>
                            <w:szCs w:val="18"/>
                          </w:rPr>
                          <w:t>飛</w:t>
                        </w:r>
                        <w:r w:rsidRPr="00F828D1">
                          <w:rPr>
                            <w:rFonts w:ascii="標楷體" w:eastAsia="標楷體" w:hAnsi="標楷體" w:hint="eastAsia"/>
                            <w:sz w:val="20"/>
                            <w:szCs w:val="18"/>
                          </w:rPr>
                          <w:t>航</w:t>
                        </w:r>
                      </w:p>
                    </w:txbxContent>
                  </v:textbox>
                </v:shape>
                <v:shape id="文字方塊 498" o:spid="_x0000_s1148" type="#_x0000_t202" style="position:absolute;left:29398;top:11029;width:4438;height:28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" filled="f" stroked="f" strokeweight=".5pt">
                  <v:textbox>
                    <w:txbxContent>
                      <w:p w14:paraId="3DFF3B14" w14:textId="77777777" w:rsidR="00CE57F9" w:rsidRPr="00F828D1" w:rsidRDefault="00CE57F9" w:rsidP="00703F9D">
                        <w:pPr>
                          <w:rPr>
                            <w:rFonts w:ascii="標楷體" w:eastAsia="標楷體" w:hAnsi="標楷體"/>
                            <w:sz w:val="20"/>
                            <w:szCs w:val="18"/>
                          </w:rPr>
                        </w:pPr>
                        <w:r>
                          <w:rPr>
                            <w:rFonts w:ascii="標楷體" w:eastAsia="標楷體" w:hAnsi="標楷體" w:hint="eastAsia"/>
                            <w:sz w:val="20"/>
                            <w:szCs w:val="18"/>
                          </w:rPr>
                          <w:t>鐵道</w:t>
                        </w:r>
                      </w:p>
                    </w:txbxContent>
                  </v:textbox>
                </v:shape>
                <v:shape id="文字方塊 499" o:spid="_x0000_s1149" type="#_x0000_t202" style="position:absolute;left:26296;top:21714;width:4439;height:28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" filled="f" stroked="f" strokeweight=".5pt">
                  <v:textbox>
                    <w:txbxContent>
                      <w:p w14:paraId="038A55F8" w14:textId="77777777" w:rsidR="00CE57F9" w:rsidRPr="00F828D1" w:rsidRDefault="00CE57F9" w:rsidP="00703F9D">
                        <w:pPr>
                          <w:rPr>
                            <w:rFonts w:ascii="標楷體" w:eastAsia="標楷體" w:hAnsi="標楷體"/>
                            <w:sz w:val="20"/>
                            <w:szCs w:val="18"/>
                          </w:rPr>
                        </w:pPr>
                        <w:r>
                          <w:rPr>
                            <w:rFonts w:ascii="標楷體" w:eastAsia="標楷體" w:hAnsi="標楷體" w:hint="eastAsia"/>
                            <w:sz w:val="20"/>
                            <w:szCs w:val="18"/>
                          </w:rPr>
                          <w:t>水路</w:t>
                        </w:r>
                      </w:p>
                    </w:txbxContent>
                  </v:textbox>
                </v:shape>
                <v:shape id="文字方塊 500" o:spid="_x0000_s1150" type="#_x0000_t202" style="position:absolute;left:3103;top:11029;width:4439;height:28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" filled="f" stroked="f" strokeweight=".5pt">
                  <v:textbox>
                    <w:txbxContent>
                      <w:p w14:paraId="6D10CD8D" w14:textId="77777777" w:rsidR="00CE57F9" w:rsidRPr="00F828D1" w:rsidRDefault="00CE57F9" w:rsidP="00703F9D">
                        <w:pPr>
                          <w:rPr>
                            <w:rFonts w:ascii="標楷體" w:eastAsia="標楷體" w:hAnsi="標楷體"/>
                            <w:sz w:val="20"/>
                            <w:szCs w:val="18"/>
                          </w:rPr>
                        </w:pPr>
                        <w:r>
                          <w:rPr>
                            <w:rFonts w:ascii="標楷體" w:eastAsia="標楷體" w:hAnsi="標楷體" w:hint="eastAsia"/>
                            <w:sz w:val="20"/>
                            <w:szCs w:val="18"/>
                          </w:rPr>
                          <w:t>太</w:t>
                        </w:r>
                        <w:r w:rsidRPr="00F828D1">
                          <w:rPr>
                            <w:rFonts w:ascii="標楷體" w:eastAsia="標楷體" w:hAnsi="標楷體" w:hint="eastAsia"/>
                            <w:sz w:val="20"/>
                            <w:szCs w:val="18"/>
                          </w:rPr>
                          <w:t>空</w:t>
                        </w:r>
                      </w:p>
                    </w:txbxContent>
                  </v:textbox>
                </v:shape>
                <v:shape id="文字方塊 501" o:spid="_x0000_s1151" type="#_x0000_t202" style="position:absolute;left:5776;top:21714;width:4439;height:28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" filled="f" stroked="f" strokeweight=".5pt">
                  <v:textbox>
                    <w:txbxContent>
                      <w:p w14:paraId="38AA9ED9" w14:textId="77777777" w:rsidR="00CE57F9" w:rsidRPr="00F828D1" w:rsidRDefault="00CE57F9" w:rsidP="00703F9D">
                        <w:pPr>
                          <w:rPr>
                            <w:rFonts w:ascii="標楷體" w:eastAsia="標楷體" w:hAnsi="標楷體"/>
                            <w:sz w:val="20"/>
                            <w:szCs w:val="18"/>
                          </w:rPr>
                        </w:pPr>
                        <w:r>
                          <w:rPr>
                            <w:rFonts w:ascii="標楷體" w:eastAsia="標楷體" w:hAnsi="標楷體" w:hint="eastAsia"/>
                            <w:sz w:val="20"/>
                            <w:szCs w:val="18"/>
                          </w:rPr>
                          <w:t>公路</w:t>
                        </w:r>
                      </w:p>
                    </w:txbxContent>
                  </v:textbox>
                </v:shape>
                <v:shape id="圖形 20" o:spid="_x0000_s1152" type="#_x0000_t75" alt="公車 以實心填滿" style="position:absolute;left:11645;top:20789;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">
                  <v:imagedata r:id="rId45" o:title="公車 以實心填滿"/>
                  <v:path arrowok="t"/>
                </v:shape>
                <v:shape id="圖形 21" o:spid="_x0000_s1153" type="#_x0000_t75" alt="飛機 以實心填滿" style="position:absolute;left:16045;top:5348;width:5105;height:51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">
                  <v:imagedata r:id="rId46" o:title="飛機 以實心填滿"/>
                  <v:path arrowok="t"/>
                </v:shape>
                <v:shape id="圖形 22" o:spid="_x0000_s1154" type="#_x0000_t75" alt="火箭 以實心填滿" style="position:absolute;left:8540;top:11645;width:4064;height:40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">
                  <v:imagedata r:id="rId47" o:title="火箭 以實心填滿"/>
                  <v:path arrowok="t"/>
                </v:shape>
                <v:shape id="圖形 23" o:spid="_x0000_s1155" type="#_x0000_t75" alt="波浪 以實心填滿" style="position:absolute;left:21393;top:20789;width:4369;height:4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">
                  <v:imagedata r:id="rId48" o:title="波浪 以實心填滿"/>
                  <v:path arrowok="t"/>
                </v:shape>
                <v:shape id="圖片 506" o:spid="_x0000_s1156" type="#_x0000_t75" style="position:absolute;left:23118;top:10437;width:6655;height:6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">
                  <v:imagedata r:id="rId49" o:title=""/>
                  <v:path arrowok="t"/>
                </v:shape>
                <w10:wrap type="square"/>
              </v:group>
            </w:pict>
          </mc:Fallback>
        </mc:AlternateContent>
      </w:r>
      <w:r w:rsidRPr="00DA2751">
        <w:rPr>
          <w:rFonts w:ascii="標楷體" w:eastAsia="標楷體" w:hAnsi="標楷體" w:hint="eastAsia"/>
          <w:szCs w:val="24"/>
        </w:rPr>
        <w:t>風者」即將完成各項測試，政府為促進太空活動及太空產業之發展，提高國民生活福祉，協助人類社會之永續和平發展，經制定</w:t>
      </w:r>
      <w:r w:rsidRPr="00DA2751">
        <w:rPr>
          <w:rFonts w:ascii="標楷體" w:eastAsia="標楷體" w:hAnsi="標楷體"/>
          <w:szCs w:val="24"/>
        </w:rPr>
        <w:t>太空發展法</w:t>
      </w:r>
      <w:r w:rsidRPr="00DA2751">
        <w:rPr>
          <w:rFonts w:ascii="標楷體" w:eastAsia="標楷體" w:hAnsi="標楷體" w:hint="eastAsia"/>
          <w:szCs w:val="24"/>
        </w:rPr>
        <w:t>於</w:t>
      </w:r>
      <w:r w:rsidRPr="00DA2751">
        <w:rPr>
          <w:rFonts w:ascii="標楷體" w:eastAsia="標楷體" w:hAnsi="標楷體"/>
          <w:szCs w:val="24"/>
        </w:rPr>
        <w:t>111年1月20日</w:t>
      </w:r>
      <w:r w:rsidRPr="00DA2751">
        <w:rPr>
          <w:rFonts w:ascii="標楷體" w:eastAsia="標楷體" w:hAnsi="標楷體" w:hint="eastAsia"/>
          <w:szCs w:val="24"/>
        </w:rPr>
        <w:t>正式</w:t>
      </w:r>
      <w:r w:rsidRPr="00DA2751">
        <w:rPr>
          <w:rFonts w:ascii="標楷體" w:eastAsia="標楷體" w:hAnsi="標楷體"/>
          <w:szCs w:val="24"/>
        </w:rPr>
        <w:t>施行</w:t>
      </w:r>
      <w:r w:rsidRPr="00DA2751">
        <w:rPr>
          <w:rFonts w:ascii="標楷體" w:eastAsia="標楷體" w:hAnsi="標楷體" w:hint="eastAsia"/>
          <w:szCs w:val="24"/>
        </w:rPr>
        <w:t>。依太空發展法第</w:t>
      </w:r>
      <w:r w:rsidRPr="00DA2751">
        <w:rPr>
          <w:rFonts w:ascii="標楷體" w:eastAsia="標楷體" w:hAnsi="標楷體"/>
          <w:szCs w:val="24"/>
        </w:rPr>
        <w:t>18條規定：「太空事故之調查，由國家運輸安全調查委員會辦理。」爰國家運輸安全調查委員會調查範疇由飛航、鐵道、水路及公路重大運輸事故，已再擴大延伸至太空領</w:t>
      </w:r>
      <w:r w:rsidRPr="00346BDD">
        <w:rPr>
          <w:rFonts w:ascii="標楷體" w:eastAsia="標楷體" w:hAnsi="標楷體"/>
          <w:szCs w:val="24"/>
        </w:rPr>
        <w:t>域</w:t>
      </w:r>
      <w:r w:rsidR="00844457" w:rsidRPr="00346BDD">
        <w:rPr>
          <w:rFonts w:ascii="標楷體" w:eastAsia="標楷體" w:hAnsi="標楷體" w:hint="eastAsia"/>
          <w:szCs w:val="24"/>
        </w:rPr>
        <w:t>（</w:t>
      </w:r>
      <w:r w:rsidR="00844457" w:rsidRPr="00346BDD">
        <w:rPr>
          <w:rFonts w:ascii="標楷體" w:eastAsia="標楷體" w:hAnsi="標楷體" w:hint="eastAsia"/>
          <w:sz w:val="22"/>
        </w:rPr>
        <w:t>圖</w:t>
      </w:r>
      <w:r w:rsidR="00703F9D" w:rsidRPr="00346BDD">
        <w:rPr>
          <w:rFonts w:ascii="標楷體" w:eastAsia="標楷體" w:hAnsi="標楷體"/>
          <w:sz w:val="22"/>
        </w:rPr>
        <w:t>12</w:t>
      </w:r>
      <w:r w:rsidR="00844457" w:rsidRPr="00346BDD">
        <w:rPr>
          <w:rFonts w:ascii="標楷體" w:eastAsia="標楷體" w:hAnsi="標楷體" w:hint="eastAsia"/>
          <w:sz w:val="22"/>
        </w:rPr>
        <w:t>）</w:t>
      </w:r>
      <w:r w:rsidRPr="00DA2751">
        <w:rPr>
          <w:rFonts w:ascii="標楷體" w:eastAsia="標楷體" w:hAnsi="標楷體"/>
          <w:szCs w:val="24"/>
        </w:rPr>
        <w:t>，該會並於111年8月1日舉辦3週年回顧與展望研討會提出，將賡續依據太空發展法，協助國家火箭產業發展及守護臺灣</w:t>
      </w:r>
      <w:r w:rsidRPr="00DA2751">
        <w:rPr>
          <w:rFonts w:ascii="標楷體" w:eastAsia="標楷體" w:hAnsi="標楷體" w:hint="eastAsia"/>
          <w:szCs w:val="24"/>
        </w:rPr>
        <w:t>運輸安全。經查該會</w:t>
      </w:r>
      <w:r w:rsidRPr="00DA2751">
        <w:rPr>
          <w:rFonts w:ascii="標楷體" w:eastAsia="標楷體" w:hAnsi="標楷體"/>
          <w:szCs w:val="24"/>
        </w:rPr>
        <w:t>為因應未來太空事故調查能量，</w:t>
      </w:r>
      <w:r w:rsidRPr="00DA2751">
        <w:rPr>
          <w:rFonts w:ascii="標楷體" w:eastAsia="標楷體" w:hAnsi="標楷體" w:hint="eastAsia"/>
          <w:szCs w:val="24"/>
        </w:rPr>
        <w:t>雖</w:t>
      </w:r>
      <w:r w:rsidRPr="00DA2751">
        <w:rPr>
          <w:rFonts w:ascii="標楷體" w:eastAsia="標楷體" w:hAnsi="標楷體"/>
          <w:szCs w:val="24"/>
        </w:rPr>
        <w:t>規劃成立太空調查組辦理相關事宜，並培訓太空事故調查種子教官，惟現行組織法與運輸事故調查法等相關法規，尚未就太空發展法授權辦理之太空事故調查業務配合修正，積極推動相關法制化作業，且籌劃專才甄補事宜等配套措施，亦待預為研謀妥處</w:t>
      </w:r>
      <w:r w:rsidRPr="00DA2751">
        <w:rPr>
          <w:rFonts w:ascii="標楷體" w:eastAsia="標楷體" w:hAnsi="標楷體" w:hint="eastAsia"/>
          <w:szCs w:val="24"/>
        </w:rPr>
        <w:t>，經函請國家運輸安全調查委員會</w:t>
      </w:r>
      <w:r w:rsidRPr="00DA2751">
        <w:rPr>
          <w:rFonts w:ascii="標楷體" w:eastAsia="標楷體" w:hAnsi="標楷體"/>
          <w:szCs w:val="24"/>
        </w:rPr>
        <w:t>參酌國際及國內太空產業與事故調查發展趨勢，聚焦太空事故潛在風險事項，妥為研謀因應，俾利遂行太空事故調查職能，並將調查結果回饋供太空產</w:t>
      </w:r>
      <w:r w:rsidRPr="00DA2751">
        <w:rPr>
          <w:rFonts w:ascii="標楷體" w:eastAsia="標楷體" w:hAnsi="標楷體" w:hint="eastAsia"/>
          <w:szCs w:val="24"/>
        </w:rPr>
        <w:t>（</w:t>
      </w:r>
      <w:r w:rsidRPr="00DA2751">
        <w:rPr>
          <w:rFonts w:ascii="標楷體" w:eastAsia="標楷體" w:hAnsi="標楷體"/>
          <w:szCs w:val="24"/>
        </w:rPr>
        <w:t>服務</w:t>
      </w:r>
      <w:r w:rsidRPr="00DA2751">
        <w:rPr>
          <w:rFonts w:ascii="標楷體" w:eastAsia="標楷體" w:hAnsi="標楷體" w:hint="eastAsia"/>
          <w:szCs w:val="24"/>
        </w:rPr>
        <w:t>）</w:t>
      </w:r>
      <w:r w:rsidRPr="00DA2751">
        <w:rPr>
          <w:rFonts w:ascii="標楷體" w:eastAsia="標楷體" w:hAnsi="標楷體"/>
          <w:szCs w:val="24"/>
        </w:rPr>
        <w:t>業發展。</w:t>
      </w:r>
      <w:r w:rsidRPr="00DA2751">
        <w:rPr>
          <w:rFonts w:ascii="標楷體" w:eastAsia="標楷體" w:hAnsi="標楷體" w:hint="eastAsia"/>
          <w:bCs/>
          <w:szCs w:val="24"/>
        </w:rPr>
        <w:t>據復：</w:t>
      </w:r>
      <w:r w:rsidRPr="00DA2751">
        <w:rPr>
          <w:rFonts w:ascii="標楷體" w:eastAsia="標楷體" w:hAnsi="標楷體" w:hint="eastAsia"/>
          <w:szCs w:val="24"/>
        </w:rPr>
        <w:t>經成立太空事故調查先期推動小組，積極網羅國內、外專家學者，並與國家太空中心等單位進行技術學習，也持續蒐集國外對太空事故調查之作法及調查案件類型，以籌劃太空事故調查相關事宜，暨整備補充太空調查技術能量，於完成階段性能量建置規劃後，將續以提報行政院「國家運輸安全調查委員會組織法」、「運輸事故調查法」等法案修正作業。</w:t>
      </w:r>
    </w:p>
    <w:p w14:paraId="380DEFD1" w14:textId="58E16DC3" w:rsidR="005A59DA" w:rsidRPr="00DA2751" w:rsidRDefault="00030D92" w:rsidP="00DA2751">
      <w:pPr>
        <w:pStyle w:val="2"/>
        <w:overflowPunct w:val="0"/>
        <w:spacing w:beforeLines="20" w:before="72" w:afterLines="20" w:after="72" w:line="460" w:lineRule="exact"/>
        <w:ind w:left="0" w:firstLineChars="200" w:firstLine="561"/>
        <w:rPr>
          <w:rFonts w:hAnsi="標楷體"/>
          <w:b/>
          <w:sz w:val="28"/>
        </w:rPr>
      </w:pPr>
      <w:r w:rsidRPr="00DA2751">
        <w:rPr>
          <w:rFonts w:hAnsi="標楷體" w:hint="eastAsia"/>
          <w:b/>
          <w:sz w:val="28"/>
        </w:rPr>
        <w:t>（三十七）　政府採購品質攸關公共利益與民眾福祉，惟政府採購法施行已逾23年，仍有部分政府機關辦理採購案對於投標廠商之資格訂定不當，致有限制競爭情形，亟待檢討改善，以維政府採購公平性。</w:t>
      </w:r>
    </w:p>
    <w:p w14:paraId="2A7EAE44" w14:textId="39F3CF01" w:rsidR="00030D92" w:rsidRDefault="00030D92" w:rsidP="007F07D7">
      <w:pPr>
        <w:widowControl/>
        <w:overflowPunct w:val="0"/>
        <w:spacing w:line="424" w:lineRule="exact"/>
        <w:ind w:firstLineChars="200" w:firstLine="472"/>
        <w:jc w:val="both"/>
        <w:rPr>
          <w:rFonts w:ascii="標楷體" w:eastAsia="標楷體" w:hAnsi="標楷體"/>
          <w:color w:val="000000"/>
          <w:spacing w:val="-4"/>
          <w:szCs w:val="24"/>
        </w:rPr>
      </w:pPr>
      <w:r w:rsidRPr="00DA2751">
        <w:rPr>
          <w:rFonts w:ascii="標楷體" w:eastAsia="標楷體" w:hAnsi="標楷體" w:hint="eastAsia"/>
          <w:color w:val="000000"/>
          <w:spacing w:val="-2"/>
          <w:szCs w:val="24"/>
        </w:rPr>
        <w:t>行政院公共</w:t>
      </w:r>
      <w:r w:rsidRPr="00DA2751">
        <w:rPr>
          <w:rFonts w:ascii="標楷體" w:eastAsia="標楷體" w:hAnsi="標楷體"/>
          <w:color w:val="000000"/>
          <w:spacing w:val="-2"/>
          <w:szCs w:val="24"/>
        </w:rPr>
        <w:t>工程</w:t>
      </w:r>
      <w:r w:rsidRPr="00DA2751">
        <w:rPr>
          <w:rFonts w:ascii="標楷體" w:eastAsia="標楷體" w:hAnsi="標楷體" w:hint="eastAsia"/>
          <w:color w:val="000000"/>
          <w:spacing w:val="-2"/>
          <w:szCs w:val="24"/>
        </w:rPr>
        <w:t>委員</w:t>
      </w:r>
      <w:r w:rsidRPr="00DA2751">
        <w:rPr>
          <w:rFonts w:ascii="標楷體" w:eastAsia="標楷體" w:hAnsi="標楷體"/>
          <w:color w:val="000000"/>
          <w:spacing w:val="-2"/>
          <w:szCs w:val="24"/>
        </w:rPr>
        <w:t>會</w:t>
      </w:r>
      <w:r w:rsidR="00157D1C">
        <w:rPr>
          <w:rFonts w:ascii="標楷體" w:eastAsia="標楷體" w:hAnsi="標楷體" w:hint="eastAsia"/>
          <w:color w:val="000000"/>
          <w:spacing w:val="-2"/>
          <w:szCs w:val="24"/>
        </w:rPr>
        <w:t>（下稱工程會）</w:t>
      </w:r>
      <w:r w:rsidRPr="00DA2751">
        <w:rPr>
          <w:rFonts w:ascii="標楷體" w:eastAsia="標楷體" w:hAnsi="標楷體"/>
          <w:color w:val="000000"/>
          <w:spacing w:val="-2"/>
          <w:szCs w:val="24"/>
        </w:rPr>
        <w:t>為協助各</w:t>
      </w:r>
      <w:r w:rsidRPr="00DA2751">
        <w:rPr>
          <w:rFonts w:ascii="標楷體" w:eastAsia="標楷體" w:hAnsi="標楷體" w:hint="eastAsia"/>
          <w:color w:val="000000"/>
          <w:spacing w:val="-2"/>
          <w:szCs w:val="24"/>
        </w:rPr>
        <w:t>級政府</w:t>
      </w:r>
      <w:r w:rsidRPr="00DA2751">
        <w:rPr>
          <w:rFonts w:ascii="標楷體" w:eastAsia="標楷體" w:hAnsi="標楷體"/>
          <w:color w:val="000000"/>
          <w:spacing w:val="-2"/>
          <w:szCs w:val="24"/>
        </w:rPr>
        <w:t>機關採購人員確實依規定辦</w:t>
      </w:r>
      <w:r w:rsidRPr="00DA2751">
        <w:rPr>
          <w:rFonts w:ascii="標楷體" w:eastAsia="標楷體" w:hAnsi="標楷體" w:hint="eastAsia"/>
          <w:color w:val="000000"/>
          <w:spacing w:val="-2"/>
          <w:szCs w:val="24"/>
        </w:rPr>
        <w:t>理採購作業，訂定「政府採購錯誤行為態樣」，以</w:t>
      </w:r>
      <w:r w:rsidRPr="00DA2751">
        <w:rPr>
          <w:rFonts w:ascii="標楷體" w:eastAsia="標楷體" w:hAnsi="標楷體"/>
          <w:color w:val="000000"/>
          <w:spacing w:val="-2"/>
          <w:szCs w:val="24"/>
        </w:rPr>
        <w:t>提醒採購人員避免發生</w:t>
      </w:r>
      <w:r w:rsidRPr="00DA2751">
        <w:rPr>
          <w:rFonts w:ascii="標楷體" w:eastAsia="標楷體" w:hAnsi="標楷體" w:hint="eastAsia"/>
          <w:color w:val="000000"/>
          <w:spacing w:val="-2"/>
          <w:szCs w:val="24"/>
        </w:rPr>
        <w:t>類似缺失。依據最近</w:t>
      </w:r>
      <w:r w:rsidRPr="00DA2751">
        <w:rPr>
          <w:rFonts w:ascii="標楷體" w:eastAsia="標楷體" w:hAnsi="標楷體"/>
          <w:color w:val="000000"/>
          <w:spacing w:val="-2"/>
          <w:szCs w:val="24"/>
        </w:rPr>
        <w:t>1次於109年9月14日</w:t>
      </w:r>
      <w:r w:rsidR="004742FF" w:rsidRPr="00DA2751">
        <w:rPr>
          <w:rFonts w:ascii="標楷體" w:eastAsia="標楷體" w:hAnsi="標楷體" w:hint="eastAsia"/>
          <w:color w:val="000000"/>
          <w:spacing w:val="-2"/>
          <w:szCs w:val="24"/>
        </w:rPr>
        <w:t>修正</w:t>
      </w:r>
      <w:r w:rsidRPr="00DA2751">
        <w:rPr>
          <w:rFonts w:ascii="標楷體" w:eastAsia="標楷體" w:hAnsi="標楷體" w:hint="eastAsia"/>
          <w:color w:val="000000"/>
          <w:spacing w:val="-2"/>
          <w:szCs w:val="24"/>
        </w:rPr>
        <w:t>之「政府採購錯誤行為態樣」序號二、「資格限制競爭」部分，包括：「（一）訂</w:t>
      </w:r>
      <w:r w:rsidRPr="007F07D7">
        <w:rPr>
          <w:rFonts w:ascii="標楷體" w:eastAsia="標楷體" w:hAnsi="標楷體" w:hint="eastAsia"/>
          <w:color w:val="000000"/>
          <w:spacing w:val="-2"/>
          <w:szCs w:val="24"/>
        </w:rPr>
        <w:lastRenderedPageBreak/>
        <w:t>定之廠商資格為特殊或巨額採購認定標準所無或違反或較該標準更嚴格之規定」、「（二）非特殊或</w:t>
      </w:r>
      <w:r w:rsidRPr="00DA2751">
        <w:rPr>
          <w:rFonts w:ascii="標楷體" w:eastAsia="標楷體" w:hAnsi="標楷體" w:hint="eastAsia"/>
          <w:color w:val="000000"/>
          <w:spacing w:val="-2"/>
          <w:szCs w:val="24"/>
        </w:rPr>
        <w:t>巨額採購卻規定特定資格」等，共臚列</w:t>
      </w:r>
      <w:r w:rsidRPr="00DA2751">
        <w:rPr>
          <w:rFonts w:ascii="標楷體" w:eastAsia="標楷體" w:hAnsi="標楷體"/>
          <w:color w:val="000000"/>
          <w:spacing w:val="-2"/>
          <w:szCs w:val="24"/>
        </w:rPr>
        <w:t>23項錯誤行為態樣。</w:t>
      </w:r>
      <w:r w:rsidRPr="00DA2751">
        <w:rPr>
          <w:rFonts w:ascii="標楷體" w:eastAsia="標楷體" w:hAnsi="標楷體" w:hint="eastAsia"/>
          <w:bCs/>
          <w:snapToGrid w:val="0"/>
          <w:color w:val="000000"/>
          <w:spacing w:val="-2"/>
          <w:szCs w:val="24"/>
        </w:rPr>
        <w:t>經查</w:t>
      </w:r>
      <w:r w:rsidRPr="00DA2751">
        <w:rPr>
          <w:rFonts w:ascii="標楷體" w:eastAsia="標楷體" w:hAnsi="標楷體" w:hint="eastAsia"/>
          <w:color w:val="000000"/>
          <w:spacing w:val="-2"/>
          <w:szCs w:val="24"/>
        </w:rPr>
        <w:t>各級政府於</w:t>
      </w:r>
      <w:r w:rsidRPr="00DA2751">
        <w:rPr>
          <w:rFonts w:ascii="標楷體" w:eastAsia="標楷體" w:hAnsi="標楷體"/>
          <w:color w:val="000000"/>
          <w:spacing w:val="-2"/>
          <w:szCs w:val="24"/>
        </w:rPr>
        <w:t>110年1月至111年12月決標之公告金額以上政府採購案，核有</w:t>
      </w:r>
      <w:r w:rsidRPr="00DA2751">
        <w:rPr>
          <w:rFonts w:ascii="標楷體" w:eastAsia="標楷體" w:hAnsi="標楷體"/>
          <w:bCs/>
          <w:snapToGrid w:val="0"/>
          <w:color w:val="000000"/>
          <w:spacing w:val="-2"/>
          <w:szCs w:val="24"/>
        </w:rPr>
        <w:t>137件之</w:t>
      </w:r>
      <w:r w:rsidRPr="00DA2751">
        <w:rPr>
          <w:rFonts w:ascii="標楷體" w:eastAsia="標楷體" w:hAnsi="標楷體" w:hint="eastAsia"/>
          <w:color w:val="000000"/>
          <w:spacing w:val="-2"/>
          <w:szCs w:val="24"/>
        </w:rPr>
        <w:t>投標廠商資格訂定違反「投標廠商資格與特殊或巨額採購認定標準」或涉及「資格限制競爭」錯誤行為態樣之情事，總決標金額</w:t>
      </w:r>
      <w:r w:rsidRPr="00DA2751">
        <w:rPr>
          <w:rFonts w:ascii="標楷體" w:eastAsia="標楷體" w:hAnsi="標楷體"/>
          <w:color w:val="000000"/>
          <w:spacing w:val="-2"/>
          <w:szCs w:val="24"/>
        </w:rPr>
        <w:t>8億2,963萬餘元。其中屬中央</w:t>
      </w:r>
      <w:r w:rsidRPr="00DA2751">
        <w:rPr>
          <w:rFonts w:ascii="標楷體" w:eastAsia="標楷體" w:hAnsi="標楷體" w:hint="eastAsia"/>
          <w:bCs/>
          <w:snapToGrid w:val="0"/>
          <w:color w:val="000000"/>
          <w:spacing w:val="-2"/>
          <w:szCs w:val="24"/>
        </w:rPr>
        <w:t>機關辦理者，計</w:t>
      </w:r>
      <w:r w:rsidRPr="00DA2751">
        <w:rPr>
          <w:rFonts w:ascii="標楷體" w:eastAsia="標楷體" w:hAnsi="標楷體"/>
          <w:bCs/>
          <w:snapToGrid w:val="0"/>
          <w:color w:val="000000"/>
          <w:spacing w:val="-2"/>
          <w:szCs w:val="24"/>
        </w:rPr>
        <w:t>49個機關共84件採購案，總決標金額7億408萬餘元，</w:t>
      </w:r>
      <w:r w:rsidRPr="00E8164A">
        <w:rPr>
          <w:rFonts w:ascii="標楷體" w:eastAsia="標楷體" w:hAnsi="標楷體" w:hint="eastAsia"/>
          <w:bCs/>
          <w:snapToGrid w:val="0"/>
          <w:color w:val="000000"/>
          <w:szCs w:val="24"/>
        </w:rPr>
        <w:t>分</w:t>
      </w:r>
      <w:r w:rsidR="007F07D7">
        <w:rPr>
          <w:rFonts w:ascii="標楷體" w:eastAsia="標楷體" w:hAnsi="標楷體" w:hint="eastAsia"/>
          <w:bCs/>
          <w:noProof/>
          <w:color w:val="000000"/>
          <w:szCs w:val="24"/>
        </w:rPr>
        <mc:AlternateContent>
          <mc:Choice Requires="wpg">
            <w:drawing>
              <wp:anchor distT="0" distB="0" distL="114300" distR="114300" simplePos="0" relativeHeight="251652608" behindDoc="0" locked="0" layoutInCell="1" allowOverlap="1" wp14:anchorId="59593E84" wp14:editId="0466B2EB">
                <wp:simplePos x="0" y="0"/>
                <wp:positionH relativeFrom="column">
                  <wp:posOffset>1979945</wp:posOffset>
                </wp:positionH>
                <wp:positionV relativeFrom="paragraph">
                  <wp:posOffset>1470630</wp:posOffset>
                </wp:positionV>
                <wp:extent cx="4316080" cy="7391415"/>
                <wp:effectExtent l="0" t="0" r="0" b="0"/>
                <wp:wrapSquare wrapText="bothSides"/>
                <wp:docPr id="4" name="群組 4"/>
                <wp:cNvGraphicFramePr/>
                <a:graphic xmlns:a="http://schemas.openxmlformats.org/drawingml/2006/main">
                  <a:graphicData uri="http://schemas.microsoft.com/office/word/2010/wordprocessingGroup">
                    <wpg:wgp>
                      <wpg:cNvGrpSpPr/>
                      <wpg:grpSpPr>
                        <a:xfrm>
                          <a:off x="0" y="0"/>
                          <a:ext cx="4316080" cy="7391415"/>
                          <a:chOff x="0" y="0"/>
                          <a:chExt cx="4316080" cy="7391415"/>
                        </a:xfrm>
                      </wpg:grpSpPr>
                      <wps:wsp>
                        <wps:cNvPr id="36" name="文字方塊 36"/>
                        <wps:cNvSpPr txBox="1">
                          <a:spLocks noChangeArrowheads="1"/>
                        </wps:cNvSpPr>
                        <wps:spPr bwMode="auto">
                          <a:xfrm>
                            <a:off x="0" y="0"/>
                            <a:ext cx="4312285" cy="3716655"/>
                          </a:xfrm>
                          <a:prstGeom prst="rect">
                            <a:avLst/>
                          </a:prstGeom>
                          <a:noFill/>
                          <a:ln w="9525">
                            <a:noFill/>
                            <a:miter lim="800000"/>
                            <a:headEnd/>
                            <a:tailEnd/>
                          </a:ln>
                        </wps:spPr>
                        <wps:txbx>
                          <w:txbxContent>
                            <w:p w14:paraId="2AB776C6" w14:textId="2EA9432D" w:rsidR="00CE57F9" w:rsidRPr="00711E59" w:rsidRDefault="00CE57F9" w:rsidP="00D66F89">
                              <w:pPr>
                                <w:snapToGrid w:val="0"/>
                                <w:spacing w:line="420" w:lineRule="exact"/>
                                <w:ind w:leftChars="119" w:left="1639" w:rightChars="99" w:right="238" w:hangingChars="563" w:hanging="1353"/>
                                <w:jc w:val="center"/>
                                <w:rPr>
                                  <w:rFonts w:ascii="標楷體" w:eastAsia="標楷體" w:hAnsi="標楷體"/>
                                </w:rPr>
                              </w:pPr>
                              <w:r w:rsidRPr="00711E59">
                                <w:rPr>
                                  <w:rFonts w:ascii="標楷體" w:eastAsia="標楷體" w:hAnsi="標楷體"/>
                                  <w:b/>
                                  <w:bCs/>
                                  <w:snapToGrid w:val="0"/>
                                </w:rPr>
                                <w:t>表</w:t>
                              </w:r>
                              <w:r>
                                <w:rPr>
                                  <w:rFonts w:ascii="標楷體" w:eastAsia="標楷體" w:hAnsi="標楷體"/>
                                  <w:b/>
                                  <w:bCs/>
                                  <w:snapToGrid w:val="0"/>
                                </w:rPr>
                                <w:t>26</w:t>
                              </w:r>
                              <w:r w:rsidRPr="00DB6D61">
                                <w:rPr>
                                  <w:rFonts w:ascii="標楷體" w:eastAsia="標楷體" w:hAnsi="標楷體" w:hint="eastAsia"/>
                                  <w:b/>
                                  <w:snapToGrid w:val="0"/>
                                  <w:kern w:val="0"/>
                                </w:rPr>
                                <w:t xml:space="preserve">　</w:t>
                              </w:r>
                              <w:r w:rsidRPr="00711E59">
                                <w:rPr>
                                  <w:rFonts w:ascii="標楷體" w:eastAsia="標楷體" w:hAnsi="標楷體" w:hint="eastAsia"/>
                                  <w:b/>
                                  <w:bCs/>
                                  <w:snapToGrid w:val="0"/>
                                </w:rPr>
                                <w:t>各級機關採購案件涉及資格限制競爭</w:t>
                              </w:r>
                              <w:r w:rsidRPr="00711E59">
                                <w:rPr>
                                  <w:rFonts w:ascii="標楷體" w:eastAsia="標楷體" w:hAnsi="標楷體"/>
                                  <w:b/>
                                  <w:bCs/>
                                  <w:snapToGrid w:val="0"/>
                                </w:rPr>
                                <w:t>情形</w:t>
                              </w:r>
                            </w:p>
                            <w:p w14:paraId="5B5459BA" w14:textId="77777777" w:rsidR="00CE57F9" w:rsidRPr="00711E59" w:rsidRDefault="00CE57F9" w:rsidP="00D66F89">
                              <w:pPr>
                                <w:snapToGrid w:val="0"/>
                                <w:spacing w:line="300" w:lineRule="exact"/>
                                <w:ind w:leftChars="397" w:left="953" w:rightChars="31" w:right="74" w:firstLineChars="1508" w:firstLine="3016"/>
                                <w:jc w:val="right"/>
                                <w:rPr>
                                  <w:rFonts w:ascii="標楷體" w:eastAsia="標楷體" w:hAnsi="標楷體"/>
                                  <w:sz w:val="20"/>
                                </w:rPr>
                              </w:pPr>
                              <w:r w:rsidRPr="00711E59">
                                <w:rPr>
                                  <w:rFonts w:ascii="標楷體" w:eastAsia="標楷體" w:hAnsi="標楷體"/>
                                  <w:sz w:val="20"/>
                                </w:rPr>
                                <w:t>單位</w:t>
                              </w:r>
                              <w:r w:rsidRPr="00711E59">
                                <w:rPr>
                                  <w:rFonts w:ascii="標楷體" w:eastAsia="標楷體" w:hAnsi="標楷體" w:hint="eastAsia"/>
                                  <w:sz w:val="20"/>
                                </w:rPr>
                                <w:t>：</w:t>
                              </w:r>
                              <w:r w:rsidRPr="00711E59">
                                <w:rPr>
                                  <w:rFonts w:ascii="標楷體" w:eastAsia="標楷體" w:hAnsi="標楷體"/>
                                  <w:sz w:val="20"/>
                                </w:rPr>
                                <w:t>件</w:t>
                              </w:r>
                              <w:r w:rsidRPr="00711E59">
                                <w:rPr>
                                  <w:rFonts w:ascii="標楷體" w:eastAsia="標楷體" w:hAnsi="標楷體" w:hint="eastAsia"/>
                                  <w:sz w:val="20"/>
                                </w:rPr>
                                <w:t>、新臺幣</w:t>
                              </w:r>
                              <w:r>
                                <w:rPr>
                                  <w:rFonts w:ascii="標楷體" w:eastAsia="標楷體" w:hAnsi="標楷體" w:hint="eastAsia"/>
                                  <w:sz w:val="20"/>
                                </w:rPr>
                                <w:t>千</w:t>
                              </w:r>
                              <w:r w:rsidRPr="00711E59">
                                <w:rPr>
                                  <w:rFonts w:ascii="標楷體" w:eastAsia="標楷體" w:hAnsi="標楷體"/>
                                  <w:sz w:val="20"/>
                                </w:rPr>
                                <w:t>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1132"/>
                                <w:gridCol w:w="464"/>
                                <w:gridCol w:w="1331"/>
                                <w:gridCol w:w="1138"/>
                                <w:gridCol w:w="429"/>
                                <w:gridCol w:w="1405"/>
                              </w:tblGrid>
                              <w:tr w:rsidR="00CE57F9" w14:paraId="531FF8EB" w14:textId="77777777" w:rsidTr="000628B7">
                                <w:trPr>
                                  <w:tblHeader/>
                                  <w:jc w:val="center"/>
                                </w:trPr>
                                <w:tc>
                                  <w:tcPr>
                                    <w:tcW w:w="438" w:type="dxa"/>
                                    <w:vMerge w:val="restart"/>
                                    <w:tcBorders>
                                      <w:top w:val="single" w:sz="4" w:space="0" w:color="auto"/>
                                      <w:left w:val="single" w:sz="4" w:space="0" w:color="auto"/>
                                    </w:tcBorders>
                                    <w:shd w:val="clear" w:color="auto" w:fill="FFFFFF"/>
                                    <w:vAlign w:val="center"/>
                                  </w:tcPr>
                                  <w:p w14:paraId="4E031F91" w14:textId="77777777" w:rsidR="00CE57F9" w:rsidRPr="00B42AF7" w:rsidRDefault="00CE57F9" w:rsidP="000628B7">
                                    <w:pPr>
                                      <w:overflowPunct w:val="0"/>
                                      <w:snapToGrid w:val="0"/>
                                      <w:spacing w:line="240" w:lineRule="exact"/>
                                      <w:ind w:leftChars="-45" w:left="-18" w:rightChars="-42" w:right="-101" w:hangingChars="45" w:hanging="90"/>
                                      <w:jc w:val="center"/>
                                      <w:rPr>
                                        <w:rFonts w:ascii="標楷體" w:eastAsia="標楷體" w:hAnsi="標楷體"/>
                                        <w:sz w:val="20"/>
                                      </w:rPr>
                                    </w:pPr>
                                    <w:r w:rsidRPr="00B42AF7">
                                      <w:rPr>
                                        <w:rFonts w:ascii="標楷體" w:eastAsia="標楷體" w:hAnsi="標楷體" w:hint="eastAsia"/>
                                        <w:sz w:val="20"/>
                                      </w:rPr>
                                      <w:t>項</w:t>
                                    </w:r>
                                  </w:p>
                                  <w:p w14:paraId="68DEE633" w14:textId="77777777" w:rsidR="00CE57F9" w:rsidRPr="00B42AF7" w:rsidRDefault="00CE57F9" w:rsidP="000628B7">
                                    <w:pPr>
                                      <w:overflowPunct w:val="0"/>
                                      <w:snapToGrid w:val="0"/>
                                      <w:spacing w:line="240" w:lineRule="exact"/>
                                      <w:ind w:leftChars="-45" w:left="-18" w:rightChars="-42" w:right="-101" w:hangingChars="45" w:hanging="90"/>
                                      <w:jc w:val="center"/>
                                      <w:rPr>
                                        <w:rFonts w:ascii="標楷體" w:eastAsia="標楷體" w:hAnsi="標楷體"/>
                                        <w:sz w:val="20"/>
                                      </w:rPr>
                                    </w:pPr>
                                    <w:r w:rsidRPr="00B42AF7">
                                      <w:rPr>
                                        <w:rFonts w:ascii="標楷體" w:eastAsia="標楷體" w:hAnsi="標楷體" w:hint="eastAsia"/>
                                        <w:sz w:val="20"/>
                                      </w:rPr>
                                      <w:t>次</w:t>
                                    </w:r>
                                  </w:p>
                                </w:tc>
                                <w:tc>
                                  <w:tcPr>
                                    <w:tcW w:w="2927" w:type="dxa"/>
                                    <w:gridSpan w:val="3"/>
                                    <w:tcBorders>
                                      <w:top w:val="single" w:sz="4" w:space="0" w:color="auto"/>
                                      <w:right w:val="single" w:sz="4" w:space="0" w:color="auto"/>
                                    </w:tcBorders>
                                    <w:shd w:val="clear" w:color="auto" w:fill="FFFFFF"/>
                                    <w:vAlign w:val="center"/>
                                  </w:tcPr>
                                  <w:p w14:paraId="4A321B47" w14:textId="77777777" w:rsidR="00CE57F9" w:rsidRPr="00B42AF7" w:rsidRDefault="00CE57F9" w:rsidP="000628B7">
                                    <w:pPr>
                                      <w:overflowPunct w:val="0"/>
                                      <w:snapToGrid w:val="0"/>
                                      <w:spacing w:line="240" w:lineRule="exact"/>
                                      <w:jc w:val="center"/>
                                      <w:rPr>
                                        <w:rFonts w:ascii="標楷體" w:eastAsia="標楷體" w:hAnsi="標楷體"/>
                                        <w:sz w:val="20"/>
                                      </w:rPr>
                                    </w:pPr>
                                    <w:r w:rsidRPr="00B42AF7">
                                      <w:rPr>
                                        <w:rFonts w:ascii="標楷體" w:eastAsia="標楷體" w:hAnsi="標楷體"/>
                                        <w:sz w:val="20"/>
                                      </w:rPr>
                                      <w:t>中央機關</w:t>
                                    </w:r>
                                  </w:p>
                                </w:tc>
                                <w:tc>
                                  <w:tcPr>
                                    <w:tcW w:w="2972" w:type="dxa"/>
                                    <w:gridSpan w:val="3"/>
                                    <w:tcBorders>
                                      <w:top w:val="single" w:sz="4" w:space="0" w:color="auto"/>
                                      <w:left w:val="single" w:sz="4" w:space="0" w:color="auto"/>
                                      <w:right w:val="single" w:sz="4" w:space="0" w:color="auto"/>
                                    </w:tcBorders>
                                    <w:shd w:val="clear" w:color="auto" w:fill="FFFFFF"/>
                                    <w:vAlign w:val="center"/>
                                  </w:tcPr>
                                  <w:p w14:paraId="7F4D4A15" w14:textId="77777777" w:rsidR="00CE57F9" w:rsidRPr="00B42AF7" w:rsidRDefault="00CE57F9" w:rsidP="000628B7">
                                    <w:pPr>
                                      <w:overflowPunct w:val="0"/>
                                      <w:snapToGrid w:val="0"/>
                                      <w:spacing w:line="240" w:lineRule="exact"/>
                                      <w:jc w:val="center"/>
                                      <w:rPr>
                                        <w:rFonts w:ascii="標楷體" w:eastAsia="標楷體" w:hAnsi="標楷體"/>
                                        <w:sz w:val="20"/>
                                      </w:rPr>
                                    </w:pPr>
                                    <w:r w:rsidRPr="00B42AF7">
                                      <w:rPr>
                                        <w:rFonts w:ascii="標楷體" w:eastAsia="標楷體" w:hAnsi="標楷體"/>
                                        <w:sz w:val="20"/>
                                      </w:rPr>
                                      <w:t>地方機關</w:t>
                                    </w:r>
                                  </w:p>
                                </w:tc>
                              </w:tr>
                              <w:tr w:rsidR="00CE57F9" w14:paraId="4FA7876E" w14:textId="77777777" w:rsidTr="00DA2751">
                                <w:trPr>
                                  <w:tblHeader/>
                                  <w:jc w:val="center"/>
                                </w:trPr>
                                <w:tc>
                                  <w:tcPr>
                                    <w:tcW w:w="438" w:type="dxa"/>
                                    <w:vMerge/>
                                    <w:tcBorders>
                                      <w:left w:val="single" w:sz="4" w:space="0" w:color="auto"/>
                                      <w:bottom w:val="single" w:sz="4" w:space="0" w:color="auto"/>
                                    </w:tcBorders>
                                    <w:shd w:val="clear" w:color="auto" w:fill="FFFFFF"/>
                                    <w:vAlign w:val="center"/>
                                  </w:tcPr>
                                  <w:p w14:paraId="0C9D41CA" w14:textId="77777777" w:rsidR="00CE57F9" w:rsidRPr="00B42AF7" w:rsidRDefault="00CE57F9" w:rsidP="000628B7">
                                    <w:pPr>
                                      <w:overflowPunct w:val="0"/>
                                      <w:snapToGrid w:val="0"/>
                                      <w:spacing w:line="240" w:lineRule="exact"/>
                                      <w:jc w:val="center"/>
                                      <w:rPr>
                                        <w:rFonts w:ascii="標楷體" w:eastAsia="標楷體" w:hAnsi="標楷體"/>
                                        <w:sz w:val="20"/>
                                      </w:rPr>
                                    </w:pPr>
                                  </w:p>
                                </w:tc>
                                <w:tc>
                                  <w:tcPr>
                                    <w:tcW w:w="1132" w:type="dxa"/>
                                    <w:tcBorders>
                                      <w:bottom w:val="single" w:sz="4" w:space="0" w:color="auto"/>
                                    </w:tcBorders>
                                    <w:shd w:val="clear" w:color="auto" w:fill="FFFFFF"/>
                                    <w:vAlign w:val="center"/>
                                  </w:tcPr>
                                  <w:p w14:paraId="07F1A3E0" w14:textId="77777777" w:rsidR="00CE57F9" w:rsidRPr="00B42AF7" w:rsidRDefault="00CE57F9" w:rsidP="000628B7">
                                    <w:pPr>
                                      <w:overflowPunct w:val="0"/>
                                      <w:snapToGrid w:val="0"/>
                                      <w:spacing w:line="240" w:lineRule="exact"/>
                                      <w:ind w:leftChars="-41" w:left="-98" w:rightChars="-46" w:right="-110"/>
                                      <w:jc w:val="center"/>
                                      <w:rPr>
                                        <w:rFonts w:ascii="標楷體" w:eastAsia="標楷體" w:hAnsi="標楷體"/>
                                        <w:sz w:val="20"/>
                                      </w:rPr>
                                    </w:pPr>
                                    <w:r w:rsidRPr="00B42AF7">
                                      <w:rPr>
                                        <w:rFonts w:ascii="標楷體" w:eastAsia="標楷體" w:hAnsi="標楷體"/>
                                        <w:sz w:val="20"/>
                                      </w:rPr>
                                      <w:t>主管機關別</w:t>
                                    </w:r>
                                  </w:p>
                                </w:tc>
                                <w:tc>
                                  <w:tcPr>
                                    <w:tcW w:w="464" w:type="dxa"/>
                                    <w:tcBorders>
                                      <w:bottom w:val="single" w:sz="4" w:space="0" w:color="auto"/>
                                      <w:right w:val="single" w:sz="4" w:space="0" w:color="000000"/>
                                    </w:tcBorders>
                                    <w:shd w:val="clear" w:color="auto" w:fill="FFFFFF"/>
                                    <w:vAlign w:val="center"/>
                                  </w:tcPr>
                                  <w:p w14:paraId="5C287269" w14:textId="77777777" w:rsidR="00CE57F9" w:rsidRPr="00B42AF7" w:rsidRDefault="00CE57F9" w:rsidP="000628B7">
                                    <w:pPr>
                                      <w:overflowPunct w:val="0"/>
                                      <w:snapToGrid w:val="0"/>
                                      <w:spacing w:line="240" w:lineRule="exact"/>
                                      <w:ind w:leftChars="-41" w:left="-98" w:rightChars="-46" w:right="-110"/>
                                      <w:jc w:val="center"/>
                                      <w:rPr>
                                        <w:rFonts w:ascii="標楷體" w:eastAsia="標楷體" w:hAnsi="標楷體"/>
                                        <w:sz w:val="20"/>
                                      </w:rPr>
                                    </w:pPr>
                                    <w:r w:rsidRPr="00B42AF7">
                                      <w:rPr>
                                        <w:rFonts w:ascii="標楷體" w:eastAsia="標楷體" w:hAnsi="標楷體"/>
                                        <w:sz w:val="20"/>
                                      </w:rPr>
                                      <w:t>件數</w:t>
                                    </w:r>
                                  </w:p>
                                </w:tc>
                                <w:tc>
                                  <w:tcPr>
                                    <w:tcW w:w="1331" w:type="dxa"/>
                                    <w:tcBorders>
                                      <w:top w:val="single" w:sz="4" w:space="0" w:color="000000"/>
                                      <w:left w:val="single" w:sz="4" w:space="0" w:color="000000"/>
                                      <w:bottom w:val="single" w:sz="4" w:space="0" w:color="auto"/>
                                      <w:right w:val="single" w:sz="4" w:space="0" w:color="auto"/>
                                    </w:tcBorders>
                                    <w:shd w:val="clear" w:color="auto" w:fill="FFFFFF"/>
                                    <w:vAlign w:val="center"/>
                                  </w:tcPr>
                                  <w:p w14:paraId="16B9FC2A" w14:textId="77777777" w:rsidR="00CE57F9" w:rsidRPr="00B42AF7" w:rsidRDefault="00CE57F9" w:rsidP="000628B7">
                                    <w:pPr>
                                      <w:overflowPunct w:val="0"/>
                                      <w:snapToGrid w:val="0"/>
                                      <w:spacing w:line="240" w:lineRule="exact"/>
                                      <w:ind w:leftChars="-41" w:left="-98" w:rightChars="-46" w:right="-110"/>
                                      <w:jc w:val="center"/>
                                      <w:rPr>
                                        <w:rFonts w:ascii="標楷體" w:eastAsia="標楷體" w:hAnsi="標楷體"/>
                                        <w:sz w:val="20"/>
                                      </w:rPr>
                                    </w:pPr>
                                    <w:r w:rsidRPr="00B42AF7">
                                      <w:rPr>
                                        <w:rFonts w:ascii="標楷體" w:eastAsia="標楷體" w:hAnsi="標楷體"/>
                                        <w:sz w:val="20"/>
                                      </w:rPr>
                                      <w:t>決標金額</w:t>
                                    </w:r>
                                  </w:p>
                                </w:tc>
                                <w:tc>
                                  <w:tcPr>
                                    <w:tcW w:w="1138" w:type="dxa"/>
                                    <w:tcBorders>
                                      <w:left w:val="single" w:sz="4" w:space="0" w:color="auto"/>
                                      <w:bottom w:val="single" w:sz="4" w:space="0" w:color="auto"/>
                                    </w:tcBorders>
                                    <w:shd w:val="clear" w:color="auto" w:fill="FFFFFF"/>
                                    <w:vAlign w:val="center"/>
                                  </w:tcPr>
                                  <w:p w14:paraId="780B9ED0" w14:textId="77777777" w:rsidR="00CE57F9" w:rsidRPr="00B42AF7" w:rsidRDefault="00CE57F9" w:rsidP="000628B7">
                                    <w:pPr>
                                      <w:overflowPunct w:val="0"/>
                                      <w:snapToGrid w:val="0"/>
                                      <w:spacing w:line="240" w:lineRule="exact"/>
                                      <w:ind w:leftChars="-41" w:left="-98" w:rightChars="-46" w:right="-110"/>
                                      <w:jc w:val="center"/>
                                      <w:rPr>
                                        <w:rFonts w:ascii="標楷體" w:eastAsia="標楷體" w:hAnsi="標楷體"/>
                                        <w:sz w:val="20"/>
                                      </w:rPr>
                                    </w:pPr>
                                    <w:r w:rsidRPr="00B42AF7">
                                      <w:rPr>
                                        <w:rFonts w:ascii="標楷體" w:eastAsia="標楷體" w:hAnsi="標楷體"/>
                                        <w:sz w:val="20"/>
                                      </w:rPr>
                                      <w:t>主管機關別</w:t>
                                    </w:r>
                                  </w:p>
                                </w:tc>
                                <w:tc>
                                  <w:tcPr>
                                    <w:tcW w:w="429" w:type="dxa"/>
                                    <w:tcBorders>
                                      <w:bottom w:val="single" w:sz="4" w:space="0" w:color="auto"/>
                                    </w:tcBorders>
                                    <w:shd w:val="clear" w:color="auto" w:fill="FFFFFF"/>
                                    <w:vAlign w:val="center"/>
                                  </w:tcPr>
                                  <w:p w14:paraId="70D87D4F" w14:textId="77777777" w:rsidR="00CE57F9" w:rsidRPr="00B42AF7" w:rsidRDefault="00CE57F9" w:rsidP="000628B7">
                                    <w:pPr>
                                      <w:overflowPunct w:val="0"/>
                                      <w:snapToGrid w:val="0"/>
                                      <w:spacing w:line="240" w:lineRule="exact"/>
                                      <w:ind w:leftChars="-41" w:left="-98" w:rightChars="-46" w:right="-110"/>
                                      <w:jc w:val="center"/>
                                      <w:rPr>
                                        <w:rFonts w:ascii="標楷體" w:eastAsia="標楷體" w:hAnsi="標楷體"/>
                                        <w:sz w:val="20"/>
                                      </w:rPr>
                                    </w:pPr>
                                    <w:r w:rsidRPr="00B42AF7">
                                      <w:rPr>
                                        <w:rFonts w:ascii="標楷體" w:eastAsia="標楷體" w:hAnsi="標楷體"/>
                                        <w:sz w:val="20"/>
                                      </w:rPr>
                                      <w:t>件數</w:t>
                                    </w:r>
                                  </w:p>
                                </w:tc>
                                <w:tc>
                                  <w:tcPr>
                                    <w:tcW w:w="1405" w:type="dxa"/>
                                    <w:tcBorders>
                                      <w:bottom w:val="single" w:sz="4" w:space="0" w:color="auto"/>
                                      <w:right w:val="single" w:sz="4" w:space="0" w:color="auto"/>
                                    </w:tcBorders>
                                    <w:shd w:val="clear" w:color="auto" w:fill="FFFFFF"/>
                                    <w:vAlign w:val="center"/>
                                  </w:tcPr>
                                  <w:p w14:paraId="3C4C2155" w14:textId="77777777" w:rsidR="00CE57F9" w:rsidRPr="00B42AF7" w:rsidRDefault="00CE57F9" w:rsidP="000628B7">
                                    <w:pPr>
                                      <w:overflowPunct w:val="0"/>
                                      <w:snapToGrid w:val="0"/>
                                      <w:spacing w:line="240" w:lineRule="exact"/>
                                      <w:ind w:leftChars="-41" w:left="-98" w:rightChars="-46" w:right="-110"/>
                                      <w:jc w:val="center"/>
                                      <w:rPr>
                                        <w:rFonts w:ascii="標楷體" w:eastAsia="標楷體" w:hAnsi="標楷體"/>
                                        <w:sz w:val="20"/>
                                      </w:rPr>
                                    </w:pPr>
                                    <w:r w:rsidRPr="00B42AF7">
                                      <w:rPr>
                                        <w:rFonts w:ascii="標楷體" w:eastAsia="標楷體" w:hAnsi="標楷體"/>
                                        <w:sz w:val="20"/>
                                      </w:rPr>
                                      <w:t>決標金額</w:t>
                                    </w:r>
                                  </w:p>
                                </w:tc>
                              </w:tr>
                              <w:tr w:rsidR="00CE57F9" w14:paraId="573A4C1C" w14:textId="77777777" w:rsidTr="00DA2751">
                                <w:trPr>
                                  <w:jc w:val="center"/>
                                </w:trPr>
                                <w:tc>
                                  <w:tcPr>
                                    <w:tcW w:w="1570" w:type="dxa"/>
                                    <w:gridSpan w:val="2"/>
                                    <w:tcBorders>
                                      <w:top w:val="single" w:sz="4" w:space="0" w:color="auto"/>
                                      <w:left w:val="single" w:sz="4" w:space="0" w:color="auto"/>
                                      <w:bottom w:val="single" w:sz="4" w:space="0" w:color="auto"/>
                                      <w:right w:val="single" w:sz="4" w:space="0" w:color="000000"/>
                                    </w:tcBorders>
                                    <w:shd w:val="clear" w:color="auto" w:fill="FFFFFF"/>
                                  </w:tcPr>
                                  <w:p w14:paraId="690360B9" w14:textId="77777777" w:rsidR="00CE57F9" w:rsidRPr="00346BDD" w:rsidRDefault="00CE57F9" w:rsidP="00DA2751">
                                    <w:pPr>
                                      <w:overflowPunct w:val="0"/>
                                      <w:snapToGrid w:val="0"/>
                                      <w:spacing w:line="240" w:lineRule="exact"/>
                                      <w:jc w:val="center"/>
                                      <w:rPr>
                                        <w:rFonts w:ascii="標楷體" w:eastAsia="標楷體" w:hAnsi="標楷體"/>
                                        <w:b/>
                                        <w:color w:val="000000"/>
                                        <w:sz w:val="20"/>
                                      </w:rPr>
                                    </w:pPr>
                                    <w:r w:rsidRPr="00346BDD">
                                      <w:rPr>
                                        <w:rFonts w:ascii="標楷體" w:eastAsia="標楷體" w:hAnsi="標楷體" w:hint="eastAsia"/>
                                        <w:b/>
                                        <w:color w:val="000000"/>
                                        <w:sz w:val="20"/>
                                      </w:rPr>
                                      <w:t>合計</w:t>
                                    </w:r>
                                  </w:p>
                                </w:tc>
                                <w:tc>
                                  <w:tcPr>
                                    <w:tcW w:w="464" w:type="dxa"/>
                                    <w:tcBorders>
                                      <w:top w:val="single" w:sz="4" w:space="0" w:color="auto"/>
                                      <w:bottom w:val="single" w:sz="4" w:space="0" w:color="auto"/>
                                      <w:right w:val="single" w:sz="4" w:space="0" w:color="000000"/>
                                    </w:tcBorders>
                                    <w:shd w:val="clear" w:color="auto" w:fill="FFFFFF"/>
                                  </w:tcPr>
                                  <w:p w14:paraId="41A28A46" w14:textId="77777777" w:rsidR="00CE57F9" w:rsidRPr="00346BDD" w:rsidRDefault="00CE57F9" w:rsidP="000628B7">
                                    <w:pPr>
                                      <w:overflowPunct w:val="0"/>
                                      <w:snapToGrid w:val="0"/>
                                      <w:spacing w:line="240" w:lineRule="exact"/>
                                      <w:jc w:val="center"/>
                                      <w:rPr>
                                        <w:rFonts w:ascii="標楷體" w:eastAsia="標楷體" w:hAnsi="標楷體"/>
                                        <w:b/>
                                        <w:color w:val="000000"/>
                                        <w:sz w:val="20"/>
                                      </w:rPr>
                                    </w:pPr>
                                    <w:r w:rsidRPr="00346BDD">
                                      <w:rPr>
                                        <w:rFonts w:ascii="標楷體" w:eastAsia="標楷體" w:hAnsi="標楷體"/>
                                        <w:b/>
                                        <w:color w:val="000000"/>
                                        <w:sz w:val="20"/>
                                      </w:rPr>
                                      <w:t>84</w:t>
                                    </w:r>
                                  </w:p>
                                </w:tc>
                                <w:tc>
                                  <w:tcPr>
                                    <w:tcW w:w="1331" w:type="dxa"/>
                                    <w:tcBorders>
                                      <w:top w:val="single" w:sz="4" w:space="0" w:color="auto"/>
                                      <w:left w:val="single" w:sz="4" w:space="0" w:color="000000"/>
                                      <w:bottom w:val="single" w:sz="4" w:space="0" w:color="auto"/>
                                      <w:right w:val="single" w:sz="4" w:space="0" w:color="auto"/>
                                    </w:tcBorders>
                                    <w:shd w:val="clear" w:color="auto" w:fill="FFFFFF"/>
                                  </w:tcPr>
                                  <w:p w14:paraId="139F7CF1" w14:textId="77777777" w:rsidR="00CE57F9" w:rsidRPr="00346BDD" w:rsidRDefault="00CE57F9" w:rsidP="000628B7">
                                    <w:pPr>
                                      <w:overflowPunct w:val="0"/>
                                      <w:snapToGrid w:val="0"/>
                                      <w:spacing w:line="240" w:lineRule="exact"/>
                                      <w:jc w:val="right"/>
                                      <w:rPr>
                                        <w:rFonts w:ascii="標楷體" w:eastAsia="標楷體" w:hAnsi="標楷體"/>
                                        <w:b/>
                                        <w:color w:val="000000"/>
                                        <w:sz w:val="20"/>
                                      </w:rPr>
                                    </w:pPr>
                                    <w:r w:rsidRPr="00346BDD">
                                      <w:rPr>
                                        <w:rFonts w:ascii="標楷體" w:eastAsia="標楷體" w:hAnsi="標楷體"/>
                                        <w:b/>
                                        <w:color w:val="000000"/>
                                        <w:sz w:val="20"/>
                                      </w:rPr>
                                      <w:t>704,088</w:t>
                                    </w:r>
                                  </w:p>
                                </w:tc>
                                <w:tc>
                                  <w:tcPr>
                                    <w:tcW w:w="1138" w:type="dxa"/>
                                    <w:tcBorders>
                                      <w:top w:val="single" w:sz="4" w:space="0" w:color="auto"/>
                                      <w:left w:val="single" w:sz="4" w:space="0" w:color="auto"/>
                                      <w:bottom w:val="single" w:sz="4" w:space="0" w:color="auto"/>
                                      <w:tl2br w:val="nil"/>
                                    </w:tcBorders>
                                    <w:shd w:val="clear" w:color="auto" w:fill="FFFFFF"/>
                                  </w:tcPr>
                                  <w:p w14:paraId="6888F766" w14:textId="01734C48" w:rsidR="00CE57F9" w:rsidRPr="00346BDD" w:rsidRDefault="00CE57F9" w:rsidP="00DA2751">
                                    <w:pPr>
                                      <w:overflowPunct w:val="0"/>
                                      <w:snapToGrid w:val="0"/>
                                      <w:spacing w:line="240" w:lineRule="exact"/>
                                      <w:jc w:val="center"/>
                                      <w:rPr>
                                        <w:rFonts w:ascii="標楷體" w:eastAsia="標楷體" w:hAnsi="標楷體"/>
                                        <w:b/>
                                        <w:color w:val="000000"/>
                                        <w:sz w:val="20"/>
                                      </w:rPr>
                                    </w:pPr>
                                    <w:r w:rsidRPr="00346BDD">
                                      <w:rPr>
                                        <w:rFonts w:ascii="標楷體" w:eastAsia="標楷體" w:hAnsi="標楷體" w:hint="eastAsia"/>
                                        <w:b/>
                                        <w:color w:val="000000"/>
                                        <w:sz w:val="20"/>
                                      </w:rPr>
                                      <w:t>合計</w:t>
                                    </w:r>
                                  </w:p>
                                </w:tc>
                                <w:tc>
                                  <w:tcPr>
                                    <w:tcW w:w="429" w:type="dxa"/>
                                    <w:tcBorders>
                                      <w:top w:val="single" w:sz="4" w:space="0" w:color="auto"/>
                                      <w:bottom w:val="single" w:sz="4" w:space="0" w:color="auto"/>
                                    </w:tcBorders>
                                    <w:shd w:val="clear" w:color="auto" w:fill="FFFFFF"/>
                                  </w:tcPr>
                                  <w:p w14:paraId="6987F9B1" w14:textId="77777777" w:rsidR="00CE57F9" w:rsidRPr="00346BDD" w:rsidRDefault="00CE57F9" w:rsidP="000628B7">
                                    <w:pPr>
                                      <w:overflowPunct w:val="0"/>
                                      <w:snapToGrid w:val="0"/>
                                      <w:spacing w:line="240" w:lineRule="exact"/>
                                      <w:jc w:val="right"/>
                                      <w:rPr>
                                        <w:rFonts w:ascii="標楷體" w:eastAsia="標楷體" w:hAnsi="標楷體"/>
                                        <w:b/>
                                        <w:color w:val="000000"/>
                                        <w:sz w:val="20"/>
                                      </w:rPr>
                                    </w:pPr>
                                    <w:r w:rsidRPr="00346BDD">
                                      <w:rPr>
                                        <w:rFonts w:ascii="標楷體" w:eastAsia="標楷體" w:hAnsi="標楷體"/>
                                        <w:b/>
                                        <w:color w:val="000000"/>
                                        <w:sz w:val="20"/>
                                      </w:rPr>
                                      <w:t>53</w:t>
                                    </w:r>
                                  </w:p>
                                </w:tc>
                                <w:tc>
                                  <w:tcPr>
                                    <w:tcW w:w="1405" w:type="dxa"/>
                                    <w:tcBorders>
                                      <w:top w:val="single" w:sz="4" w:space="0" w:color="auto"/>
                                      <w:bottom w:val="single" w:sz="4" w:space="0" w:color="auto"/>
                                      <w:right w:val="single" w:sz="4" w:space="0" w:color="auto"/>
                                    </w:tcBorders>
                                    <w:shd w:val="clear" w:color="auto" w:fill="FFFFFF"/>
                                  </w:tcPr>
                                  <w:p w14:paraId="2082DBE3" w14:textId="77777777" w:rsidR="00CE57F9" w:rsidRPr="00346BDD" w:rsidRDefault="00CE57F9" w:rsidP="000628B7">
                                    <w:pPr>
                                      <w:overflowPunct w:val="0"/>
                                      <w:snapToGrid w:val="0"/>
                                      <w:spacing w:line="240" w:lineRule="exact"/>
                                      <w:jc w:val="right"/>
                                      <w:rPr>
                                        <w:rFonts w:ascii="標楷體" w:eastAsia="標楷體" w:hAnsi="標楷體"/>
                                        <w:b/>
                                        <w:color w:val="000000"/>
                                        <w:sz w:val="20"/>
                                      </w:rPr>
                                    </w:pPr>
                                    <w:r w:rsidRPr="00346BDD">
                                      <w:rPr>
                                        <w:rFonts w:ascii="標楷體" w:eastAsia="標楷體" w:hAnsi="標楷體"/>
                                        <w:b/>
                                        <w:color w:val="000000"/>
                                        <w:sz w:val="20"/>
                                      </w:rPr>
                                      <w:t>125,541</w:t>
                                    </w:r>
                                  </w:p>
                                </w:tc>
                              </w:tr>
                              <w:tr w:rsidR="00CE57F9" w14:paraId="71E56C00" w14:textId="77777777" w:rsidTr="000628B7">
                                <w:trPr>
                                  <w:jc w:val="center"/>
                                </w:trPr>
                                <w:tc>
                                  <w:tcPr>
                                    <w:tcW w:w="438" w:type="dxa"/>
                                    <w:tcBorders>
                                      <w:left w:val="single" w:sz="4" w:space="0" w:color="auto"/>
                                    </w:tcBorders>
                                    <w:shd w:val="clear" w:color="auto" w:fill="FFFFFF"/>
                                    <w:vAlign w:val="center"/>
                                  </w:tcPr>
                                  <w:p w14:paraId="7286B44C"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1</w:t>
                                    </w:r>
                                  </w:p>
                                </w:tc>
                                <w:tc>
                                  <w:tcPr>
                                    <w:tcW w:w="1132" w:type="dxa"/>
                                    <w:tcBorders>
                                      <w:right w:val="single" w:sz="4" w:space="0" w:color="000000"/>
                                    </w:tcBorders>
                                    <w:shd w:val="clear" w:color="auto" w:fill="FFFFFF"/>
                                    <w:vAlign w:val="center"/>
                                  </w:tcPr>
                                  <w:p w14:paraId="34BFB78E"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color w:val="000000"/>
                                        <w:sz w:val="20"/>
                                      </w:rPr>
                                      <w:t>教育部</w:t>
                                    </w:r>
                                  </w:p>
                                </w:tc>
                                <w:tc>
                                  <w:tcPr>
                                    <w:tcW w:w="464" w:type="dxa"/>
                                    <w:tcBorders>
                                      <w:left w:val="single" w:sz="4" w:space="0" w:color="000000"/>
                                      <w:right w:val="single" w:sz="4" w:space="0" w:color="000000"/>
                                    </w:tcBorders>
                                    <w:shd w:val="clear" w:color="auto" w:fill="FFFFFF"/>
                                    <w:vAlign w:val="center"/>
                                  </w:tcPr>
                                  <w:p w14:paraId="39F18473"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31</w:t>
                                    </w:r>
                                  </w:p>
                                </w:tc>
                                <w:tc>
                                  <w:tcPr>
                                    <w:tcW w:w="1331" w:type="dxa"/>
                                    <w:tcBorders>
                                      <w:left w:val="single" w:sz="4" w:space="0" w:color="000000"/>
                                      <w:right w:val="single" w:sz="4" w:space="0" w:color="auto"/>
                                    </w:tcBorders>
                                    <w:shd w:val="clear" w:color="auto" w:fill="FFFFFF"/>
                                    <w:vAlign w:val="center"/>
                                  </w:tcPr>
                                  <w:p w14:paraId="0172FCA8"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58</w:t>
                                    </w:r>
                                    <w:r w:rsidRPr="008445D4">
                                      <w:rPr>
                                        <w:rFonts w:ascii="標楷體" w:eastAsia="標楷體" w:hAnsi="標楷體" w:hint="eastAsia"/>
                                        <w:color w:val="000000"/>
                                        <w:sz w:val="20"/>
                                      </w:rPr>
                                      <w:t>,</w:t>
                                    </w:r>
                                    <w:r w:rsidRPr="008445D4">
                                      <w:rPr>
                                        <w:rFonts w:ascii="標楷體" w:eastAsia="標楷體" w:hAnsi="標楷體"/>
                                        <w:color w:val="000000"/>
                                        <w:sz w:val="20"/>
                                      </w:rPr>
                                      <w:t>769</w:t>
                                    </w:r>
                                  </w:p>
                                </w:tc>
                                <w:tc>
                                  <w:tcPr>
                                    <w:tcW w:w="1138" w:type="dxa"/>
                                    <w:tcBorders>
                                      <w:left w:val="single" w:sz="4" w:space="0" w:color="auto"/>
                                    </w:tcBorders>
                                    <w:shd w:val="clear" w:color="auto" w:fill="FFFFFF"/>
                                    <w:vAlign w:val="center"/>
                                  </w:tcPr>
                                  <w:p w14:paraId="33537A72"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臺北市政府</w:t>
                                    </w:r>
                                  </w:p>
                                </w:tc>
                                <w:tc>
                                  <w:tcPr>
                                    <w:tcW w:w="429" w:type="dxa"/>
                                    <w:shd w:val="clear" w:color="auto" w:fill="FFFFFF"/>
                                    <w:vAlign w:val="center"/>
                                  </w:tcPr>
                                  <w:p w14:paraId="248D30D9"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8</w:t>
                                    </w:r>
                                  </w:p>
                                </w:tc>
                                <w:tc>
                                  <w:tcPr>
                                    <w:tcW w:w="1405" w:type="dxa"/>
                                    <w:tcBorders>
                                      <w:right w:val="single" w:sz="4" w:space="0" w:color="auto"/>
                                    </w:tcBorders>
                                    <w:shd w:val="clear" w:color="auto" w:fill="FFFFFF"/>
                                    <w:vAlign w:val="center"/>
                                  </w:tcPr>
                                  <w:p w14:paraId="5797B41C"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14</w:t>
                                    </w:r>
                                    <w:r w:rsidRPr="008445D4">
                                      <w:rPr>
                                        <w:rFonts w:ascii="標楷體" w:eastAsia="標楷體" w:hAnsi="標楷體" w:hint="eastAsia"/>
                                        <w:color w:val="000000"/>
                                        <w:sz w:val="20"/>
                                      </w:rPr>
                                      <w:t>,</w:t>
                                    </w:r>
                                    <w:r w:rsidRPr="008445D4">
                                      <w:rPr>
                                        <w:rFonts w:ascii="標楷體" w:eastAsia="標楷體" w:hAnsi="標楷體"/>
                                        <w:color w:val="000000"/>
                                        <w:sz w:val="20"/>
                                      </w:rPr>
                                      <w:t>925</w:t>
                                    </w:r>
                                  </w:p>
                                </w:tc>
                              </w:tr>
                              <w:tr w:rsidR="00CE57F9" w14:paraId="6D1B621F" w14:textId="77777777" w:rsidTr="000628B7">
                                <w:trPr>
                                  <w:jc w:val="center"/>
                                </w:trPr>
                                <w:tc>
                                  <w:tcPr>
                                    <w:tcW w:w="438" w:type="dxa"/>
                                    <w:tcBorders>
                                      <w:left w:val="single" w:sz="4" w:space="0" w:color="auto"/>
                                    </w:tcBorders>
                                    <w:shd w:val="clear" w:color="auto" w:fill="FFFFFF"/>
                                    <w:vAlign w:val="center"/>
                                  </w:tcPr>
                                  <w:p w14:paraId="096D2BA6"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2</w:t>
                                    </w:r>
                                  </w:p>
                                </w:tc>
                                <w:tc>
                                  <w:tcPr>
                                    <w:tcW w:w="1132" w:type="dxa"/>
                                    <w:shd w:val="clear" w:color="auto" w:fill="FFFFFF"/>
                                    <w:vAlign w:val="center"/>
                                  </w:tcPr>
                                  <w:p w14:paraId="3C30254B"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國軍退除役官兵輔導委員會</w:t>
                                    </w:r>
                                  </w:p>
                                </w:tc>
                                <w:tc>
                                  <w:tcPr>
                                    <w:tcW w:w="464" w:type="dxa"/>
                                    <w:tcBorders>
                                      <w:right w:val="single" w:sz="4" w:space="0" w:color="000000"/>
                                    </w:tcBorders>
                                    <w:shd w:val="clear" w:color="auto" w:fill="FFFFFF"/>
                                    <w:vAlign w:val="center"/>
                                  </w:tcPr>
                                  <w:p w14:paraId="1E138B9C"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14</w:t>
                                    </w:r>
                                  </w:p>
                                </w:tc>
                                <w:tc>
                                  <w:tcPr>
                                    <w:tcW w:w="1331" w:type="dxa"/>
                                    <w:tcBorders>
                                      <w:left w:val="single" w:sz="4" w:space="0" w:color="000000"/>
                                      <w:right w:val="single" w:sz="4" w:space="0" w:color="auto"/>
                                    </w:tcBorders>
                                    <w:shd w:val="clear" w:color="auto" w:fill="FFFFFF"/>
                                    <w:vAlign w:val="center"/>
                                  </w:tcPr>
                                  <w:p w14:paraId="6EDF9F95"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41</w:t>
                                    </w:r>
                                    <w:r w:rsidRPr="008445D4">
                                      <w:rPr>
                                        <w:rFonts w:ascii="標楷體" w:eastAsia="標楷體" w:hAnsi="標楷體" w:hint="eastAsia"/>
                                        <w:color w:val="000000"/>
                                        <w:sz w:val="20"/>
                                      </w:rPr>
                                      <w:t>,</w:t>
                                    </w:r>
                                    <w:r w:rsidRPr="008445D4">
                                      <w:rPr>
                                        <w:rFonts w:ascii="標楷體" w:eastAsia="標楷體" w:hAnsi="標楷體"/>
                                        <w:color w:val="000000"/>
                                        <w:sz w:val="20"/>
                                      </w:rPr>
                                      <w:t>234</w:t>
                                    </w:r>
                                  </w:p>
                                </w:tc>
                                <w:tc>
                                  <w:tcPr>
                                    <w:tcW w:w="1138" w:type="dxa"/>
                                    <w:tcBorders>
                                      <w:left w:val="single" w:sz="4" w:space="0" w:color="auto"/>
                                    </w:tcBorders>
                                    <w:shd w:val="clear" w:color="auto" w:fill="FFFFFF"/>
                                    <w:vAlign w:val="center"/>
                                  </w:tcPr>
                                  <w:p w14:paraId="13FA1503"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新竹縣政府</w:t>
                                    </w:r>
                                  </w:p>
                                </w:tc>
                                <w:tc>
                                  <w:tcPr>
                                    <w:tcW w:w="429" w:type="dxa"/>
                                    <w:shd w:val="clear" w:color="auto" w:fill="FFFFFF"/>
                                    <w:vAlign w:val="center"/>
                                  </w:tcPr>
                                  <w:p w14:paraId="7C04CD8E"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8</w:t>
                                    </w:r>
                                  </w:p>
                                </w:tc>
                                <w:tc>
                                  <w:tcPr>
                                    <w:tcW w:w="1405" w:type="dxa"/>
                                    <w:tcBorders>
                                      <w:right w:val="single" w:sz="4" w:space="0" w:color="auto"/>
                                    </w:tcBorders>
                                    <w:shd w:val="clear" w:color="auto" w:fill="FFFFFF"/>
                                    <w:vAlign w:val="center"/>
                                  </w:tcPr>
                                  <w:p w14:paraId="5F4ECD00"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13</w:t>
                                    </w:r>
                                    <w:r w:rsidRPr="008445D4">
                                      <w:rPr>
                                        <w:rFonts w:ascii="標楷體" w:eastAsia="標楷體" w:hAnsi="標楷體" w:hint="eastAsia"/>
                                        <w:color w:val="000000"/>
                                        <w:sz w:val="20"/>
                                      </w:rPr>
                                      <w:t>,</w:t>
                                    </w:r>
                                    <w:r w:rsidRPr="008445D4">
                                      <w:rPr>
                                        <w:rFonts w:ascii="標楷體" w:eastAsia="標楷體" w:hAnsi="標楷體"/>
                                        <w:color w:val="000000"/>
                                        <w:sz w:val="20"/>
                                      </w:rPr>
                                      <w:t>847</w:t>
                                    </w:r>
                                  </w:p>
                                </w:tc>
                              </w:tr>
                              <w:tr w:rsidR="00CE57F9" w14:paraId="500EE4B4" w14:textId="77777777" w:rsidTr="000628B7">
                                <w:trPr>
                                  <w:jc w:val="center"/>
                                </w:trPr>
                                <w:tc>
                                  <w:tcPr>
                                    <w:tcW w:w="438" w:type="dxa"/>
                                    <w:tcBorders>
                                      <w:left w:val="single" w:sz="4" w:space="0" w:color="auto"/>
                                      <w:bottom w:val="single" w:sz="4" w:space="0" w:color="auto"/>
                                    </w:tcBorders>
                                    <w:shd w:val="clear" w:color="auto" w:fill="FFFFFF"/>
                                    <w:vAlign w:val="center"/>
                                  </w:tcPr>
                                  <w:p w14:paraId="4E903965"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3</w:t>
                                    </w:r>
                                  </w:p>
                                </w:tc>
                                <w:tc>
                                  <w:tcPr>
                                    <w:tcW w:w="1132" w:type="dxa"/>
                                    <w:tcBorders>
                                      <w:bottom w:val="single" w:sz="4" w:space="0" w:color="auto"/>
                                    </w:tcBorders>
                                    <w:shd w:val="clear" w:color="auto" w:fill="FFFFFF"/>
                                    <w:vAlign w:val="center"/>
                                  </w:tcPr>
                                  <w:p w14:paraId="0DF6B488"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經濟部</w:t>
                                    </w:r>
                                  </w:p>
                                </w:tc>
                                <w:tc>
                                  <w:tcPr>
                                    <w:tcW w:w="464" w:type="dxa"/>
                                    <w:tcBorders>
                                      <w:bottom w:val="single" w:sz="4" w:space="0" w:color="auto"/>
                                      <w:right w:val="single" w:sz="4" w:space="0" w:color="000000"/>
                                    </w:tcBorders>
                                    <w:shd w:val="clear" w:color="auto" w:fill="FFFFFF"/>
                                    <w:vAlign w:val="center"/>
                                  </w:tcPr>
                                  <w:p w14:paraId="4C787AE8"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13</w:t>
                                    </w:r>
                                  </w:p>
                                </w:tc>
                                <w:tc>
                                  <w:tcPr>
                                    <w:tcW w:w="1331" w:type="dxa"/>
                                    <w:tcBorders>
                                      <w:left w:val="single" w:sz="4" w:space="0" w:color="000000"/>
                                      <w:bottom w:val="single" w:sz="4" w:space="0" w:color="auto"/>
                                      <w:right w:val="single" w:sz="4" w:space="0" w:color="auto"/>
                                    </w:tcBorders>
                                    <w:shd w:val="clear" w:color="auto" w:fill="FFFFFF"/>
                                    <w:vAlign w:val="center"/>
                                  </w:tcPr>
                                  <w:p w14:paraId="450FE448"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37,610</w:t>
                                    </w:r>
                                  </w:p>
                                </w:tc>
                                <w:tc>
                                  <w:tcPr>
                                    <w:tcW w:w="1138" w:type="dxa"/>
                                    <w:tcBorders>
                                      <w:left w:val="single" w:sz="4" w:space="0" w:color="auto"/>
                                    </w:tcBorders>
                                    <w:shd w:val="clear" w:color="auto" w:fill="FFFFFF"/>
                                    <w:vAlign w:val="center"/>
                                  </w:tcPr>
                                  <w:p w14:paraId="0DB57B5F"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彰化縣政府</w:t>
                                    </w:r>
                                  </w:p>
                                </w:tc>
                                <w:tc>
                                  <w:tcPr>
                                    <w:tcW w:w="429" w:type="dxa"/>
                                    <w:shd w:val="clear" w:color="auto" w:fill="FFFFFF"/>
                                    <w:vAlign w:val="center"/>
                                  </w:tcPr>
                                  <w:p w14:paraId="064A9D7E"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7</w:t>
                                    </w:r>
                                  </w:p>
                                </w:tc>
                                <w:tc>
                                  <w:tcPr>
                                    <w:tcW w:w="1405" w:type="dxa"/>
                                    <w:tcBorders>
                                      <w:right w:val="single" w:sz="4" w:space="0" w:color="auto"/>
                                    </w:tcBorders>
                                    <w:shd w:val="clear" w:color="auto" w:fill="FFFFFF"/>
                                    <w:vAlign w:val="center"/>
                                  </w:tcPr>
                                  <w:p w14:paraId="7788A42A"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10</w:t>
                                    </w:r>
                                    <w:r w:rsidRPr="008445D4">
                                      <w:rPr>
                                        <w:rFonts w:ascii="標楷體" w:eastAsia="標楷體" w:hAnsi="標楷體" w:hint="eastAsia"/>
                                        <w:color w:val="000000"/>
                                        <w:sz w:val="20"/>
                                      </w:rPr>
                                      <w:t>,</w:t>
                                    </w:r>
                                    <w:r w:rsidRPr="008445D4">
                                      <w:rPr>
                                        <w:rFonts w:ascii="標楷體" w:eastAsia="標楷體" w:hAnsi="標楷體"/>
                                        <w:color w:val="000000"/>
                                        <w:sz w:val="20"/>
                                      </w:rPr>
                                      <w:t>359</w:t>
                                    </w:r>
                                  </w:p>
                                </w:tc>
                              </w:tr>
                              <w:tr w:rsidR="00CE57F9" w14:paraId="426D6068" w14:textId="77777777" w:rsidTr="000628B7">
                                <w:trPr>
                                  <w:jc w:val="center"/>
                                </w:trPr>
                                <w:tc>
                                  <w:tcPr>
                                    <w:tcW w:w="438" w:type="dxa"/>
                                    <w:tcBorders>
                                      <w:left w:val="single" w:sz="4" w:space="0" w:color="auto"/>
                                    </w:tcBorders>
                                    <w:shd w:val="clear" w:color="auto" w:fill="FFFFFF"/>
                                    <w:vAlign w:val="center"/>
                                  </w:tcPr>
                                  <w:p w14:paraId="6668BA8F"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4</w:t>
                                    </w:r>
                                  </w:p>
                                </w:tc>
                                <w:tc>
                                  <w:tcPr>
                                    <w:tcW w:w="1132" w:type="dxa"/>
                                    <w:shd w:val="clear" w:color="auto" w:fill="FFFFFF"/>
                                    <w:vAlign w:val="center"/>
                                  </w:tcPr>
                                  <w:p w14:paraId="5AC9F2BD"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財政部</w:t>
                                    </w:r>
                                  </w:p>
                                </w:tc>
                                <w:tc>
                                  <w:tcPr>
                                    <w:tcW w:w="464" w:type="dxa"/>
                                    <w:tcBorders>
                                      <w:right w:val="single" w:sz="4" w:space="0" w:color="000000"/>
                                    </w:tcBorders>
                                    <w:shd w:val="clear" w:color="auto" w:fill="FFFFFF"/>
                                    <w:vAlign w:val="center"/>
                                  </w:tcPr>
                                  <w:p w14:paraId="107220FE"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6</w:t>
                                    </w:r>
                                  </w:p>
                                </w:tc>
                                <w:tc>
                                  <w:tcPr>
                                    <w:tcW w:w="1331" w:type="dxa"/>
                                    <w:tcBorders>
                                      <w:left w:val="single" w:sz="4" w:space="0" w:color="000000"/>
                                      <w:right w:val="single" w:sz="4" w:space="0" w:color="auto"/>
                                    </w:tcBorders>
                                    <w:shd w:val="clear" w:color="auto" w:fill="FFFFFF"/>
                                    <w:vAlign w:val="center"/>
                                  </w:tcPr>
                                  <w:p w14:paraId="05686C12"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36</w:t>
                                    </w:r>
                                    <w:r w:rsidRPr="008445D4">
                                      <w:rPr>
                                        <w:rFonts w:ascii="標楷體" w:eastAsia="標楷體" w:hAnsi="標楷體" w:hint="eastAsia"/>
                                        <w:color w:val="000000"/>
                                        <w:sz w:val="20"/>
                                      </w:rPr>
                                      <w:t>,</w:t>
                                    </w:r>
                                    <w:r w:rsidRPr="008445D4">
                                      <w:rPr>
                                        <w:rFonts w:ascii="標楷體" w:eastAsia="標楷體" w:hAnsi="標楷體"/>
                                        <w:color w:val="000000"/>
                                        <w:sz w:val="20"/>
                                      </w:rPr>
                                      <w:t>336</w:t>
                                    </w:r>
                                  </w:p>
                                </w:tc>
                                <w:tc>
                                  <w:tcPr>
                                    <w:tcW w:w="1138" w:type="dxa"/>
                                    <w:tcBorders>
                                      <w:left w:val="single" w:sz="4" w:space="0" w:color="auto"/>
                                      <w:bottom w:val="single" w:sz="4" w:space="0" w:color="auto"/>
                                    </w:tcBorders>
                                    <w:shd w:val="clear" w:color="auto" w:fill="FFFFFF"/>
                                    <w:vAlign w:val="center"/>
                                  </w:tcPr>
                                  <w:p w14:paraId="1206A012"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新北市政府</w:t>
                                    </w:r>
                                  </w:p>
                                </w:tc>
                                <w:tc>
                                  <w:tcPr>
                                    <w:tcW w:w="429" w:type="dxa"/>
                                    <w:tcBorders>
                                      <w:bottom w:val="single" w:sz="4" w:space="0" w:color="auto"/>
                                    </w:tcBorders>
                                    <w:shd w:val="clear" w:color="auto" w:fill="FFFFFF"/>
                                    <w:vAlign w:val="center"/>
                                  </w:tcPr>
                                  <w:p w14:paraId="2337887D"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6</w:t>
                                    </w:r>
                                  </w:p>
                                </w:tc>
                                <w:tc>
                                  <w:tcPr>
                                    <w:tcW w:w="1405" w:type="dxa"/>
                                    <w:tcBorders>
                                      <w:bottom w:val="single" w:sz="4" w:space="0" w:color="auto"/>
                                      <w:right w:val="single" w:sz="4" w:space="0" w:color="auto"/>
                                    </w:tcBorders>
                                    <w:shd w:val="clear" w:color="auto" w:fill="FFFFFF"/>
                                    <w:vAlign w:val="center"/>
                                  </w:tcPr>
                                  <w:p w14:paraId="247BF4DC"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28</w:t>
                                    </w:r>
                                    <w:r w:rsidRPr="008445D4">
                                      <w:rPr>
                                        <w:rFonts w:ascii="標楷體" w:eastAsia="標楷體" w:hAnsi="標楷體" w:hint="eastAsia"/>
                                        <w:color w:val="000000"/>
                                        <w:sz w:val="20"/>
                                      </w:rPr>
                                      <w:t>,</w:t>
                                    </w:r>
                                    <w:r w:rsidRPr="008445D4">
                                      <w:rPr>
                                        <w:rFonts w:ascii="標楷體" w:eastAsia="標楷體" w:hAnsi="標楷體"/>
                                        <w:color w:val="000000"/>
                                        <w:sz w:val="20"/>
                                      </w:rPr>
                                      <w:t>927</w:t>
                                    </w:r>
                                  </w:p>
                                </w:tc>
                              </w:tr>
                              <w:tr w:rsidR="00CE57F9" w14:paraId="7E9D87AD" w14:textId="77777777" w:rsidTr="000628B7">
                                <w:trPr>
                                  <w:jc w:val="center"/>
                                </w:trPr>
                                <w:tc>
                                  <w:tcPr>
                                    <w:tcW w:w="438" w:type="dxa"/>
                                    <w:tcBorders>
                                      <w:left w:val="single" w:sz="4" w:space="0" w:color="auto"/>
                                    </w:tcBorders>
                                    <w:shd w:val="clear" w:color="auto" w:fill="FFFFFF"/>
                                    <w:vAlign w:val="center"/>
                                  </w:tcPr>
                                  <w:p w14:paraId="7918505E"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5</w:t>
                                    </w:r>
                                  </w:p>
                                </w:tc>
                                <w:tc>
                                  <w:tcPr>
                                    <w:tcW w:w="1132" w:type="dxa"/>
                                    <w:shd w:val="clear" w:color="auto" w:fill="FFFFFF"/>
                                    <w:vAlign w:val="center"/>
                                  </w:tcPr>
                                  <w:p w14:paraId="34D01724"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國防部</w:t>
                                    </w:r>
                                  </w:p>
                                </w:tc>
                                <w:tc>
                                  <w:tcPr>
                                    <w:tcW w:w="464" w:type="dxa"/>
                                    <w:tcBorders>
                                      <w:right w:val="single" w:sz="4" w:space="0" w:color="000000"/>
                                    </w:tcBorders>
                                    <w:shd w:val="clear" w:color="auto" w:fill="FFFFFF"/>
                                    <w:vAlign w:val="center"/>
                                  </w:tcPr>
                                  <w:p w14:paraId="2E14969F"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5</w:t>
                                    </w:r>
                                  </w:p>
                                </w:tc>
                                <w:tc>
                                  <w:tcPr>
                                    <w:tcW w:w="1331" w:type="dxa"/>
                                    <w:tcBorders>
                                      <w:left w:val="single" w:sz="4" w:space="0" w:color="000000"/>
                                      <w:right w:val="single" w:sz="4" w:space="0" w:color="auto"/>
                                    </w:tcBorders>
                                    <w:shd w:val="clear" w:color="auto" w:fill="FFFFFF"/>
                                    <w:vAlign w:val="center"/>
                                  </w:tcPr>
                                  <w:p w14:paraId="66E323BB"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12</w:t>
                                    </w:r>
                                    <w:r w:rsidRPr="008445D4">
                                      <w:rPr>
                                        <w:rFonts w:ascii="標楷體" w:eastAsia="標楷體" w:hAnsi="標楷體" w:hint="eastAsia"/>
                                        <w:color w:val="000000"/>
                                        <w:sz w:val="20"/>
                                      </w:rPr>
                                      <w:t>,</w:t>
                                    </w:r>
                                    <w:r w:rsidRPr="008445D4">
                                      <w:rPr>
                                        <w:rFonts w:ascii="標楷體" w:eastAsia="標楷體" w:hAnsi="標楷體"/>
                                        <w:color w:val="000000"/>
                                        <w:sz w:val="20"/>
                                      </w:rPr>
                                      <w:t>015</w:t>
                                    </w:r>
                                  </w:p>
                                </w:tc>
                                <w:tc>
                                  <w:tcPr>
                                    <w:tcW w:w="1138" w:type="dxa"/>
                                    <w:tcBorders>
                                      <w:left w:val="single" w:sz="4" w:space="0" w:color="auto"/>
                                    </w:tcBorders>
                                    <w:shd w:val="clear" w:color="auto" w:fill="FFFFFF"/>
                                    <w:vAlign w:val="center"/>
                                  </w:tcPr>
                                  <w:p w14:paraId="32DEB233"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桃園市政府</w:t>
                                    </w:r>
                                  </w:p>
                                </w:tc>
                                <w:tc>
                                  <w:tcPr>
                                    <w:tcW w:w="429" w:type="dxa"/>
                                    <w:shd w:val="clear" w:color="auto" w:fill="FFFFFF"/>
                                    <w:vAlign w:val="center"/>
                                  </w:tcPr>
                                  <w:p w14:paraId="24670C45"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6</w:t>
                                    </w:r>
                                  </w:p>
                                </w:tc>
                                <w:tc>
                                  <w:tcPr>
                                    <w:tcW w:w="1405" w:type="dxa"/>
                                    <w:tcBorders>
                                      <w:right w:val="single" w:sz="4" w:space="0" w:color="auto"/>
                                    </w:tcBorders>
                                    <w:shd w:val="clear" w:color="auto" w:fill="FFFFFF"/>
                                    <w:vAlign w:val="center"/>
                                  </w:tcPr>
                                  <w:p w14:paraId="204E8052"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22</w:t>
                                    </w:r>
                                    <w:r w:rsidRPr="008445D4">
                                      <w:rPr>
                                        <w:rFonts w:ascii="標楷體" w:eastAsia="標楷體" w:hAnsi="標楷體" w:hint="eastAsia"/>
                                        <w:color w:val="000000"/>
                                        <w:sz w:val="20"/>
                                      </w:rPr>
                                      <w:t>,</w:t>
                                    </w:r>
                                    <w:r w:rsidRPr="008445D4">
                                      <w:rPr>
                                        <w:rFonts w:ascii="標楷體" w:eastAsia="標楷體" w:hAnsi="標楷體"/>
                                        <w:color w:val="000000"/>
                                        <w:sz w:val="20"/>
                                      </w:rPr>
                                      <w:t>580</w:t>
                                    </w:r>
                                  </w:p>
                                </w:tc>
                              </w:tr>
                              <w:tr w:rsidR="00CE57F9" w14:paraId="3757B526" w14:textId="77777777" w:rsidTr="000628B7">
                                <w:trPr>
                                  <w:jc w:val="center"/>
                                </w:trPr>
                                <w:tc>
                                  <w:tcPr>
                                    <w:tcW w:w="438" w:type="dxa"/>
                                    <w:tcBorders>
                                      <w:left w:val="single" w:sz="4" w:space="0" w:color="auto"/>
                                    </w:tcBorders>
                                    <w:shd w:val="clear" w:color="auto" w:fill="FFFFFF"/>
                                    <w:vAlign w:val="center"/>
                                  </w:tcPr>
                                  <w:p w14:paraId="7C6AF965"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6</w:t>
                                    </w:r>
                                  </w:p>
                                </w:tc>
                                <w:tc>
                                  <w:tcPr>
                                    <w:tcW w:w="1132" w:type="dxa"/>
                                    <w:shd w:val="clear" w:color="auto" w:fill="FFFFFF"/>
                                    <w:vAlign w:val="center"/>
                                  </w:tcPr>
                                  <w:p w14:paraId="2EEE9A25"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文化部</w:t>
                                    </w:r>
                                  </w:p>
                                </w:tc>
                                <w:tc>
                                  <w:tcPr>
                                    <w:tcW w:w="464" w:type="dxa"/>
                                    <w:tcBorders>
                                      <w:right w:val="single" w:sz="4" w:space="0" w:color="000000"/>
                                    </w:tcBorders>
                                    <w:shd w:val="clear" w:color="auto" w:fill="FFFFFF"/>
                                    <w:vAlign w:val="center"/>
                                  </w:tcPr>
                                  <w:p w14:paraId="129C3A10"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3</w:t>
                                    </w:r>
                                  </w:p>
                                </w:tc>
                                <w:tc>
                                  <w:tcPr>
                                    <w:tcW w:w="1331" w:type="dxa"/>
                                    <w:tcBorders>
                                      <w:left w:val="single" w:sz="4" w:space="0" w:color="000000"/>
                                      <w:right w:val="single" w:sz="4" w:space="0" w:color="auto"/>
                                    </w:tcBorders>
                                    <w:shd w:val="clear" w:color="auto" w:fill="FFFFFF"/>
                                    <w:vAlign w:val="center"/>
                                  </w:tcPr>
                                  <w:p w14:paraId="0E6C2945"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9</w:t>
                                    </w:r>
                                    <w:r w:rsidRPr="008445D4">
                                      <w:rPr>
                                        <w:rFonts w:ascii="標楷體" w:eastAsia="標楷體" w:hAnsi="標楷體" w:hint="eastAsia"/>
                                        <w:color w:val="000000"/>
                                        <w:sz w:val="20"/>
                                      </w:rPr>
                                      <w:t>,</w:t>
                                    </w:r>
                                    <w:r w:rsidRPr="008445D4">
                                      <w:rPr>
                                        <w:rFonts w:ascii="標楷體" w:eastAsia="標楷體" w:hAnsi="標楷體"/>
                                        <w:color w:val="000000"/>
                                        <w:sz w:val="20"/>
                                      </w:rPr>
                                      <w:t>400</w:t>
                                    </w:r>
                                  </w:p>
                                </w:tc>
                                <w:tc>
                                  <w:tcPr>
                                    <w:tcW w:w="1138" w:type="dxa"/>
                                    <w:tcBorders>
                                      <w:left w:val="single" w:sz="4" w:space="0" w:color="auto"/>
                                    </w:tcBorders>
                                    <w:shd w:val="clear" w:color="auto" w:fill="FFFFFF"/>
                                    <w:vAlign w:val="center"/>
                                  </w:tcPr>
                                  <w:p w14:paraId="6677EB0B"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宜蘭縣政府</w:t>
                                    </w:r>
                                  </w:p>
                                </w:tc>
                                <w:tc>
                                  <w:tcPr>
                                    <w:tcW w:w="429" w:type="dxa"/>
                                    <w:shd w:val="clear" w:color="auto" w:fill="FFFFFF"/>
                                    <w:vAlign w:val="center"/>
                                  </w:tcPr>
                                  <w:p w14:paraId="218100EE"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6</w:t>
                                    </w:r>
                                  </w:p>
                                </w:tc>
                                <w:tc>
                                  <w:tcPr>
                                    <w:tcW w:w="1405" w:type="dxa"/>
                                    <w:tcBorders>
                                      <w:right w:val="single" w:sz="4" w:space="0" w:color="auto"/>
                                    </w:tcBorders>
                                    <w:shd w:val="clear" w:color="auto" w:fill="FFFFFF"/>
                                    <w:vAlign w:val="center"/>
                                  </w:tcPr>
                                  <w:p w14:paraId="6D0D6E91"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14</w:t>
                                    </w:r>
                                    <w:r w:rsidRPr="008445D4">
                                      <w:rPr>
                                        <w:rFonts w:ascii="標楷體" w:eastAsia="標楷體" w:hAnsi="標楷體" w:hint="eastAsia"/>
                                        <w:color w:val="000000"/>
                                        <w:sz w:val="20"/>
                                      </w:rPr>
                                      <w:t>,</w:t>
                                    </w:r>
                                    <w:r w:rsidRPr="008445D4">
                                      <w:rPr>
                                        <w:rFonts w:ascii="標楷體" w:eastAsia="標楷體" w:hAnsi="標楷體"/>
                                        <w:color w:val="000000"/>
                                        <w:sz w:val="20"/>
                                      </w:rPr>
                                      <w:t>355</w:t>
                                    </w:r>
                                  </w:p>
                                </w:tc>
                              </w:tr>
                              <w:tr w:rsidR="00CE57F9" w14:paraId="6D442BF9" w14:textId="77777777" w:rsidTr="000628B7">
                                <w:trPr>
                                  <w:jc w:val="center"/>
                                </w:trPr>
                                <w:tc>
                                  <w:tcPr>
                                    <w:tcW w:w="438" w:type="dxa"/>
                                    <w:tcBorders>
                                      <w:left w:val="single" w:sz="4" w:space="0" w:color="auto"/>
                                    </w:tcBorders>
                                    <w:shd w:val="clear" w:color="auto" w:fill="auto"/>
                                    <w:vAlign w:val="center"/>
                                  </w:tcPr>
                                  <w:p w14:paraId="3ACD520A"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7</w:t>
                                    </w:r>
                                  </w:p>
                                </w:tc>
                                <w:tc>
                                  <w:tcPr>
                                    <w:tcW w:w="1132" w:type="dxa"/>
                                    <w:shd w:val="clear" w:color="auto" w:fill="auto"/>
                                    <w:vAlign w:val="center"/>
                                  </w:tcPr>
                                  <w:p w14:paraId="71D11E4D"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司法院</w:t>
                                    </w:r>
                                  </w:p>
                                </w:tc>
                                <w:tc>
                                  <w:tcPr>
                                    <w:tcW w:w="464" w:type="dxa"/>
                                    <w:tcBorders>
                                      <w:right w:val="single" w:sz="4" w:space="0" w:color="000000"/>
                                    </w:tcBorders>
                                    <w:shd w:val="clear" w:color="auto" w:fill="auto"/>
                                    <w:vAlign w:val="center"/>
                                  </w:tcPr>
                                  <w:p w14:paraId="7E84538D"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2</w:t>
                                    </w:r>
                                  </w:p>
                                </w:tc>
                                <w:tc>
                                  <w:tcPr>
                                    <w:tcW w:w="1331" w:type="dxa"/>
                                    <w:tcBorders>
                                      <w:left w:val="single" w:sz="4" w:space="0" w:color="000000"/>
                                      <w:right w:val="single" w:sz="4" w:space="0" w:color="auto"/>
                                    </w:tcBorders>
                                    <w:shd w:val="clear" w:color="auto" w:fill="auto"/>
                                    <w:vAlign w:val="center"/>
                                  </w:tcPr>
                                  <w:p w14:paraId="3586317F"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3</w:t>
                                    </w:r>
                                    <w:r w:rsidRPr="008445D4">
                                      <w:rPr>
                                        <w:rFonts w:ascii="標楷體" w:eastAsia="標楷體" w:hAnsi="標楷體" w:hint="eastAsia"/>
                                        <w:color w:val="000000"/>
                                        <w:sz w:val="20"/>
                                      </w:rPr>
                                      <w:t>,</w:t>
                                    </w:r>
                                    <w:r w:rsidRPr="008445D4">
                                      <w:rPr>
                                        <w:rFonts w:ascii="標楷體" w:eastAsia="標楷體" w:hAnsi="標楷體"/>
                                        <w:color w:val="000000"/>
                                        <w:sz w:val="20"/>
                                      </w:rPr>
                                      <w:t>428</w:t>
                                    </w:r>
                                  </w:p>
                                </w:tc>
                                <w:tc>
                                  <w:tcPr>
                                    <w:tcW w:w="1138" w:type="dxa"/>
                                    <w:tcBorders>
                                      <w:left w:val="single" w:sz="4" w:space="0" w:color="auto"/>
                                    </w:tcBorders>
                                    <w:shd w:val="clear" w:color="auto" w:fill="auto"/>
                                    <w:vAlign w:val="center"/>
                                  </w:tcPr>
                                  <w:p w14:paraId="7825B6EA"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高雄市政府</w:t>
                                    </w:r>
                                  </w:p>
                                </w:tc>
                                <w:tc>
                                  <w:tcPr>
                                    <w:tcW w:w="429" w:type="dxa"/>
                                    <w:shd w:val="clear" w:color="auto" w:fill="auto"/>
                                    <w:vAlign w:val="center"/>
                                  </w:tcPr>
                                  <w:p w14:paraId="59E730C8"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2</w:t>
                                    </w:r>
                                  </w:p>
                                </w:tc>
                                <w:tc>
                                  <w:tcPr>
                                    <w:tcW w:w="1405" w:type="dxa"/>
                                    <w:tcBorders>
                                      <w:right w:val="single" w:sz="4" w:space="0" w:color="auto"/>
                                    </w:tcBorders>
                                    <w:shd w:val="clear" w:color="auto" w:fill="auto"/>
                                    <w:vAlign w:val="center"/>
                                  </w:tcPr>
                                  <w:p w14:paraId="15475993"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3</w:t>
                                    </w:r>
                                    <w:r w:rsidRPr="008445D4">
                                      <w:rPr>
                                        <w:rFonts w:ascii="標楷體" w:eastAsia="標楷體" w:hAnsi="標楷體" w:hint="eastAsia"/>
                                        <w:color w:val="000000"/>
                                        <w:sz w:val="20"/>
                                      </w:rPr>
                                      <w:t>,</w:t>
                                    </w:r>
                                    <w:r w:rsidRPr="008445D4">
                                      <w:rPr>
                                        <w:rFonts w:ascii="標楷體" w:eastAsia="標楷體" w:hAnsi="標楷體"/>
                                        <w:color w:val="000000"/>
                                        <w:sz w:val="20"/>
                                      </w:rPr>
                                      <w:t>144</w:t>
                                    </w:r>
                                  </w:p>
                                </w:tc>
                              </w:tr>
                              <w:tr w:rsidR="00CE57F9" w14:paraId="4B0CF9EA" w14:textId="77777777" w:rsidTr="000628B7">
                                <w:trPr>
                                  <w:jc w:val="center"/>
                                </w:trPr>
                                <w:tc>
                                  <w:tcPr>
                                    <w:tcW w:w="438" w:type="dxa"/>
                                    <w:tcBorders>
                                      <w:left w:val="single" w:sz="4" w:space="0" w:color="auto"/>
                                    </w:tcBorders>
                                    <w:shd w:val="clear" w:color="auto" w:fill="auto"/>
                                    <w:vAlign w:val="center"/>
                                  </w:tcPr>
                                  <w:p w14:paraId="6B57EBE9"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8</w:t>
                                    </w:r>
                                  </w:p>
                                </w:tc>
                                <w:tc>
                                  <w:tcPr>
                                    <w:tcW w:w="1132" w:type="dxa"/>
                                    <w:shd w:val="clear" w:color="auto" w:fill="auto"/>
                                    <w:vAlign w:val="center"/>
                                  </w:tcPr>
                                  <w:p w14:paraId="27023E9C"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交通部</w:t>
                                    </w:r>
                                  </w:p>
                                </w:tc>
                                <w:tc>
                                  <w:tcPr>
                                    <w:tcW w:w="464" w:type="dxa"/>
                                    <w:tcBorders>
                                      <w:right w:val="single" w:sz="4" w:space="0" w:color="000000"/>
                                    </w:tcBorders>
                                    <w:shd w:val="clear" w:color="auto" w:fill="auto"/>
                                    <w:vAlign w:val="center"/>
                                  </w:tcPr>
                                  <w:p w14:paraId="1C28AEFB"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2</w:t>
                                    </w:r>
                                  </w:p>
                                </w:tc>
                                <w:tc>
                                  <w:tcPr>
                                    <w:tcW w:w="1331" w:type="dxa"/>
                                    <w:tcBorders>
                                      <w:left w:val="single" w:sz="4" w:space="0" w:color="000000"/>
                                      <w:right w:val="single" w:sz="4" w:space="0" w:color="auto"/>
                                    </w:tcBorders>
                                    <w:shd w:val="clear" w:color="auto" w:fill="auto"/>
                                    <w:vAlign w:val="center"/>
                                  </w:tcPr>
                                  <w:p w14:paraId="5FCD9186"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431</w:t>
                                    </w:r>
                                    <w:r w:rsidRPr="008445D4">
                                      <w:rPr>
                                        <w:rFonts w:ascii="標楷體" w:eastAsia="標楷體" w:hAnsi="標楷體" w:hint="eastAsia"/>
                                        <w:color w:val="000000"/>
                                        <w:sz w:val="20"/>
                                      </w:rPr>
                                      <w:t>,</w:t>
                                    </w:r>
                                    <w:r w:rsidRPr="008445D4">
                                      <w:rPr>
                                        <w:rFonts w:ascii="標楷體" w:eastAsia="標楷體" w:hAnsi="標楷體"/>
                                        <w:color w:val="000000"/>
                                        <w:sz w:val="20"/>
                                      </w:rPr>
                                      <w:t>670</w:t>
                                    </w:r>
                                  </w:p>
                                </w:tc>
                                <w:tc>
                                  <w:tcPr>
                                    <w:tcW w:w="1138" w:type="dxa"/>
                                    <w:tcBorders>
                                      <w:left w:val="single" w:sz="4" w:space="0" w:color="auto"/>
                                    </w:tcBorders>
                                    <w:shd w:val="clear" w:color="auto" w:fill="auto"/>
                                    <w:vAlign w:val="center"/>
                                  </w:tcPr>
                                  <w:p w14:paraId="6C54A050"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嘉義縣政府</w:t>
                                    </w:r>
                                  </w:p>
                                </w:tc>
                                <w:tc>
                                  <w:tcPr>
                                    <w:tcW w:w="429" w:type="dxa"/>
                                    <w:shd w:val="clear" w:color="auto" w:fill="auto"/>
                                    <w:vAlign w:val="center"/>
                                  </w:tcPr>
                                  <w:p w14:paraId="059706B7"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2</w:t>
                                    </w:r>
                                  </w:p>
                                </w:tc>
                                <w:tc>
                                  <w:tcPr>
                                    <w:tcW w:w="1405" w:type="dxa"/>
                                    <w:tcBorders>
                                      <w:right w:val="single" w:sz="4" w:space="0" w:color="auto"/>
                                    </w:tcBorders>
                                    <w:shd w:val="clear" w:color="auto" w:fill="auto"/>
                                    <w:vAlign w:val="center"/>
                                  </w:tcPr>
                                  <w:p w14:paraId="0DE95275"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2</w:t>
                                    </w:r>
                                    <w:r w:rsidRPr="008445D4">
                                      <w:rPr>
                                        <w:rFonts w:ascii="標楷體" w:eastAsia="標楷體" w:hAnsi="標楷體" w:hint="eastAsia"/>
                                        <w:color w:val="000000"/>
                                        <w:sz w:val="20"/>
                                      </w:rPr>
                                      <w:t>,</w:t>
                                    </w:r>
                                    <w:r w:rsidRPr="008445D4">
                                      <w:rPr>
                                        <w:rFonts w:ascii="標楷體" w:eastAsia="標楷體" w:hAnsi="標楷體"/>
                                        <w:color w:val="000000"/>
                                        <w:sz w:val="20"/>
                                      </w:rPr>
                                      <w:t>281</w:t>
                                    </w:r>
                                  </w:p>
                                </w:tc>
                              </w:tr>
                              <w:tr w:rsidR="00CE57F9" w14:paraId="451DC9D4" w14:textId="77777777" w:rsidTr="000628B7">
                                <w:trPr>
                                  <w:jc w:val="center"/>
                                </w:trPr>
                                <w:tc>
                                  <w:tcPr>
                                    <w:tcW w:w="438" w:type="dxa"/>
                                    <w:tcBorders>
                                      <w:left w:val="single" w:sz="4" w:space="0" w:color="auto"/>
                                    </w:tcBorders>
                                    <w:shd w:val="clear" w:color="auto" w:fill="auto"/>
                                    <w:vAlign w:val="center"/>
                                  </w:tcPr>
                                  <w:p w14:paraId="4BDC74AD"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9</w:t>
                                    </w:r>
                                  </w:p>
                                </w:tc>
                                <w:tc>
                                  <w:tcPr>
                                    <w:tcW w:w="1132" w:type="dxa"/>
                                    <w:shd w:val="clear" w:color="auto" w:fill="auto"/>
                                    <w:vAlign w:val="center"/>
                                  </w:tcPr>
                                  <w:p w14:paraId="6374F58D"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農業委員會</w:t>
                                    </w:r>
                                  </w:p>
                                </w:tc>
                                <w:tc>
                                  <w:tcPr>
                                    <w:tcW w:w="464" w:type="dxa"/>
                                    <w:tcBorders>
                                      <w:right w:val="single" w:sz="4" w:space="0" w:color="000000"/>
                                    </w:tcBorders>
                                    <w:shd w:val="clear" w:color="auto" w:fill="auto"/>
                                    <w:vAlign w:val="center"/>
                                  </w:tcPr>
                                  <w:p w14:paraId="18FD00DC"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2</w:t>
                                    </w:r>
                                  </w:p>
                                </w:tc>
                                <w:tc>
                                  <w:tcPr>
                                    <w:tcW w:w="1331" w:type="dxa"/>
                                    <w:tcBorders>
                                      <w:left w:val="single" w:sz="4" w:space="0" w:color="000000"/>
                                      <w:right w:val="single" w:sz="4" w:space="0" w:color="auto"/>
                                    </w:tcBorders>
                                    <w:shd w:val="clear" w:color="auto" w:fill="auto"/>
                                    <w:vAlign w:val="center"/>
                                  </w:tcPr>
                                  <w:p w14:paraId="3D16BB35"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10</w:t>
                                    </w:r>
                                    <w:r w:rsidRPr="008445D4">
                                      <w:rPr>
                                        <w:rFonts w:ascii="標楷體" w:eastAsia="標楷體" w:hAnsi="標楷體" w:hint="eastAsia"/>
                                        <w:color w:val="000000"/>
                                        <w:sz w:val="20"/>
                                      </w:rPr>
                                      <w:t>,</w:t>
                                    </w:r>
                                    <w:r w:rsidRPr="008445D4">
                                      <w:rPr>
                                        <w:rFonts w:ascii="標楷體" w:eastAsia="標楷體" w:hAnsi="標楷體"/>
                                        <w:color w:val="000000"/>
                                        <w:sz w:val="20"/>
                                      </w:rPr>
                                      <w:t>347</w:t>
                                    </w:r>
                                  </w:p>
                                </w:tc>
                                <w:tc>
                                  <w:tcPr>
                                    <w:tcW w:w="1138" w:type="dxa"/>
                                    <w:tcBorders>
                                      <w:left w:val="single" w:sz="4" w:space="0" w:color="auto"/>
                                    </w:tcBorders>
                                    <w:shd w:val="clear" w:color="auto" w:fill="auto"/>
                                    <w:vAlign w:val="center"/>
                                  </w:tcPr>
                                  <w:p w14:paraId="2C18BE71"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嘉義市政府</w:t>
                                    </w:r>
                                  </w:p>
                                </w:tc>
                                <w:tc>
                                  <w:tcPr>
                                    <w:tcW w:w="429" w:type="dxa"/>
                                    <w:shd w:val="clear" w:color="auto" w:fill="auto"/>
                                    <w:vAlign w:val="center"/>
                                  </w:tcPr>
                                  <w:p w14:paraId="4C4EB4E4"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2</w:t>
                                    </w:r>
                                  </w:p>
                                </w:tc>
                                <w:tc>
                                  <w:tcPr>
                                    <w:tcW w:w="1405" w:type="dxa"/>
                                    <w:tcBorders>
                                      <w:right w:val="single" w:sz="4" w:space="0" w:color="auto"/>
                                    </w:tcBorders>
                                    <w:shd w:val="clear" w:color="auto" w:fill="auto"/>
                                    <w:vAlign w:val="center"/>
                                  </w:tcPr>
                                  <w:p w14:paraId="027E5F61"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3</w:t>
                                    </w:r>
                                    <w:r w:rsidRPr="008445D4">
                                      <w:rPr>
                                        <w:rFonts w:ascii="標楷體" w:eastAsia="標楷體" w:hAnsi="標楷體" w:hint="eastAsia"/>
                                        <w:color w:val="000000"/>
                                        <w:sz w:val="20"/>
                                      </w:rPr>
                                      <w:t>,</w:t>
                                    </w:r>
                                    <w:r w:rsidRPr="008445D4">
                                      <w:rPr>
                                        <w:rFonts w:ascii="標楷體" w:eastAsia="標楷體" w:hAnsi="標楷體"/>
                                        <w:color w:val="000000"/>
                                        <w:sz w:val="20"/>
                                      </w:rPr>
                                      <w:t>029</w:t>
                                    </w:r>
                                  </w:p>
                                </w:tc>
                              </w:tr>
                              <w:tr w:rsidR="00CE57F9" w14:paraId="42015CA4" w14:textId="77777777" w:rsidTr="000628B7">
                                <w:trPr>
                                  <w:jc w:val="center"/>
                                </w:trPr>
                                <w:tc>
                                  <w:tcPr>
                                    <w:tcW w:w="438" w:type="dxa"/>
                                    <w:tcBorders>
                                      <w:left w:val="single" w:sz="4" w:space="0" w:color="auto"/>
                                    </w:tcBorders>
                                    <w:shd w:val="clear" w:color="auto" w:fill="auto"/>
                                    <w:vAlign w:val="center"/>
                                  </w:tcPr>
                                  <w:p w14:paraId="22D4AFB3"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10</w:t>
                                    </w:r>
                                  </w:p>
                                </w:tc>
                                <w:tc>
                                  <w:tcPr>
                                    <w:tcW w:w="1132" w:type="dxa"/>
                                    <w:shd w:val="clear" w:color="auto" w:fill="auto"/>
                                    <w:vAlign w:val="center"/>
                                  </w:tcPr>
                                  <w:p w14:paraId="54651CCD"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法務部</w:t>
                                    </w:r>
                                  </w:p>
                                </w:tc>
                                <w:tc>
                                  <w:tcPr>
                                    <w:tcW w:w="464" w:type="dxa"/>
                                    <w:tcBorders>
                                      <w:right w:val="single" w:sz="4" w:space="0" w:color="000000"/>
                                    </w:tcBorders>
                                    <w:shd w:val="clear" w:color="auto" w:fill="auto"/>
                                    <w:vAlign w:val="center"/>
                                  </w:tcPr>
                                  <w:p w14:paraId="460EB5D8"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2</w:t>
                                    </w:r>
                                  </w:p>
                                </w:tc>
                                <w:tc>
                                  <w:tcPr>
                                    <w:tcW w:w="1331" w:type="dxa"/>
                                    <w:tcBorders>
                                      <w:left w:val="single" w:sz="4" w:space="0" w:color="000000"/>
                                      <w:right w:val="single" w:sz="4" w:space="0" w:color="auto"/>
                                    </w:tcBorders>
                                    <w:shd w:val="clear" w:color="auto" w:fill="auto"/>
                                    <w:vAlign w:val="center"/>
                                  </w:tcPr>
                                  <w:p w14:paraId="3D630359"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4</w:t>
                                    </w:r>
                                    <w:r w:rsidRPr="008445D4">
                                      <w:rPr>
                                        <w:rFonts w:ascii="標楷體" w:eastAsia="標楷體" w:hAnsi="標楷體" w:hint="eastAsia"/>
                                        <w:color w:val="000000"/>
                                        <w:sz w:val="20"/>
                                      </w:rPr>
                                      <w:t>,</w:t>
                                    </w:r>
                                    <w:r w:rsidRPr="008445D4">
                                      <w:rPr>
                                        <w:rFonts w:ascii="標楷體" w:eastAsia="標楷體" w:hAnsi="標楷體"/>
                                        <w:color w:val="000000"/>
                                        <w:sz w:val="20"/>
                                      </w:rPr>
                                      <w:t>951</w:t>
                                    </w:r>
                                  </w:p>
                                </w:tc>
                                <w:tc>
                                  <w:tcPr>
                                    <w:tcW w:w="1138" w:type="dxa"/>
                                    <w:tcBorders>
                                      <w:left w:val="single" w:sz="4" w:space="0" w:color="auto"/>
                                    </w:tcBorders>
                                    <w:shd w:val="clear" w:color="auto" w:fill="auto"/>
                                    <w:vAlign w:val="center"/>
                                  </w:tcPr>
                                  <w:p w14:paraId="1A844C0B"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金門縣政府</w:t>
                                    </w:r>
                                  </w:p>
                                </w:tc>
                                <w:tc>
                                  <w:tcPr>
                                    <w:tcW w:w="429" w:type="dxa"/>
                                    <w:shd w:val="clear" w:color="auto" w:fill="auto"/>
                                    <w:vAlign w:val="center"/>
                                  </w:tcPr>
                                  <w:p w14:paraId="60660C40"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2</w:t>
                                    </w:r>
                                  </w:p>
                                </w:tc>
                                <w:tc>
                                  <w:tcPr>
                                    <w:tcW w:w="1405" w:type="dxa"/>
                                    <w:tcBorders>
                                      <w:right w:val="single" w:sz="4" w:space="0" w:color="auto"/>
                                    </w:tcBorders>
                                    <w:shd w:val="clear" w:color="auto" w:fill="auto"/>
                                    <w:vAlign w:val="center"/>
                                  </w:tcPr>
                                  <w:p w14:paraId="45F0CD50"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3</w:t>
                                    </w:r>
                                    <w:r w:rsidRPr="008445D4">
                                      <w:rPr>
                                        <w:rFonts w:ascii="標楷體" w:eastAsia="標楷體" w:hAnsi="標楷體" w:hint="eastAsia"/>
                                        <w:color w:val="000000"/>
                                        <w:sz w:val="20"/>
                                      </w:rPr>
                                      <w:t>,</w:t>
                                    </w:r>
                                    <w:r w:rsidRPr="008445D4">
                                      <w:rPr>
                                        <w:rFonts w:ascii="標楷體" w:eastAsia="標楷體" w:hAnsi="標楷體"/>
                                        <w:color w:val="000000"/>
                                        <w:sz w:val="20"/>
                                      </w:rPr>
                                      <w:t>535</w:t>
                                    </w:r>
                                  </w:p>
                                </w:tc>
                              </w:tr>
                              <w:tr w:rsidR="00CE57F9" w14:paraId="078D14F2" w14:textId="77777777" w:rsidTr="000628B7">
                                <w:trPr>
                                  <w:jc w:val="center"/>
                                </w:trPr>
                                <w:tc>
                                  <w:tcPr>
                                    <w:tcW w:w="438" w:type="dxa"/>
                                    <w:tcBorders>
                                      <w:left w:val="single" w:sz="4" w:space="0" w:color="auto"/>
                                    </w:tcBorders>
                                    <w:shd w:val="clear" w:color="auto" w:fill="auto"/>
                                    <w:vAlign w:val="center"/>
                                  </w:tcPr>
                                  <w:p w14:paraId="494BCC9B"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11</w:t>
                                    </w:r>
                                  </w:p>
                                </w:tc>
                                <w:tc>
                                  <w:tcPr>
                                    <w:tcW w:w="1132" w:type="dxa"/>
                                    <w:shd w:val="clear" w:color="auto" w:fill="auto"/>
                                    <w:vAlign w:val="center"/>
                                  </w:tcPr>
                                  <w:p w14:paraId="7BF525A8"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內政部</w:t>
                                    </w:r>
                                  </w:p>
                                </w:tc>
                                <w:tc>
                                  <w:tcPr>
                                    <w:tcW w:w="464" w:type="dxa"/>
                                    <w:tcBorders>
                                      <w:right w:val="single" w:sz="4" w:space="0" w:color="000000"/>
                                    </w:tcBorders>
                                    <w:shd w:val="clear" w:color="auto" w:fill="auto"/>
                                    <w:vAlign w:val="center"/>
                                  </w:tcPr>
                                  <w:p w14:paraId="06B28596"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1</w:t>
                                    </w:r>
                                  </w:p>
                                </w:tc>
                                <w:tc>
                                  <w:tcPr>
                                    <w:tcW w:w="1331" w:type="dxa"/>
                                    <w:tcBorders>
                                      <w:left w:val="single" w:sz="4" w:space="0" w:color="000000"/>
                                      <w:right w:val="single" w:sz="4" w:space="0" w:color="auto"/>
                                    </w:tcBorders>
                                    <w:shd w:val="clear" w:color="auto" w:fill="auto"/>
                                    <w:vAlign w:val="center"/>
                                  </w:tcPr>
                                  <w:p w14:paraId="09BB802C"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w:t>
                                    </w:r>
                                    <w:r w:rsidRPr="008445D4">
                                      <w:rPr>
                                        <w:rFonts w:ascii="標楷體" w:eastAsia="標楷體" w:hAnsi="標楷體" w:hint="eastAsia"/>
                                        <w:color w:val="000000"/>
                                        <w:sz w:val="20"/>
                                      </w:rPr>
                                      <w:t>,</w:t>
                                    </w:r>
                                    <w:r w:rsidRPr="008445D4">
                                      <w:rPr>
                                        <w:rFonts w:ascii="標楷體" w:eastAsia="標楷體" w:hAnsi="標楷體"/>
                                        <w:color w:val="000000"/>
                                        <w:sz w:val="20"/>
                                      </w:rPr>
                                      <w:t>740</w:t>
                                    </w:r>
                                  </w:p>
                                </w:tc>
                                <w:tc>
                                  <w:tcPr>
                                    <w:tcW w:w="1138" w:type="dxa"/>
                                    <w:tcBorders>
                                      <w:left w:val="single" w:sz="4" w:space="0" w:color="auto"/>
                                    </w:tcBorders>
                                    <w:shd w:val="clear" w:color="auto" w:fill="auto"/>
                                    <w:vAlign w:val="center"/>
                                  </w:tcPr>
                                  <w:p w14:paraId="7930BFB1"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基隆市政府</w:t>
                                    </w:r>
                                  </w:p>
                                </w:tc>
                                <w:tc>
                                  <w:tcPr>
                                    <w:tcW w:w="429" w:type="dxa"/>
                                    <w:shd w:val="clear" w:color="auto" w:fill="auto"/>
                                    <w:vAlign w:val="center"/>
                                  </w:tcPr>
                                  <w:p w14:paraId="5E36F3D7"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w:t>
                                    </w:r>
                                  </w:p>
                                </w:tc>
                                <w:tc>
                                  <w:tcPr>
                                    <w:tcW w:w="1405" w:type="dxa"/>
                                    <w:tcBorders>
                                      <w:right w:val="single" w:sz="4" w:space="0" w:color="auto"/>
                                    </w:tcBorders>
                                    <w:shd w:val="clear" w:color="auto" w:fill="auto"/>
                                    <w:vAlign w:val="center"/>
                                  </w:tcPr>
                                  <w:p w14:paraId="7D3579C2"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w:t>
                                    </w:r>
                                    <w:r w:rsidRPr="008445D4">
                                      <w:rPr>
                                        <w:rFonts w:ascii="標楷體" w:eastAsia="標楷體" w:hAnsi="標楷體" w:hint="eastAsia"/>
                                        <w:color w:val="000000"/>
                                        <w:sz w:val="20"/>
                                      </w:rPr>
                                      <w:t>,</w:t>
                                    </w:r>
                                    <w:r w:rsidRPr="008445D4">
                                      <w:rPr>
                                        <w:rFonts w:ascii="標楷體" w:eastAsia="標楷體" w:hAnsi="標楷體"/>
                                        <w:color w:val="000000"/>
                                        <w:sz w:val="20"/>
                                      </w:rPr>
                                      <w:t>830</w:t>
                                    </w:r>
                                  </w:p>
                                </w:tc>
                              </w:tr>
                              <w:tr w:rsidR="00CE57F9" w14:paraId="41F04B12" w14:textId="77777777" w:rsidTr="000628B7">
                                <w:trPr>
                                  <w:jc w:val="center"/>
                                </w:trPr>
                                <w:tc>
                                  <w:tcPr>
                                    <w:tcW w:w="438" w:type="dxa"/>
                                    <w:tcBorders>
                                      <w:left w:val="single" w:sz="4" w:space="0" w:color="auto"/>
                                    </w:tcBorders>
                                    <w:shd w:val="clear" w:color="auto" w:fill="auto"/>
                                    <w:vAlign w:val="center"/>
                                  </w:tcPr>
                                  <w:p w14:paraId="4A6938FE"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12</w:t>
                                    </w:r>
                                  </w:p>
                                </w:tc>
                                <w:tc>
                                  <w:tcPr>
                                    <w:tcW w:w="1132" w:type="dxa"/>
                                    <w:shd w:val="clear" w:color="auto" w:fill="auto"/>
                                    <w:vAlign w:val="center"/>
                                  </w:tcPr>
                                  <w:p w14:paraId="41BC4123"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勞動部</w:t>
                                    </w:r>
                                  </w:p>
                                </w:tc>
                                <w:tc>
                                  <w:tcPr>
                                    <w:tcW w:w="464" w:type="dxa"/>
                                    <w:tcBorders>
                                      <w:right w:val="single" w:sz="4" w:space="0" w:color="000000"/>
                                    </w:tcBorders>
                                    <w:shd w:val="clear" w:color="auto" w:fill="auto"/>
                                    <w:vAlign w:val="center"/>
                                  </w:tcPr>
                                  <w:p w14:paraId="6E1BC5E3"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1</w:t>
                                    </w:r>
                                  </w:p>
                                </w:tc>
                                <w:tc>
                                  <w:tcPr>
                                    <w:tcW w:w="1331" w:type="dxa"/>
                                    <w:tcBorders>
                                      <w:left w:val="single" w:sz="4" w:space="0" w:color="000000"/>
                                      <w:right w:val="single" w:sz="4" w:space="0" w:color="auto"/>
                                    </w:tcBorders>
                                    <w:shd w:val="clear" w:color="auto" w:fill="auto"/>
                                    <w:vAlign w:val="center"/>
                                  </w:tcPr>
                                  <w:p w14:paraId="3A837E11"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w:t>
                                    </w:r>
                                    <w:r w:rsidRPr="008445D4">
                                      <w:rPr>
                                        <w:rFonts w:ascii="標楷體" w:eastAsia="標楷體" w:hAnsi="標楷體" w:hint="eastAsia"/>
                                        <w:color w:val="000000"/>
                                        <w:sz w:val="20"/>
                                      </w:rPr>
                                      <w:t>,</w:t>
                                    </w:r>
                                    <w:r w:rsidRPr="008445D4">
                                      <w:rPr>
                                        <w:rFonts w:ascii="標楷體" w:eastAsia="標楷體" w:hAnsi="標楷體"/>
                                        <w:color w:val="000000"/>
                                        <w:sz w:val="20"/>
                                      </w:rPr>
                                      <w:t>310</w:t>
                                    </w:r>
                                  </w:p>
                                </w:tc>
                                <w:tc>
                                  <w:tcPr>
                                    <w:tcW w:w="1138" w:type="dxa"/>
                                    <w:tcBorders>
                                      <w:left w:val="single" w:sz="4" w:space="0" w:color="auto"/>
                                    </w:tcBorders>
                                    <w:shd w:val="clear" w:color="auto" w:fill="auto"/>
                                    <w:vAlign w:val="center"/>
                                  </w:tcPr>
                                  <w:p w14:paraId="61881B87"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南投縣政府</w:t>
                                    </w:r>
                                  </w:p>
                                </w:tc>
                                <w:tc>
                                  <w:tcPr>
                                    <w:tcW w:w="429" w:type="dxa"/>
                                    <w:shd w:val="clear" w:color="auto" w:fill="auto"/>
                                    <w:vAlign w:val="center"/>
                                  </w:tcPr>
                                  <w:p w14:paraId="3D950394"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w:t>
                                    </w:r>
                                  </w:p>
                                </w:tc>
                                <w:tc>
                                  <w:tcPr>
                                    <w:tcW w:w="1405" w:type="dxa"/>
                                    <w:tcBorders>
                                      <w:right w:val="single" w:sz="4" w:space="0" w:color="auto"/>
                                    </w:tcBorders>
                                    <w:shd w:val="clear" w:color="auto" w:fill="auto"/>
                                    <w:vAlign w:val="center"/>
                                  </w:tcPr>
                                  <w:p w14:paraId="18B71012"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2</w:t>
                                    </w:r>
                                    <w:r w:rsidRPr="008445D4">
                                      <w:rPr>
                                        <w:rFonts w:ascii="標楷體" w:eastAsia="標楷體" w:hAnsi="標楷體" w:hint="eastAsia"/>
                                        <w:color w:val="000000"/>
                                        <w:sz w:val="20"/>
                                      </w:rPr>
                                      <w:t>,</w:t>
                                    </w:r>
                                    <w:r w:rsidRPr="008445D4">
                                      <w:rPr>
                                        <w:rFonts w:ascii="標楷體" w:eastAsia="標楷體" w:hAnsi="標楷體"/>
                                        <w:color w:val="000000"/>
                                        <w:sz w:val="20"/>
                                      </w:rPr>
                                      <w:t>240</w:t>
                                    </w:r>
                                  </w:p>
                                </w:tc>
                              </w:tr>
                              <w:tr w:rsidR="00CE57F9" w14:paraId="150C5A22" w14:textId="77777777" w:rsidTr="000628B7">
                                <w:trPr>
                                  <w:jc w:val="center"/>
                                </w:trPr>
                                <w:tc>
                                  <w:tcPr>
                                    <w:tcW w:w="438" w:type="dxa"/>
                                    <w:tcBorders>
                                      <w:left w:val="single" w:sz="4" w:space="0" w:color="auto"/>
                                    </w:tcBorders>
                                    <w:shd w:val="clear" w:color="auto" w:fill="auto"/>
                                    <w:vAlign w:val="center"/>
                                  </w:tcPr>
                                  <w:p w14:paraId="3A7CC4C9"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13</w:t>
                                    </w:r>
                                  </w:p>
                                </w:tc>
                                <w:tc>
                                  <w:tcPr>
                                    <w:tcW w:w="1132" w:type="dxa"/>
                                    <w:shd w:val="clear" w:color="auto" w:fill="auto"/>
                                    <w:vAlign w:val="center"/>
                                  </w:tcPr>
                                  <w:p w14:paraId="5F96254A"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國家安全局</w:t>
                                    </w:r>
                                  </w:p>
                                </w:tc>
                                <w:tc>
                                  <w:tcPr>
                                    <w:tcW w:w="464" w:type="dxa"/>
                                    <w:tcBorders>
                                      <w:right w:val="single" w:sz="4" w:space="0" w:color="000000"/>
                                    </w:tcBorders>
                                    <w:shd w:val="clear" w:color="auto" w:fill="auto"/>
                                    <w:vAlign w:val="center"/>
                                  </w:tcPr>
                                  <w:p w14:paraId="1E2172A8"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1</w:t>
                                    </w:r>
                                  </w:p>
                                </w:tc>
                                <w:tc>
                                  <w:tcPr>
                                    <w:tcW w:w="1331" w:type="dxa"/>
                                    <w:tcBorders>
                                      <w:left w:val="single" w:sz="4" w:space="0" w:color="000000"/>
                                      <w:right w:val="single" w:sz="4" w:space="0" w:color="auto"/>
                                    </w:tcBorders>
                                    <w:shd w:val="clear" w:color="auto" w:fill="auto"/>
                                    <w:vAlign w:val="center"/>
                                  </w:tcPr>
                                  <w:p w14:paraId="04386AA8"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Pr>
                                        <w:rFonts w:ascii="標楷體" w:eastAsia="標楷體" w:hAnsi="標楷體" w:hint="eastAsia"/>
                                        <w:color w:val="000000"/>
                                        <w:sz w:val="20"/>
                                      </w:rPr>
                                      <w:t>1</w:t>
                                    </w:r>
                                    <w:r>
                                      <w:rPr>
                                        <w:rFonts w:ascii="標楷體" w:eastAsia="標楷體" w:hAnsi="標楷體"/>
                                        <w:color w:val="000000"/>
                                        <w:sz w:val="20"/>
                                      </w:rPr>
                                      <w:t>,</w:t>
                                    </w:r>
                                    <w:r>
                                      <w:rPr>
                                        <w:rFonts w:ascii="標楷體" w:eastAsia="標楷體" w:hAnsi="標楷體" w:hint="eastAsia"/>
                                        <w:color w:val="000000"/>
                                        <w:sz w:val="20"/>
                                      </w:rPr>
                                      <w:t>296</w:t>
                                    </w:r>
                                  </w:p>
                                </w:tc>
                                <w:tc>
                                  <w:tcPr>
                                    <w:tcW w:w="1138" w:type="dxa"/>
                                    <w:tcBorders>
                                      <w:left w:val="single" w:sz="4" w:space="0" w:color="auto"/>
                                    </w:tcBorders>
                                    <w:shd w:val="clear" w:color="auto" w:fill="auto"/>
                                    <w:vAlign w:val="center"/>
                                  </w:tcPr>
                                  <w:p w14:paraId="0360576C"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sz w:val="20"/>
                                      </w:rPr>
                                    </w:pPr>
                                    <w:r w:rsidRPr="008445D4">
                                      <w:rPr>
                                        <w:rFonts w:ascii="標楷體" w:eastAsia="標楷體" w:hAnsi="標楷體" w:hint="eastAsia"/>
                                        <w:sz w:val="20"/>
                                      </w:rPr>
                                      <w:t>花蓮縣政府</w:t>
                                    </w:r>
                                  </w:p>
                                </w:tc>
                                <w:tc>
                                  <w:tcPr>
                                    <w:tcW w:w="429" w:type="dxa"/>
                                    <w:shd w:val="clear" w:color="auto" w:fill="auto"/>
                                    <w:vAlign w:val="center"/>
                                  </w:tcPr>
                                  <w:p w14:paraId="22067A0A" w14:textId="77777777" w:rsidR="00CE57F9" w:rsidRPr="008445D4" w:rsidRDefault="00CE57F9" w:rsidP="000628B7">
                                    <w:pPr>
                                      <w:overflowPunct w:val="0"/>
                                      <w:snapToGrid w:val="0"/>
                                      <w:spacing w:line="240" w:lineRule="exact"/>
                                      <w:jc w:val="right"/>
                                      <w:rPr>
                                        <w:rFonts w:ascii="標楷體" w:eastAsia="標楷體" w:hAnsi="標楷體"/>
                                        <w:sz w:val="20"/>
                                      </w:rPr>
                                    </w:pPr>
                                    <w:r w:rsidRPr="008445D4">
                                      <w:rPr>
                                        <w:rFonts w:ascii="標楷體" w:eastAsia="標楷體" w:hAnsi="標楷體"/>
                                        <w:sz w:val="20"/>
                                      </w:rPr>
                                      <w:t>1</w:t>
                                    </w:r>
                                  </w:p>
                                </w:tc>
                                <w:tc>
                                  <w:tcPr>
                                    <w:tcW w:w="1405" w:type="dxa"/>
                                    <w:tcBorders>
                                      <w:right w:val="single" w:sz="4" w:space="0" w:color="auto"/>
                                    </w:tcBorders>
                                    <w:shd w:val="clear" w:color="auto" w:fill="auto"/>
                                    <w:vAlign w:val="center"/>
                                  </w:tcPr>
                                  <w:p w14:paraId="6D84A720" w14:textId="77777777" w:rsidR="00CE57F9" w:rsidRPr="008445D4" w:rsidRDefault="00CE57F9" w:rsidP="000628B7">
                                    <w:pPr>
                                      <w:overflowPunct w:val="0"/>
                                      <w:snapToGrid w:val="0"/>
                                      <w:spacing w:line="240" w:lineRule="exact"/>
                                      <w:jc w:val="right"/>
                                      <w:rPr>
                                        <w:rFonts w:ascii="標楷體" w:eastAsia="標楷體" w:hAnsi="標楷體"/>
                                        <w:sz w:val="20"/>
                                      </w:rPr>
                                    </w:pPr>
                                    <w:r w:rsidRPr="008445D4">
                                      <w:rPr>
                                        <w:rFonts w:ascii="標楷體" w:eastAsia="標楷體" w:hAnsi="標楷體"/>
                                        <w:sz w:val="20"/>
                                      </w:rPr>
                                      <w:t>2</w:t>
                                    </w:r>
                                    <w:r w:rsidRPr="008445D4">
                                      <w:rPr>
                                        <w:rFonts w:ascii="標楷體" w:eastAsia="標楷體" w:hAnsi="標楷體" w:hint="eastAsia"/>
                                        <w:sz w:val="20"/>
                                      </w:rPr>
                                      <w:t>,</w:t>
                                    </w:r>
                                    <w:r w:rsidRPr="008445D4">
                                      <w:rPr>
                                        <w:rFonts w:ascii="標楷體" w:eastAsia="標楷體" w:hAnsi="標楷體"/>
                                        <w:sz w:val="20"/>
                                      </w:rPr>
                                      <w:t>934</w:t>
                                    </w:r>
                                  </w:p>
                                </w:tc>
                              </w:tr>
                              <w:tr w:rsidR="00CE57F9" w14:paraId="37DC932F" w14:textId="77777777" w:rsidTr="000628B7">
                                <w:trPr>
                                  <w:jc w:val="center"/>
                                </w:trPr>
                                <w:tc>
                                  <w:tcPr>
                                    <w:tcW w:w="438" w:type="dxa"/>
                                    <w:tcBorders>
                                      <w:left w:val="single" w:sz="4" w:space="0" w:color="auto"/>
                                    </w:tcBorders>
                                    <w:shd w:val="clear" w:color="auto" w:fill="auto"/>
                                    <w:vAlign w:val="center"/>
                                  </w:tcPr>
                                  <w:p w14:paraId="15EA8639"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14</w:t>
                                    </w:r>
                                  </w:p>
                                </w:tc>
                                <w:tc>
                                  <w:tcPr>
                                    <w:tcW w:w="1132" w:type="dxa"/>
                                    <w:shd w:val="clear" w:color="auto" w:fill="auto"/>
                                    <w:vAlign w:val="center"/>
                                  </w:tcPr>
                                  <w:p w14:paraId="612BF134"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sz w:val="20"/>
                                      </w:rPr>
                                    </w:pPr>
                                    <w:r w:rsidRPr="008445D4">
                                      <w:rPr>
                                        <w:rFonts w:ascii="標楷體" w:eastAsia="標楷體" w:hAnsi="標楷體" w:hint="eastAsia"/>
                                        <w:sz w:val="20"/>
                                      </w:rPr>
                                      <w:t>衛生福利部</w:t>
                                    </w:r>
                                  </w:p>
                                </w:tc>
                                <w:tc>
                                  <w:tcPr>
                                    <w:tcW w:w="464" w:type="dxa"/>
                                    <w:tcBorders>
                                      <w:right w:val="single" w:sz="4" w:space="0" w:color="000000"/>
                                    </w:tcBorders>
                                    <w:shd w:val="clear" w:color="auto" w:fill="auto"/>
                                    <w:vAlign w:val="center"/>
                                  </w:tcPr>
                                  <w:p w14:paraId="6DD13014" w14:textId="77777777" w:rsidR="00CE57F9" w:rsidRPr="008445D4" w:rsidRDefault="00CE57F9" w:rsidP="000628B7">
                                    <w:pPr>
                                      <w:overflowPunct w:val="0"/>
                                      <w:snapToGrid w:val="0"/>
                                      <w:spacing w:line="240" w:lineRule="exact"/>
                                      <w:jc w:val="right"/>
                                      <w:rPr>
                                        <w:rFonts w:ascii="標楷體" w:eastAsia="標楷體" w:hAnsi="標楷體"/>
                                        <w:sz w:val="20"/>
                                      </w:rPr>
                                    </w:pPr>
                                    <w:r w:rsidRPr="008445D4">
                                      <w:rPr>
                                        <w:rFonts w:ascii="標楷體" w:eastAsia="標楷體" w:hAnsi="標楷體" w:hint="eastAsia"/>
                                        <w:sz w:val="20"/>
                                      </w:rPr>
                                      <w:t>1</w:t>
                                    </w:r>
                                  </w:p>
                                </w:tc>
                                <w:tc>
                                  <w:tcPr>
                                    <w:tcW w:w="1331" w:type="dxa"/>
                                    <w:tcBorders>
                                      <w:left w:val="single" w:sz="4" w:space="0" w:color="000000"/>
                                      <w:right w:val="single" w:sz="4" w:space="0" w:color="auto"/>
                                    </w:tcBorders>
                                    <w:shd w:val="clear" w:color="auto" w:fill="auto"/>
                                    <w:vAlign w:val="center"/>
                                  </w:tcPr>
                                  <w:p w14:paraId="0D2E6774" w14:textId="77777777" w:rsidR="00CE57F9" w:rsidRPr="008445D4" w:rsidRDefault="00CE57F9" w:rsidP="000628B7">
                                    <w:pPr>
                                      <w:overflowPunct w:val="0"/>
                                      <w:snapToGrid w:val="0"/>
                                      <w:spacing w:line="240" w:lineRule="exact"/>
                                      <w:jc w:val="right"/>
                                      <w:rPr>
                                        <w:rFonts w:ascii="標楷體" w:eastAsia="標楷體" w:hAnsi="標楷體"/>
                                        <w:sz w:val="20"/>
                                      </w:rPr>
                                    </w:pPr>
                                    <w:r w:rsidRPr="008445D4">
                                      <w:rPr>
                                        <w:rFonts w:ascii="標楷體" w:eastAsia="標楷體" w:hAnsi="標楷體"/>
                                        <w:sz w:val="20"/>
                                      </w:rPr>
                                      <w:t>53</w:t>
                                    </w:r>
                                    <w:r w:rsidRPr="008445D4">
                                      <w:rPr>
                                        <w:rFonts w:ascii="標楷體" w:eastAsia="標楷體" w:hAnsi="標楷體" w:hint="eastAsia"/>
                                        <w:sz w:val="20"/>
                                      </w:rPr>
                                      <w:t>,</w:t>
                                    </w:r>
                                    <w:r w:rsidRPr="008445D4">
                                      <w:rPr>
                                        <w:rFonts w:ascii="標楷體" w:eastAsia="標楷體" w:hAnsi="標楷體"/>
                                        <w:sz w:val="20"/>
                                      </w:rPr>
                                      <w:t>978</w:t>
                                    </w:r>
                                  </w:p>
                                </w:tc>
                                <w:tc>
                                  <w:tcPr>
                                    <w:tcW w:w="1138" w:type="dxa"/>
                                    <w:tcBorders>
                                      <w:left w:val="single" w:sz="4" w:space="0" w:color="auto"/>
                                    </w:tcBorders>
                                    <w:shd w:val="clear" w:color="auto" w:fill="auto"/>
                                    <w:vAlign w:val="center"/>
                                  </w:tcPr>
                                  <w:p w14:paraId="48438E1A"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sz w:val="20"/>
                                      </w:rPr>
                                    </w:pPr>
                                    <w:r w:rsidRPr="008445D4">
                                      <w:rPr>
                                        <w:rFonts w:ascii="標楷體" w:eastAsia="標楷體" w:hAnsi="標楷體" w:hint="eastAsia"/>
                                        <w:sz w:val="20"/>
                                      </w:rPr>
                                      <w:t>澎湖縣政府</w:t>
                                    </w:r>
                                  </w:p>
                                </w:tc>
                                <w:tc>
                                  <w:tcPr>
                                    <w:tcW w:w="429" w:type="dxa"/>
                                    <w:shd w:val="clear" w:color="auto" w:fill="auto"/>
                                    <w:vAlign w:val="center"/>
                                  </w:tcPr>
                                  <w:p w14:paraId="62AF67CA" w14:textId="77777777" w:rsidR="00CE57F9" w:rsidRPr="008445D4" w:rsidRDefault="00CE57F9" w:rsidP="000628B7">
                                    <w:pPr>
                                      <w:overflowPunct w:val="0"/>
                                      <w:snapToGrid w:val="0"/>
                                      <w:spacing w:line="240" w:lineRule="exact"/>
                                      <w:jc w:val="right"/>
                                      <w:rPr>
                                        <w:rFonts w:ascii="標楷體" w:eastAsia="標楷體" w:hAnsi="標楷體"/>
                                        <w:sz w:val="20"/>
                                      </w:rPr>
                                    </w:pPr>
                                    <w:r w:rsidRPr="008445D4">
                                      <w:rPr>
                                        <w:rFonts w:ascii="標楷體" w:eastAsia="標楷體" w:hAnsi="標楷體"/>
                                        <w:sz w:val="20"/>
                                      </w:rPr>
                                      <w:t>1</w:t>
                                    </w:r>
                                  </w:p>
                                </w:tc>
                                <w:tc>
                                  <w:tcPr>
                                    <w:tcW w:w="1405" w:type="dxa"/>
                                    <w:tcBorders>
                                      <w:right w:val="single" w:sz="4" w:space="0" w:color="auto"/>
                                    </w:tcBorders>
                                    <w:shd w:val="clear" w:color="auto" w:fill="auto"/>
                                    <w:vAlign w:val="center"/>
                                  </w:tcPr>
                                  <w:p w14:paraId="7E2DA33F" w14:textId="77777777" w:rsidR="00CE57F9" w:rsidRPr="008445D4" w:rsidRDefault="00CE57F9" w:rsidP="000628B7">
                                    <w:pPr>
                                      <w:overflowPunct w:val="0"/>
                                      <w:snapToGrid w:val="0"/>
                                      <w:spacing w:line="240" w:lineRule="exact"/>
                                      <w:jc w:val="right"/>
                                      <w:rPr>
                                        <w:rFonts w:ascii="標楷體" w:eastAsia="標楷體" w:hAnsi="標楷體"/>
                                        <w:sz w:val="20"/>
                                      </w:rPr>
                                    </w:pPr>
                                    <w:r w:rsidRPr="008445D4">
                                      <w:rPr>
                                        <w:rFonts w:ascii="標楷體" w:eastAsia="標楷體" w:hAnsi="標楷體"/>
                                        <w:sz w:val="20"/>
                                      </w:rPr>
                                      <w:t>1</w:t>
                                    </w:r>
                                    <w:r w:rsidRPr="008445D4">
                                      <w:rPr>
                                        <w:rFonts w:ascii="標楷體" w:eastAsia="標楷體" w:hAnsi="標楷體" w:hint="eastAsia"/>
                                        <w:sz w:val="20"/>
                                      </w:rPr>
                                      <w:t>,</w:t>
                                    </w:r>
                                    <w:r w:rsidRPr="008445D4">
                                      <w:rPr>
                                        <w:rFonts w:ascii="標楷體" w:eastAsia="標楷體" w:hAnsi="標楷體"/>
                                        <w:sz w:val="20"/>
                                      </w:rPr>
                                      <w:t>550</w:t>
                                    </w:r>
                                  </w:p>
                                </w:tc>
                              </w:tr>
                            </w:tbl>
                            <w:p w14:paraId="2407501C" w14:textId="629C7802" w:rsidR="00CE57F9" w:rsidRPr="008920EB" w:rsidRDefault="00CE57F9" w:rsidP="00D66F89">
                              <w:pPr>
                                <w:snapToGrid w:val="0"/>
                                <w:spacing w:line="220" w:lineRule="exact"/>
                                <w:ind w:firstLineChars="46" w:firstLine="83"/>
                                <w:jc w:val="both"/>
                                <w:rPr>
                                  <w:rFonts w:ascii="標楷體" w:eastAsia="標楷體" w:hAnsi="標楷體"/>
                                  <w:bCs/>
                                  <w:snapToGrid w:val="0"/>
                                  <w:sz w:val="18"/>
                                  <w:szCs w:val="18"/>
                                </w:rPr>
                              </w:pPr>
                              <w:r w:rsidRPr="00711E59">
                                <w:rPr>
                                  <w:rFonts w:ascii="標楷體" w:eastAsia="標楷體" w:hAnsi="標楷體"/>
                                  <w:bCs/>
                                  <w:snapToGrid w:val="0"/>
                                  <w:sz w:val="18"/>
                                  <w:szCs w:val="18"/>
                                </w:rPr>
                                <w:t>資料來源：</w:t>
                              </w:r>
                              <w:r w:rsidRPr="00346BDD">
                                <w:rPr>
                                  <w:rFonts w:ascii="標楷體" w:eastAsia="標楷體" w:hAnsi="標楷體"/>
                                  <w:bCs/>
                                  <w:snapToGrid w:val="0"/>
                                  <w:sz w:val="18"/>
                                  <w:szCs w:val="18"/>
                                </w:rPr>
                                <w:t>本部調查</w:t>
                              </w:r>
                              <w:r w:rsidRPr="00346BDD">
                                <w:rPr>
                                  <w:rFonts w:ascii="標楷體" w:eastAsia="標楷體" w:hAnsi="標楷體" w:hint="eastAsia"/>
                                  <w:bCs/>
                                  <w:snapToGrid w:val="0"/>
                                  <w:sz w:val="18"/>
                                  <w:szCs w:val="18"/>
                                </w:rPr>
                                <w:t>各級政府</w:t>
                              </w:r>
                              <w:r w:rsidRPr="00346BDD">
                                <w:rPr>
                                  <w:rFonts w:ascii="標楷體" w:eastAsia="標楷體" w:hAnsi="標楷體"/>
                                  <w:bCs/>
                                  <w:snapToGrid w:val="0"/>
                                  <w:sz w:val="18"/>
                                  <w:szCs w:val="18"/>
                                </w:rPr>
                                <w:t>110年1月至111年12月</w:t>
                              </w:r>
                              <w:r w:rsidRPr="00346BDD">
                                <w:rPr>
                                  <w:rFonts w:ascii="標楷體" w:eastAsia="標楷體" w:hAnsi="標楷體" w:hint="eastAsia"/>
                                  <w:bCs/>
                                  <w:snapToGrid w:val="0"/>
                                  <w:sz w:val="18"/>
                                  <w:szCs w:val="18"/>
                                </w:rPr>
                                <w:t>採購案決標</w:t>
                              </w:r>
                              <w:r w:rsidRPr="00346BDD">
                                <w:rPr>
                                  <w:rFonts w:ascii="標楷體" w:eastAsia="標楷體" w:hAnsi="標楷體"/>
                                  <w:bCs/>
                                  <w:snapToGrid w:val="0"/>
                                  <w:sz w:val="18"/>
                                  <w:szCs w:val="18"/>
                                </w:rPr>
                                <w:t>結果</w:t>
                              </w:r>
                              <w:r w:rsidRPr="00711E59">
                                <w:rPr>
                                  <w:rFonts w:ascii="標楷體" w:eastAsia="標楷體" w:hAnsi="標楷體"/>
                                  <w:bCs/>
                                  <w:snapToGrid w:val="0"/>
                                  <w:sz w:val="18"/>
                                  <w:szCs w:val="18"/>
                                </w:rPr>
                                <w:t>。</w:t>
                              </w:r>
                            </w:p>
                          </w:txbxContent>
                        </wps:txbx>
                        <wps:bodyPr rot="0" vert="horz" wrap="square" lIns="91440" tIns="45720" rIns="91440" bIns="45720" anchor="t" anchorCtr="0">
                          <a:noAutofit/>
                        </wps:bodyPr>
                      </wps:wsp>
                      <wps:wsp>
                        <wps:cNvPr id="37" name="文字方塊 37"/>
                        <wps:cNvSpPr txBox="1">
                          <a:spLocks noChangeArrowheads="1"/>
                        </wps:cNvSpPr>
                        <wps:spPr bwMode="auto">
                          <a:xfrm>
                            <a:off x="42530" y="3615070"/>
                            <a:ext cx="4273550" cy="3776345"/>
                          </a:xfrm>
                          <a:prstGeom prst="rect">
                            <a:avLst/>
                          </a:prstGeom>
                          <a:noFill/>
                          <a:ln w="9525">
                            <a:noFill/>
                            <a:miter lim="800000"/>
                            <a:headEnd/>
                            <a:tailEnd/>
                          </a:ln>
                        </wps:spPr>
                        <wps:txbx>
                          <w:txbxContent>
                            <w:p w14:paraId="54F0739C" w14:textId="6E642A06" w:rsidR="00CE57F9" w:rsidRPr="00F71D74" w:rsidRDefault="00CE57F9" w:rsidP="00D66F89">
                              <w:pPr>
                                <w:overflowPunct w:val="0"/>
                                <w:snapToGrid w:val="0"/>
                                <w:spacing w:line="400" w:lineRule="exact"/>
                                <w:ind w:leftChars="76" w:left="1256" w:rightChars="82" w:right="197" w:hangingChars="447" w:hanging="1074"/>
                                <w:jc w:val="center"/>
                                <w:rPr>
                                  <w:rFonts w:ascii="標楷體" w:eastAsia="標楷體" w:hAnsi="標楷體"/>
                                </w:rPr>
                              </w:pPr>
                              <w:r w:rsidRPr="00F71D74">
                                <w:rPr>
                                  <w:rFonts w:ascii="標楷體" w:eastAsia="標楷體" w:hAnsi="標楷體"/>
                                  <w:b/>
                                  <w:bCs/>
                                  <w:snapToGrid w:val="0"/>
                                </w:rPr>
                                <w:t>表</w:t>
                              </w:r>
                              <w:r>
                                <w:rPr>
                                  <w:rFonts w:ascii="標楷體" w:eastAsia="標楷體" w:hAnsi="標楷體"/>
                                  <w:b/>
                                  <w:bCs/>
                                  <w:snapToGrid w:val="0"/>
                                </w:rPr>
                                <w:t>27</w:t>
                              </w:r>
                              <w:r w:rsidRPr="00DB6D61">
                                <w:rPr>
                                  <w:rFonts w:ascii="標楷體" w:eastAsia="標楷體" w:hAnsi="標楷體" w:hint="eastAsia"/>
                                  <w:b/>
                                  <w:snapToGrid w:val="0"/>
                                  <w:kern w:val="0"/>
                                </w:rPr>
                                <w:t xml:space="preserve">　</w:t>
                              </w:r>
                              <w:r w:rsidRPr="00F71D74">
                                <w:rPr>
                                  <w:rFonts w:ascii="標楷體" w:eastAsia="標楷體" w:hAnsi="標楷體" w:hint="eastAsia"/>
                                  <w:b/>
                                  <w:bCs/>
                                  <w:snapToGrid w:val="0"/>
                                </w:rPr>
                                <w:t>政府</w:t>
                              </w:r>
                              <w:r w:rsidRPr="00F71D74">
                                <w:rPr>
                                  <w:rFonts w:ascii="標楷體" w:eastAsia="標楷體" w:hAnsi="標楷體"/>
                                  <w:b/>
                                  <w:bCs/>
                                  <w:snapToGrid w:val="0"/>
                                </w:rPr>
                                <w:t>採購案件</w:t>
                              </w:r>
                              <w:r w:rsidRPr="00F71D74">
                                <w:rPr>
                                  <w:rFonts w:ascii="標楷體" w:eastAsia="標楷體" w:hAnsi="標楷體" w:hint="eastAsia"/>
                                  <w:b/>
                                  <w:bCs/>
                                  <w:snapToGrid w:val="0"/>
                                </w:rPr>
                                <w:t>資格限制競爭</w:t>
                              </w:r>
                              <w:r w:rsidRPr="00F71D74">
                                <w:rPr>
                                  <w:rFonts w:ascii="標楷體" w:eastAsia="標楷體" w:hAnsi="標楷體"/>
                                  <w:b/>
                                  <w:bCs/>
                                  <w:snapToGrid w:val="0"/>
                                </w:rPr>
                                <w:t>情形</w:t>
                              </w:r>
                            </w:p>
                            <w:p w14:paraId="279013FC" w14:textId="77777777" w:rsidR="00CE57F9" w:rsidRPr="00F71D74" w:rsidRDefault="00CE57F9" w:rsidP="007F07D7">
                              <w:pPr>
                                <w:overflowPunct w:val="0"/>
                                <w:snapToGrid w:val="0"/>
                                <w:spacing w:line="300" w:lineRule="exact"/>
                                <w:ind w:leftChars="297" w:left="1111" w:rightChars="10" w:right="24" w:hangingChars="199" w:hanging="398"/>
                                <w:jc w:val="right"/>
                                <w:rPr>
                                  <w:rFonts w:ascii="標楷體" w:eastAsia="標楷體" w:hAnsi="標楷體"/>
                                  <w:sz w:val="20"/>
                                </w:rPr>
                              </w:pPr>
                              <w:r w:rsidRPr="00F71D74">
                                <w:rPr>
                                  <w:rFonts w:ascii="標楷體" w:eastAsia="標楷體" w:hAnsi="標楷體" w:hint="eastAsia"/>
                                  <w:bCs/>
                                  <w:snapToGrid w:val="0"/>
                                  <w:sz w:val="20"/>
                                </w:rPr>
                                <w:t>單位：件、新臺幣</w:t>
                              </w:r>
                              <w:r>
                                <w:rPr>
                                  <w:rFonts w:ascii="標楷體" w:eastAsia="標楷體" w:hAnsi="標楷體" w:hint="eastAsia"/>
                                  <w:bCs/>
                                  <w:snapToGrid w:val="0"/>
                                  <w:sz w:val="20"/>
                                </w:rPr>
                                <w:t>千</w:t>
                              </w:r>
                              <w:r w:rsidRPr="00F71D74">
                                <w:rPr>
                                  <w:rFonts w:ascii="標楷體" w:eastAsia="標楷體" w:hAnsi="標楷體" w:hint="eastAsia"/>
                                  <w:bCs/>
                                  <w:snapToGrid w:val="0"/>
                                  <w:sz w:val="20"/>
                                </w:rPr>
                                <w:t>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850"/>
                                <w:gridCol w:w="3544"/>
                                <w:gridCol w:w="607"/>
                                <w:gridCol w:w="948"/>
                              </w:tblGrid>
                              <w:tr w:rsidR="00CE57F9" w14:paraId="167482A9" w14:textId="77777777" w:rsidTr="007F07D7">
                                <w:trPr>
                                  <w:tblHeader/>
                                  <w:jc w:val="center"/>
                                </w:trPr>
                                <w:tc>
                                  <w:tcPr>
                                    <w:tcW w:w="426" w:type="dxa"/>
                                    <w:vMerge w:val="restart"/>
                                    <w:shd w:val="clear" w:color="auto" w:fill="FFFFFF"/>
                                    <w:vAlign w:val="center"/>
                                  </w:tcPr>
                                  <w:p w14:paraId="5D5B6058" w14:textId="77777777" w:rsidR="00CE57F9" w:rsidRPr="00A22302" w:rsidRDefault="00CE57F9" w:rsidP="000628B7">
                                    <w:pPr>
                                      <w:overflowPunct w:val="0"/>
                                      <w:snapToGrid w:val="0"/>
                                      <w:spacing w:line="260" w:lineRule="exact"/>
                                      <w:jc w:val="center"/>
                                      <w:rPr>
                                        <w:rFonts w:ascii="標楷體" w:eastAsia="標楷體" w:hAnsi="標楷體"/>
                                        <w:sz w:val="20"/>
                                      </w:rPr>
                                    </w:pPr>
                                    <w:r w:rsidRPr="00A22302">
                                      <w:rPr>
                                        <w:rFonts w:ascii="標楷體" w:eastAsia="標楷體" w:hAnsi="標楷體" w:hint="eastAsia"/>
                                        <w:sz w:val="20"/>
                                      </w:rPr>
                                      <w:t>項次</w:t>
                                    </w:r>
                                  </w:p>
                                </w:tc>
                                <w:tc>
                                  <w:tcPr>
                                    <w:tcW w:w="4394" w:type="dxa"/>
                                    <w:gridSpan w:val="2"/>
                                    <w:shd w:val="clear" w:color="auto" w:fill="FFFFFF"/>
                                    <w:vAlign w:val="center"/>
                                  </w:tcPr>
                                  <w:p w14:paraId="158BF9D8" w14:textId="77777777" w:rsidR="00CE57F9" w:rsidRPr="00A22302" w:rsidRDefault="00CE57F9" w:rsidP="000628B7">
                                    <w:pPr>
                                      <w:overflowPunct w:val="0"/>
                                      <w:snapToGrid w:val="0"/>
                                      <w:spacing w:line="260" w:lineRule="exact"/>
                                      <w:jc w:val="center"/>
                                      <w:rPr>
                                        <w:rFonts w:ascii="標楷體" w:eastAsia="標楷體" w:hAnsi="標楷體"/>
                                        <w:sz w:val="20"/>
                                      </w:rPr>
                                    </w:pPr>
                                    <w:r w:rsidRPr="00A22302">
                                      <w:rPr>
                                        <w:rFonts w:ascii="標楷體" w:eastAsia="標楷體" w:hAnsi="標楷體" w:hint="eastAsia"/>
                                        <w:sz w:val="20"/>
                                      </w:rPr>
                                      <w:t>政府採購錯誤行為態樣</w:t>
                                    </w:r>
                                  </w:p>
                                </w:tc>
                                <w:tc>
                                  <w:tcPr>
                                    <w:tcW w:w="607" w:type="dxa"/>
                                    <w:vMerge w:val="restart"/>
                                    <w:shd w:val="clear" w:color="auto" w:fill="FFFFFF"/>
                                    <w:vAlign w:val="center"/>
                                  </w:tcPr>
                                  <w:p w14:paraId="35FCA032" w14:textId="77777777" w:rsidR="00CE57F9" w:rsidRPr="00A22302" w:rsidRDefault="00CE57F9" w:rsidP="000628B7">
                                    <w:pPr>
                                      <w:overflowPunct w:val="0"/>
                                      <w:snapToGrid w:val="0"/>
                                      <w:spacing w:line="260" w:lineRule="exact"/>
                                      <w:jc w:val="center"/>
                                      <w:rPr>
                                        <w:rFonts w:ascii="標楷體" w:eastAsia="標楷體" w:hAnsi="標楷體"/>
                                        <w:sz w:val="20"/>
                                      </w:rPr>
                                    </w:pPr>
                                    <w:r w:rsidRPr="00A22302">
                                      <w:rPr>
                                        <w:rFonts w:ascii="標楷體" w:eastAsia="標楷體" w:hAnsi="標楷體" w:hint="eastAsia"/>
                                        <w:sz w:val="20"/>
                                      </w:rPr>
                                      <w:t>件數</w:t>
                                    </w:r>
                                  </w:p>
                                </w:tc>
                                <w:tc>
                                  <w:tcPr>
                                    <w:tcW w:w="948" w:type="dxa"/>
                                    <w:vMerge w:val="restart"/>
                                    <w:shd w:val="clear" w:color="auto" w:fill="FFFFFF"/>
                                    <w:vAlign w:val="center"/>
                                  </w:tcPr>
                                  <w:p w14:paraId="379A7801" w14:textId="77777777" w:rsidR="00CE57F9" w:rsidRDefault="00CE57F9" w:rsidP="000628B7">
                                    <w:pPr>
                                      <w:overflowPunct w:val="0"/>
                                      <w:snapToGrid w:val="0"/>
                                      <w:spacing w:line="260" w:lineRule="exact"/>
                                      <w:jc w:val="center"/>
                                      <w:rPr>
                                        <w:rFonts w:ascii="標楷體" w:eastAsia="標楷體" w:hAnsi="標楷體"/>
                                        <w:sz w:val="20"/>
                                      </w:rPr>
                                    </w:pPr>
                                    <w:r w:rsidRPr="00A22302">
                                      <w:rPr>
                                        <w:rFonts w:ascii="標楷體" w:eastAsia="標楷體" w:hAnsi="標楷體" w:hint="eastAsia"/>
                                        <w:sz w:val="20"/>
                                      </w:rPr>
                                      <w:t>總決標</w:t>
                                    </w:r>
                                  </w:p>
                                  <w:p w14:paraId="3BFA9009" w14:textId="77777777" w:rsidR="00CE57F9" w:rsidRPr="00A22302" w:rsidRDefault="00CE57F9" w:rsidP="000628B7">
                                    <w:pPr>
                                      <w:overflowPunct w:val="0"/>
                                      <w:snapToGrid w:val="0"/>
                                      <w:spacing w:line="260" w:lineRule="exact"/>
                                      <w:jc w:val="center"/>
                                      <w:rPr>
                                        <w:rFonts w:ascii="標楷體" w:eastAsia="標楷體" w:hAnsi="標楷體"/>
                                        <w:sz w:val="20"/>
                                      </w:rPr>
                                    </w:pPr>
                                    <w:r w:rsidRPr="00A22302">
                                      <w:rPr>
                                        <w:rFonts w:ascii="標楷體" w:eastAsia="標楷體" w:hAnsi="標楷體" w:hint="eastAsia"/>
                                        <w:sz w:val="20"/>
                                      </w:rPr>
                                      <w:t>金額</w:t>
                                    </w:r>
                                  </w:p>
                                </w:tc>
                              </w:tr>
                              <w:tr w:rsidR="00CE57F9" w14:paraId="12CA150E" w14:textId="77777777" w:rsidTr="007F07D7">
                                <w:trPr>
                                  <w:tblHeader/>
                                  <w:jc w:val="center"/>
                                </w:trPr>
                                <w:tc>
                                  <w:tcPr>
                                    <w:tcW w:w="426" w:type="dxa"/>
                                    <w:vMerge/>
                                    <w:shd w:val="clear" w:color="auto" w:fill="FFFFFF"/>
                                  </w:tcPr>
                                  <w:p w14:paraId="0EC55B9F" w14:textId="77777777" w:rsidR="00CE57F9" w:rsidRPr="00A22302" w:rsidRDefault="00CE57F9" w:rsidP="000628B7">
                                    <w:pPr>
                                      <w:overflowPunct w:val="0"/>
                                      <w:snapToGrid w:val="0"/>
                                      <w:spacing w:line="300" w:lineRule="exact"/>
                                      <w:jc w:val="center"/>
                                      <w:rPr>
                                        <w:rFonts w:ascii="標楷體" w:eastAsia="標楷體" w:hAnsi="標楷體"/>
                                        <w:sz w:val="20"/>
                                      </w:rPr>
                                    </w:pPr>
                                  </w:p>
                                </w:tc>
                                <w:tc>
                                  <w:tcPr>
                                    <w:tcW w:w="850" w:type="dxa"/>
                                    <w:shd w:val="clear" w:color="auto" w:fill="FFFFFF"/>
                                  </w:tcPr>
                                  <w:p w14:paraId="4458AE84" w14:textId="77777777" w:rsidR="00CE57F9" w:rsidRPr="00A22302" w:rsidRDefault="00CE57F9" w:rsidP="000628B7">
                                    <w:pPr>
                                      <w:overflowPunct w:val="0"/>
                                      <w:snapToGrid w:val="0"/>
                                      <w:spacing w:line="300" w:lineRule="exact"/>
                                      <w:jc w:val="center"/>
                                      <w:rPr>
                                        <w:rFonts w:ascii="標楷體" w:eastAsia="標楷體" w:hAnsi="標楷體"/>
                                        <w:sz w:val="20"/>
                                      </w:rPr>
                                    </w:pPr>
                                    <w:r w:rsidRPr="00A22302">
                                      <w:rPr>
                                        <w:rFonts w:ascii="標楷體" w:eastAsia="標楷體" w:hAnsi="標楷體" w:hint="eastAsia"/>
                                        <w:sz w:val="20"/>
                                      </w:rPr>
                                      <w:t>序號</w:t>
                                    </w:r>
                                  </w:p>
                                </w:tc>
                                <w:tc>
                                  <w:tcPr>
                                    <w:tcW w:w="3544" w:type="dxa"/>
                                    <w:shd w:val="clear" w:color="auto" w:fill="FFFFFF"/>
                                  </w:tcPr>
                                  <w:p w14:paraId="192BC9EF" w14:textId="77777777" w:rsidR="00CE57F9" w:rsidRPr="00A22302" w:rsidRDefault="00CE57F9" w:rsidP="000628B7">
                                    <w:pPr>
                                      <w:overflowPunct w:val="0"/>
                                      <w:snapToGrid w:val="0"/>
                                      <w:spacing w:line="300" w:lineRule="exact"/>
                                      <w:jc w:val="center"/>
                                      <w:rPr>
                                        <w:rFonts w:ascii="標楷體" w:eastAsia="標楷體" w:hAnsi="標楷體"/>
                                        <w:sz w:val="20"/>
                                      </w:rPr>
                                    </w:pPr>
                                    <w:r w:rsidRPr="00A22302">
                                      <w:rPr>
                                        <w:rFonts w:ascii="標楷體" w:eastAsia="標楷體" w:hAnsi="標楷體" w:hint="eastAsia"/>
                                        <w:sz w:val="20"/>
                                      </w:rPr>
                                      <w:t>資格限制競爭項目</w:t>
                                    </w:r>
                                  </w:p>
                                </w:tc>
                                <w:tc>
                                  <w:tcPr>
                                    <w:tcW w:w="607" w:type="dxa"/>
                                    <w:vMerge/>
                                    <w:shd w:val="clear" w:color="auto" w:fill="FFFFFF"/>
                                  </w:tcPr>
                                  <w:p w14:paraId="3FEE9058" w14:textId="77777777" w:rsidR="00CE57F9" w:rsidRPr="00A22302" w:rsidRDefault="00CE57F9" w:rsidP="000628B7">
                                    <w:pPr>
                                      <w:overflowPunct w:val="0"/>
                                      <w:snapToGrid w:val="0"/>
                                      <w:spacing w:line="300" w:lineRule="exact"/>
                                      <w:jc w:val="center"/>
                                      <w:rPr>
                                        <w:rFonts w:ascii="標楷體" w:eastAsia="標楷體" w:hAnsi="標楷體"/>
                                        <w:sz w:val="20"/>
                                      </w:rPr>
                                    </w:pPr>
                                  </w:p>
                                </w:tc>
                                <w:tc>
                                  <w:tcPr>
                                    <w:tcW w:w="948" w:type="dxa"/>
                                    <w:vMerge/>
                                    <w:shd w:val="clear" w:color="auto" w:fill="FFFFFF"/>
                                  </w:tcPr>
                                  <w:p w14:paraId="3E24547D" w14:textId="77777777" w:rsidR="00CE57F9" w:rsidRPr="00A22302" w:rsidRDefault="00CE57F9" w:rsidP="000628B7">
                                    <w:pPr>
                                      <w:overflowPunct w:val="0"/>
                                      <w:snapToGrid w:val="0"/>
                                      <w:spacing w:line="300" w:lineRule="exact"/>
                                      <w:jc w:val="center"/>
                                      <w:rPr>
                                        <w:rFonts w:ascii="標楷體" w:eastAsia="標楷體" w:hAnsi="標楷體"/>
                                        <w:sz w:val="20"/>
                                      </w:rPr>
                                    </w:pPr>
                                  </w:p>
                                </w:tc>
                              </w:tr>
                              <w:tr w:rsidR="00CE57F9" w14:paraId="1C4F6F28" w14:textId="77777777" w:rsidTr="007F07D7">
                                <w:trPr>
                                  <w:jc w:val="center"/>
                                </w:trPr>
                                <w:tc>
                                  <w:tcPr>
                                    <w:tcW w:w="4820" w:type="dxa"/>
                                    <w:gridSpan w:val="3"/>
                                    <w:shd w:val="clear" w:color="auto" w:fill="auto"/>
                                  </w:tcPr>
                                  <w:p w14:paraId="6D968529" w14:textId="77777777" w:rsidR="00CE57F9" w:rsidRPr="00346BDD" w:rsidRDefault="00CE57F9" w:rsidP="000628B7">
                                    <w:pPr>
                                      <w:overflowPunct w:val="0"/>
                                      <w:snapToGrid w:val="0"/>
                                      <w:spacing w:line="300" w:lineRule="exact"/>
                                      <w:jc w:val="center"/>
                                      <w:rPr>
                                        <w:rFonts w:ascii="標楷體" w:eastAsia="標楷體" w:hAnsi="標楷體"/>
                                        <w:b/>
                                        <w:sz w:val="20"/>
                                      </w:rPr>
                                    </w:pPr>
                                    <w:r w:rsidRPr="00346BDD">
                                      <w:rPr>
                                        <w:rFonts w:ascii="標楷體" w:eastAsia="標楷體" w:hAnsi="標楷體" w:hint="eastAsia"/>
                                        <w:b/>
                                        <w:sz w:val="20"/>
                                      </w:rPr>
                                      <w:t>合計</w:t>
                                    </w:r>
                                  </w:p>
                                </w:tc>
                                <w:tc>
                                  <w:tcPr>
                                    <w:tcW w:w="607" w:type="dxa"/>
                                    <w:shd w:val="clear" w:color="auto" w:fill="auto"/>
                                  </w:tcPr>
                                  <w:p w14:paraId="427F763F" w14:textId="77777777" w:rsidR="00CE57F9" w:rsidRPr="00346BDD" w:rsidRDefault="00CE57F9" w:rsidP="000628B7">
                                    <w:pPr>
                                      <w:overflowPunct w:val="0"/>
                                      <w:snapToGrid w:val="0"/>
                                      <w:spacing w:line="300" w:lineRule="exact"/>
                                      <w:jc w:val="right"/>
                                      <w:rPr>
                                        <w:rFonts w:ascii="標楷體" w:eastAsia="標楷體" w:hAnsi="標楷體"/>
                                        <w:b/>
                                        <w:sz w:val="20"/>
                                      </w:rPr>
                                    </w:pPr>
                                    <w:r w:rsidRPr="00346BDD">
                                      <w:rPr>
                                        <w:rFonts w:ascii="標楷體" w:eastAsia="標楷體" w:hAnsi="標楷體"/>
                                        <w:b/>
                                        <w:sz w:val="20"/>
                                      </w:rPr>
                                      <w:t>137</w:t>
                                    </w:r>
                                  </w:p>
                                </w:tc>
                                <w:tc>
                                  <w:tcPr>
                                    <w:tcW w:w="948" w:type="dxa"/>
                                    <w:shd w:val="clear" w:color="auto" w:fill="auto"/>
                                  </w:tcPr>
                                  <w:p w14:paraId="2EE82E92" w14:textId="77777777" w:rsidR="00CE57F9" w:rsidRPr="00346BDD" w:rsidRDefault="00CE57F9" w:rsidP="000628B7">
                                    <w:pPr>
                                      <w:overflowPunct w:val="0"/>
                                      <w:snapToGrid w:val="0"/>
                                      <w:spacing w:line="300" w:lineRule="exact"/>
                                      <w:jc w:val="right"/>
                                      <w:rPr>
                                        <w:rFonts w:ascii="標楷體" w:eastAsia="標楷體" w:hAnsi="標楷體"/>
                                        <w:b/>
                                        <w:sz w:val="20"/>
                                      </w:rPr>
                                    </w:pPr>
                                    <w:r w:rsidRPr="00346BDD">
                                      <w:rPr>
                                        <w:rFonts w:ascii="標楷體" w:eastAsia="標楷體" w:hAnsi="標楷體"/>
                                        <w:b/>
                                        <w:sz w:val="20"/>
                                      </w:rPr>
                                      <w:t>829,630</w:t>
                                    </w:r>
                                  </w:p>
                                </w:tc>
                              </w:tr>
                              <w:tr w:rsidR="00CE57F9" w14:paraId="4B9A048E" w14:textId="77777777" w:rsidTr="007F07D7">
                                <w:trPr>
                                  <w:jc w:val="center"/>
                                </w:trPr>
                                <w:tc>
                                  <w:tcPr>
                                    <w:tcW w:w="426" w:type="dxa"/>
                                    <w:shd w:val="clear" w:color="auto" w:fill="auto"/>
                                    <w:vAlign w:val="center"/>
                                  </w:tcPr>
                                  <w:p w14:paraId="2E681C63" w14:textId="77777777" w:rsidR="00CE57F9" w:rsidRPr="008445D4" w:rsidRDefault="00CE57F9" w:rsidP="000628B7">
                                    <w:pPr>
                                      <w:overflowPunct w:val="0"/>
                                      <w:snapToGrid w:val="0"/>
                                      <w:spacing w:line="300" w:lineRule="exact"/>
                                      <w:jc w:val="center"/>
                                      <w:rPr>
                                        <w:rFonts w:ascii="標楷體" w:eastAsia="標楷體" w:hAnsi="標楷體"/>
                                        <w:color w:val="000000"/>
                                        <w:sz w:val="20"/>
                                      </w:rPr>
                                    </w:pPr>
                                    <w:r w:rsidRPr="008445D4">
                                      <w:rPr>
                                        <w:rFonts w:ascii="標楷體" w:eastAsia="標楷體" w:hAnsi="標楷體" w:hint="eastAsia"/>
                                        <w:color w:val="000000"/>
                                        <w:sz w:val="20"/>
                                      </w:rPr>
                                      <w:t>1</w:t>
                                    </w:r>
                                  </w:p>
                                </w:tc>
                                <w:tc>
                                  <w:tcPr>
                                    <w:tcW w:w="850" w:type="dxa"/>
                                    <w:shd w:val="clear" w:color="auto" w:fill="auto"/>
                                    <w:vAlign w:val="center"/>
                                  </w:tcPr>
                                  <w:p w14:paraId="6B15C70C" w14:textId="77777777" w:rsidR="00CE57F9" w:rsidRPr="008445D4" w:rsidRDefault="00CE57F9" w:rsidP="000628B7">
                                    <w:pPr>
                                      <w:overflowPunct w:val="0"/>
                                      <w:snapToGrid w:val="0"/>
                                      <w:spacing w:line="300" w:lineRule="exact"/>
                                      <w:jc w:val="center"/>
                                      <w:rPr>
                                        <w:rFonts w:ascii="標楷體" w:eastAsia="標楷體" w:hAnsi="標楷體"/>
                                        <w:color w:val="000000"/>
                                        <w:sz w:val="20"/>
                                      </w:rPr>
                                    </w:pPr>
                                    <w:r>
                                      <w:rPr>
                                        <w:rFonts w:ascii="標楷體" w:eastAsia="標楷體" w:hAnsi="標楷體" w:hint="eastAsia"/>
                                        <w:color w:val="000000"/>
                                        <w:sz w:val="20"/>
                                      </w:rPr>
                                      <w:t>（</w:t>
                                    </w:r>
                                    <w:r w:rsidRPr="008445D4">
                                      <w:rPr>
                                        <w:rFonts w:ascii="標楷體" w:eastAsia="標楷體" w:hAnsi="標楷體" w:hint="eastAsia"/>
                                        <w:color w:val="000000"/>
                                        <w:sz w:val="20"/>
                                      </w:rPr>
                                      <w:t>五</w:t>
                                    </w:r>
                                    <w:r>
                                      <w:rPr>
                                        <w:rFonts w:ascii="標楷體" w:eastAsia="標楷體" w:hAnsi="標楷體" w:hint="eastAsia"/>
                                        <w:color w:val="000000"/>
                                        <w:sz w:val="20"/>
                                      </w:rPr>
                                      <w:t>）</w:t>
                                    </w:r>
                                  </w:p>
                                </w:tc>
                                <w:tc>
                                  <w:tcPr>
                                    <w:tcW w:w="3544" w:type="dxa"/>
                                    <w:shd w:val="clear" w:color="auto" w:fill="auto"/>
                                  </w:tcPr>
                                  <w:p w14:paraId="3D820355" w14:textId="77777777" w:rsidR="00CE57F9" w:rsidRPr="008445D4" w:rsidRDefault="00CE57F9" w:rsidP="00B410F1">
                                    <w:pPr>
                                      <w:overflowPunct w:val="0"/>
                                      <w:snapToGrid w:val="0"/>
                                      <w:spacing w:line="240" w:lineRule="exact"/>
                                      <w:jc w:val="both"/>
                                      <w:rPr>
                                        <w:rFonts w:ascii="標楷體" w:eastAsia="標楷體" w:hAnsi="標楷體"/>
                                        <w:color w:val="000000"/>
                                        <w:sz w:val="20"/>
                                      </w:rPr>
                                    </w:pPr>
                                    <w:r w:rsidRPr="008445D4">
                                      <w:rPr>
                                        <w:rFonts w:ascii="標楷體" w:eastAsia="標楷體" w:hAnsi="標楷體" w:hint="eastAsia"/>
                                        <w:color w:val="000000"/>
                                        <w:sz w:val="20"/>
                                      </w:rPr>
                                      <w:t>限非屬法規規定之團體之會員方可投標，例如：某協會之會員。</w:t>
                                    </w:r>
                                  </w:p>
                                </w:tc>
                                <w:tc>
                                  <w:tcPr>
                                    <w:tcW w:w="607" w:type="dxa"/>
                                    <w:shd w:val="clear" w:color="auto" w:fill="auto"/>
                                    <w:vAlign w:val="center"/>
                                  </w:tcPr>
                                  <w:p w14:paraId="3FC6A3FA"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hint="eastAsia"/>
                                        <w:color w:val="000000"/>
                                        <w:sz w:val="20"/>
                                      </w:rPr>
                                      <w:t>8</w:t>
                                    </w:r>
                                    <w:r>
                                      <w:rPr>
                                        <w:rFonts w:ascii="標楷體" w:eastAsia="標楷體" w:hAnsi="標楷體" w:hint="eastAsia"/>
                                        <w:color w:val="000000"/>
                                        <w:sz w:val="20"/>
                                      </w:rPr>
                                      <w:t>4</w:t>
                                    </w:r>
                                  </w:p>
                                </w:tc>
                                <w:tc>
                                  <w:tcPr>
                                    <w:tcW w:w="948" w:type="dxa"/>
                                    <w:shd w:val="clear" w:color="auto" w:fill="auto"/>
                                    <w:vAlign w:val="center"/>
                                  </w:tcPr>
                                  <w:p w14:paraId="428D8E54"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color w:val="000000"/>
                                        <w:sz w:val="20"/>
                                      </w:rPr>
                                      <w:t>55</w:t>
                                    </w:r>
                                    <w:r>
                                      <w:rPr>
                                        <w:rFonts w:ascii="標楷體" w:eastAsia="標楷體" w:hAnsi="標楷體" w:hint="eastAsia"/>
                                        <w:color w:val="000000"/>
                                        <w:sz w:val="20"/>
                                      </w:rPr>
                                      <w:t>3</w:t>
                                    </w:r>
                                    <w:r w:rsidRPr="008445D4">
                                      <w:rPr>
                                        <w:rFonts w:ascii="標楷體" w:eastAsia="標楷體" w:hAnsi="標楷體" w:hint="eastAsia"/>
                                        <w:color w:val="000000"/>
                                        <w:sz w:val="20"/>
                                      </w:rPr>
                                      <w:t>,</w:t>
                                    </w:r>
                                    <w:r>
                                      <w:rPr>
                                        <w:rFonts w:ascii="標楷體" w:eastAsia="標楷體" w:hAnsi="標楷體" w:hint="eastAsia"/>
                                        <w:color w:val="000000"/>
                                        <w:sz w:val="20"/>
                                      </w:rPr>
                                      <w:t>042</w:t>
                                    </w:r>
                                  </w:p>
                                </w:tc>
                              </w:tr>
                              <w:tr w:rsidR="00CE57F9" w14:paraId="7DA8E3A0" w14:textId="77777777" w:rsidTr="007F07D7">
                                <w:trPr>
                                  <w:jc w:val="center"/>
                                </w:trPr>
                                <w:tc>
                                  <w:tcPr>
                                    <w:tcW w:w="426" w:type="dxa"/>
                                    <w:shd w:val="clear" w:color="auto" w:fill="auto"/>
                                    <w:vAlign w:val="center"/>
                                  </w:tcPr>
                                  <w:p w14:paraId="6EADA5D5" w14:textId="77777777" w:rsidR="00CE57F9" w:rsidRPr="008445D4" w:rsidRDefault="00CE57F9" w:rsidP="000628B7">
                                    <w:pPr>
                                      <w:overflowPunct w:val="0"/>
                                      <w:snapToGrid w:val="0"/>
                                      <w:spacing w:line="300" w:lineRule="exact"/>
                                      <w:jc w:val="center"/>
                                      <w:rPr>
                                        <w:rFonts w:ascii="標楷體" w:eastAsia="標楷體" w:hAnsi="標楷體"/>
                                        <w:color w:val="000000"/>
                                        <w:sz w:val="20"/>
                                      </w:rPr>
                                    </w:pPr>
                                    <w:r w:rsidRPr="008445D4">
                                      <w:rPr>
                                        <w:rFonts w:ascii="標楷體" w:eastAsia="標楷體" w:hAnsi="標楷體" w:hint="eastAsia"/>
                                        <w:color w:val="000000"/>
                                        <w:sz w:val="20"/>
                                      </w:rPr>
                                      <w:t>2</w:t>
                                    </w:r>
                                  </w:p>
                                </w:tc>
                                <w:tc>
                                  <w:tcPr>
                                    <w:tcW w:w="850" w:type="dxa"/>
                                    <w:shd w:val="clear" w:color="auto" w:fill="auto"/>
                                    <w:vAlign w:val="center"/>
                                  </w:tcPr>
                                  <w:p w14:paraId="16BFCBF3" w14:textId="77777777" w:rsidR="00CE57F9" w:rsidRPr="008445D4" w:rsidRDefault="00CE57F9" w:rsidP="000628B7">
                                    <w:pPr>
                                      <w:overflowPunct w:val="0"/>
                                      <w:snapToGrid w:val="0"/>
                                      <w:spacing w:line="300" w:lineRule="exact"/>
                                      <w:ind w:leftChars="-45" w:rightChars="-45" w:right="-108" w:hangingChars="54" w:hanging="108"/>
                                      <w:jc w:val="center"/>
                                      <w:rPr>
                                        <w:rFonts w:ascii="標楷體" w:eastAsia="標楷體" w:hAnsi="標楷體"/>
                                        <w:color w:val="000000"/>
                                        <w:sz w:val="20"/>
                                      </w:rPr>
                                    </w:pPr>
                                    <w:r>
                                      <w:rPr>
                                        <w:rFonts w:ascii="標楷體" w:eastAsia="標楷體" w:hAnsi="標楷體" w:hint="eastAsia"/>
                                        <w:color w:val="000000"/>
                                        <w:sz w:val="20"/>
                                      </w:rPr>
                                      <w:t>（</w:t>
                                    </w:r>
                                    <w:r w:rsidRPr="008445D4">
                                      <w:rPr>
                                        <w:rFonts w:ascii="標楷體" w:eastAsia="標楷體" w:hAnsi="標楷體" w:hint="eastAsia"/>
                                        <w:color w:val="000000"/>
                                        <w:sz w:val="20"/>
                                      </w:rPr>
                                      <w:t>二十</w:t>
                                    </w:r>
                                    <w:r>
                                      <w:rPr>
                                        <w:rFonts w:ascii="標楷體" w:eastAsia="標楷體" w:hAnsi="標楷體" w:hint="eastAsia"/>
                                        <w:color w:val="000000"/>
                                        <w:sz w:val="20"/>
                                      </w:rPr>
                                      <w:t>）</w:t>
                                    </w:r>
                                  </w:p>
                                </w:tc>
                                <w:tc>
                                  <w:tcPr>
                                    <w:tcW w:w="3544" w:type="dxa"/>
                                    <w:shd w:val="clear" w:color="auto" w:fill="auto"/>
                                  </w:tcPr>
                                  <w:p w14:paraId="56FFEE96" w14:textId="77777777" w:rsidR="00CE57F9" w:rsidRPr="008445D4" w:rsidRDefault="00CE57F9" w:rsidP="00B410F1">
                                    <w:pPr>
                                      <w:overflowPunct w:val="0"/>
                                      <w:snapToGrid w:val="0"/>
                                      <w:spacing w:line="240" w:lineRule="exact"/>
                                      <w:jc w:val="both"/>
                                      <w:rPr>
                                        <w:rFonts w:ascii="標楷體" w:eastAsia="標楷體" w:hAnsi="標楷體"/>
                                        <w:color w:val="000000"/>
                                        <w:sz w:val="20"/>
                                      </w:rPr>
                                    </w:pPr>
                                    <w:r w:rsidRPr="008445D4">
                                      <w:rPr>
                                        <w:rFonts w:ascii="標楷體" w:eastAsia="標楷體" w:hAnsi="標楷體" w:hint="eastAsia"/>
                                        <w:color w:val="000000"/>
                                        <w:sz w:val="20"/>
                                      </w:rPr>
                                      <w:t>投標時須檢附原廠製造證明、原廠代理證明、原廠願意供應證明、原廠品質保證書。</w:t>
                                    </w:r>
                                  </w:p>
                                </w:tc>
                                <w:tc>
                                  <w:tcPr>
                                    <w:tcW w:w="607" w:type="dxa"/>
                                    <w:shd w:val="clear" w:color="auto" w:fill="auto"/>
                                    <w:vAlign w:val="center"/>
                                  </w:tcPr>
                                  <w:p w14:paraId="3370CB02"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hint="eastAsia"/>
                                        <w:color w:val="000000"/>
                                        <w:sz w:val="20"/>
                                      </w:rPr>
                                      <w:t>31</w:t>
                                    </w:r>
                                  </w:p>
                                </w:tc>
                                <w:tc>
                                  <w:tcPr>
                                    <w:tcW w:w="948" w:type="dxa"/>
                                    <w:shd w:val="clear" w:color="auto" w:fill="auto"/>
                                    <w:vAlign w:val="center"/>
                                  </w:tcPr>
                                  <w:p w14:paraId="0928CF64"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color w:val="000000"/>
                                        <w:sz w:val="20"/>
                                      </w:rPr>
                                      <w:t>134</w:t>
                                    </w:r>
                                    <w:r w:rsidRPr="008445D4">
                                      <w:rPr>
                                        <w:rFonts w:ascii="標楷體" w:eastAsia="標楷體" w:hAnsi="標楷體" w:hint="eastAsia"/>
                                        <w:color w:val="000000"/>
                                        <w:sz w:val="20"/>
                                      </w:rPr>
                                      <w:t>,</w:t>
                                    </w:r>
                                    <w:r w:rsidRPr="008445D4">
                                      <w:rPr>
                                        <w:rFonts w:ascii="標楷體" w:eastAsia="標楷體" w:hAnsi="標楷體"/>
                                        <w:color w:val="000000"/>
                                        <w:sz w:val="20"/>
                                      </w:rPr>
                                      <w:t>478</w:t>
                                    </w:r>
                                  </w:p>
                                </w:tc>
                              </w:tr>
                              <w:tr w:rsidR="00CE57F9" w14:paraId="77268760" w14:textId="77777777" w:rsidTr="007F07D7">
                                <w:trPr>
                                  <w:jc w:val="center"/>
                                </w:trPr>
                                <w:tc>
                                  <w:tcPr>
                                    <w:tcW w:w="426" w:type="dxa"/>
                                    <w:shd w:val="clear" w:color="auto" w:fill="auto"/>
                                    <w:vAlign w:val="center"/>
                                  </w:tcPr>
                                  <w:p w14:paraId="53316916" w14:textId="77777777" w:rsidR="00CE57F9" w:rsidRPr="008445D4" w:rsidRDefault="00CE57F9" w:rsidP="000628B7">
                                    <w:pPr>
                                      <w:overflowPunct w:val="0"/>
                                      <w:snapToGrid w:val="0"/>
                                      <w:spacing w:line="300" w:lineRule="exact"/>
                                      <w:jc w:val="center"/>
                                      <w:rPr>
                                        <w:rFonts w:ascii="標楷體" w:eastAsia="標楷體" w:hAnsi="標楷體"/>
                                        <w:color w:val="000000"/>
                                        <w:sz w:val="20"/>
                                      </w:rPr>
                                    </w:pPr>
                                    <w:r w:rsidRPr="008445D4">
                                      <w:rPr>
                                        <w:rFonts w:ascii="標楷體" w:eastAsia="標楷體" w:hAnsi="標楷體" w:hint="eastAsia"/>
                                        <w:color w:val="000000"/>
                                        <w:sz w:val="20"/>
                                      </w:rPr>
                                      <w:t>3</w:t>
                                    </w:r>
                                  </w:p>
                                </w:tc>
                                <w:tc>
                                  <w:tcPr>
                                    <w:tcW w:w="850" w:type="dxa"/>
                                    <w:shd w:val="clear" w:color="auto" w:fill="auto"/>
                                    <w:vAlign w:val="center"/>
                                  </w:tcPr>
                                  <w:p w14:paraId="2999437D" w14:textId="77777777" w:rsidR="00CE57F9" w:rsidRPr="008445D4" w:rsidRDefault="00CE57F9" w:rsidP="000628B7">
                                    <w:pPr>
                                      <w:overflowPunct w:val="0"/>
                                      <w:snapToGrid w:val="0"/>
                                      <w:spacing w:line="300" w:lineRule="exact"/>
                                      <w:ind w:leftChars="-45" w:rightChars="-45" w:right="-108" w:hangingChars="54" w:hanging="108"/>
                                      <w:jc w:val="center"/>
                                      <w:rPr>
                                        <w:rFonts w:ascii="標楷體" w:eastAsia="標楷體" w:hAnsi="標楷體"/>
                                        <w:color w:val="000000"/>
                                        <w:sz w:val="20"/>
                                      </w:rPr>
                                    </w:pPr>
                                    <w:r>
                                      <w:rPr>
                                        <w:rFonts w:ascii="標楷體" w:eastAsia="標楷體" w:hAnsi="標楷體" w:hint="eastAsia"/>
                                        <w:color w:val="000000"/>
                                        <w:sz w:val="20"/>
                                      </w:rPr>
                                      <w:t>（</w:t>
                                    </w:r>
                                    <w:r w:rsidRPr="008445D4">
                                      <w:rPr>
                                        <w:rFonts w:ascii="標楷體" w:eastAsia="標楷體" w:hAnsi="標楷體" w:hint="eastAsia"/>
                                        <w:color w:val="000000"/>
                                        <w:sz w:val="20"/>
                                      </w:rPr>
                                      <w:t>六</w:t>
                                    </w:r>
                                    <w:r>
                                      <w:rPr>
                                        <w:rFonts w:ascii="標楷體" w:eastAsia="標楷體" w:hAnsi="標楷體" w:hint="eastAsia"/>
                                        <w:color w:val="000000"/>
                                        <w:sz w:val="20"/>
                                      </w:rPr>
                                      <w:t>）</w:t>
                                    </w:r>
                                  </w:p>
                                </w:tc>
                                <w:tc>
                                  <w:tcPr>
                                    <w:tcW w:w="3544" w:type="dxa"/>
                                    <w:shd w:val="clear" w:color="auto" w:fill="auto"/>
                                  </w:tcPr>
                                  <w:p w14:paraId="77BEEBB9" w14:textId="77777777" w:rsidR="00CE57F9" w:rsidRPr="008445D4" w:rsidRDefault="00CE57F9" w:rsidP="00B410F1">
                                    <w:pPr>
                                      <w:overflowPunct w:val="0"/>
                                      <w:snapToGrid w:val="0"/>
                                      <w:spacing w:line="240" w:lineRule="exact"/>
                                      <w:jc w:val="both"/>
                                      <w:rPr>
                                        <w:rFonts w:ascii="標楷體" w:eastAsia="標楷體" w:hAnsi="標楷體"/>
                                        <w:color w:val="000000"/>
                                        <w:sz w:val="20"/>
                                      </w:rPr>
                                    </w:pPr>
                                    <w:r w:rsidRPr="008445D4">
                                      <w:rPr>
                                        <w:rFonts w:ascii="標楷體" w:eastAsia="標楷體" w:hAnsi="標楷體" w:hint="eastAsia"/>
                                        <w:color w:val="000000"/>
                                        <w:sz w:val="20"/>
                                      </w:rPr>
                                      <w:t>限公部門</w:t>
                                    </w:r>
                                    <w:r>
                                      <w:rPr>
                                        <w:rFonts w:ascii="標楷體" w:eastAsia="標楷體" w:hAnsi="標楷體"/>
                                        <w:color w:val="000000"/>
                                        <w:sz w:val="20"/>
                                      </w:rPr>
                                      <w:t>（</w:t>
                                    </w:r>
                                    <w:r w:rsidRPr="008445D4">
                                      <w:rPr>
                                        <w:rFonts w:ascii="標楷體" w:eastAsia="標楷體" w:hAnsi="標楷體" w:hint="eastAsia"/>
                                        <w:color w:val="000000"/>
                                        <w:sz w:val="20"/>
                                      </w:rPr>
                                      <w:t>政府機關、公營事業、公立學校</w:t>
                                    </w:r>
                                    <w:r>
                                      <w:rPr>
                                        <w:rFonts w:ascii="標楷體" w:eastAsia="標楷體" w:hAnsi="標楷體"/>
                                        <w:color w:val="000000"/>
                                        <w:sz w:val="20"/>
                                      </w:rPr>
                                      <w:t>）</w:t>
                                    </w:r>
                                    <w:r w:rsidRPr="008445D4">
                                      <w:rPr>
                                        <w:rFonts w:ascii="標楷體" w:eastAsia="標楷體" w:hAnsi="標楷體" w:hint="eastAsia"/>
                                        <w:color w:val="000000"/>
                                        <w:sz w:val="20"/>
                                      </w:rPr>
                                      <w:t>之實績。</w:t>
                                    </w:r>
                                  </w:p>
                                </w:tc>
                                <w:tc>
                                  <w:tcPr>
                                    <w:tcW w:w="607" w:type="dxa"/>
                                    <w:shd w:val="clear" w:color="auto" w:fill="auto"/>
                                    <w:vAlign w:val="center"/>
                                  </w:tcPr>
                                  <w:p w14:paraId="726605D3"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hint="eastAsia"/>
                                        <w:color w:val="000000"/>
                                        <w:sz w:val="20"/>
                                      </w:rPr>
                                      <w:t>10</w:t>
                                    </w:r>
                                  </w:p>
                                </w:tc>
                                <w:tc>
                                  <w:tcPr>
                                    <w:tcW w:w="948" w:type="dxa"/>
                                    <w:shd w:val="clear" w:color="auto" w:fill="auto"/>
                                    <w:vAlign w:val="center"/>
                                  </w:tcPr>
                                  <w:p w14:paraId="4EFA65F7"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color w:val="000000"/>
                                        <w:sz w:val="20"/>
                                      </w:rPr>
                                      <w:t>103</w:t>
                                    </w:r>
                                    <w:r w:rsidRPr="008445D4">
                                      <w:rPr>
                                        <w:rFonts w:ascii="標楷體" w:eastAsia="標楷體" w:hAnsi="標楷體" w:hint="eastAsia"/>
                                        <w:color w:val="000000"/>
                                        <w:sz w:val="20"/>
                                      </w:rPr>
                                      <w:t>,</w:t>
                                    </w:r>
                                    <w:r w:rsidRPr="008445D4">
                                      <w:rPr>
                                        <w:rFonts w:ascii="標楷體" w:eastAsia="標楷體" w:hAnsi="標楷體"/>
                                        <w:color w:val="000000"/>
                                        <w:sz w:val="20"/>
                                      </w:rPr>
                                      <w:t>546</w:t>
                                    </w:r>
                                  </w:p>
                                </w:tc>
                              </w:tr>
                              <w:tr w:rsidR="00CE57F9" w14:paraId="71C13469" w14:textId="77777777" w:rsidTr="007F07D7">
                                <w:trPr>
                                  <w:jc w:val="center"/>
                                </w:trPr>
                                <w:tc>
                                  <w:tcPr>
                                    <w:tcW w:w="426" w:type="dxa"/>
                                    <w:shd w:val="clear" w:color="auto" w:fill="auto"/>
                                    <w:vAlign w:val="center"/>
                                  </w:tcPr>
                                  <w:p w14:paraId="1C245521" w14:textId="77777777" w:rsidR="00CE57F9" w:rsidRPr="008445D4" w:rsidRDefault="00CE57F9" w:rsidP="000628B7">
                                    <w:pPr>
                                      <w:overflowPunct w:val="0"/>
                                      <w:snapToGrid w:val="0"/>
                                      <w:spacing w:line="300" w:lineRule="exact"/>
                                      <w:jc w:val="center"/>
                                      <w:rPr>
                                        <w:rFonts w:ascii="標楷體" w:eastAsia="標楷體" w:hAnsi="標楷體"/>
                                        <w:color w:val="000000"/>
                                        <w:sz w:val="20"/>
                                      </w:rPr>
                                    </w:pPr>
                                    <w:r w:rsidRPr="008445D4">
                                      <w:rPr>
                                        <w:rFonts w:ascii="標楷體" w:eastAsia="標楷體" w:hAnsi="標楷體" w:hint="eastAsia"/>
                                        <w:color w:val="000000"/>
                                        <w:sz w:val="20"/>
                                      </w:rPr>
                                      <w:t>4</w:t>
                                    </w:r>
                                  </w:p>
                                </w:tc>
                                <w:tc>
                                  <w:tcPr>
                                    <w:tcW w:w="850" w:type="dxa"/>
                                    <w:shd w:val="clear" w:color="auto" w:fill="auto"/>
                                    <w:vAlign w:val="center"/>
                                  </w:tcPr>
                                  <w:p w14:paraId="38E29227" w14:textId="77777777" w:rsidR="00CE57F9" w:rsidRPr="008445D4" w:rsidRDefault="00CE57F9" w:rsidP="000628B7">
                                    <w:pPr>
                                      <w:overflowPunct w:val="0"/>
                                      <w:snapToGrid w:val="0"/>
                                      <w:spacing w:line="300" w:lineRule="exact"/>
                                      <w:ind w:leftChars="-45" w:rightChars="-45" w:right="-108" w:hangingChars="54" w:hanging="108"/>
                                      <w:jc w:val="center"/>
                                      <w:rPr>
                                        <w:rFonts w:ascii="標楷體" w:eastAsia="標楷體" w:hAnsi="標楷體"/>
                                        <w:color w:val="000000"/>
                                        <w:sz w:val="20"/>
                                      </w:rPr>
                                    </w:pPr>
                                    <w:r>
                                      <w:rPr>
                                        <w:rFonts w:ascii="標楷體" w:eastAsia="標楷體" w:hAnsi="標楷體" w:hint="eastAsia"/>
                                        <w:color w:val="000000"/>
                                        <w:sz w:val="20"/>
                                      </w:rPr>
                                      <w:t>（</w:t>
                                    </w:r>
                                    <w:r w:rsidRPr="008445D4">
                                      <w:rPr>
                                        <w:rFonts w:ascii="標楷體" w:eastAsia="標楷體" w:hAnsi="標楷體" w:hint="eastAsia"/>
                                        <w:color w:val="000000"/>
                                        <w:sz w:val="20"/>
                                      </w:rPr>
                                      <w:t>二</w:t>
                                    </w:r>
                                    <w:r>
                                      <w:rPr>
                                        <w:rFonts w:ascii="標楷體" w:eastAsia="標楷體" w:hAnsi="標楷體" w:hint="eastAsia"/>
                                        <w:color w:val="000000"/>
                                        <w:sz w:val="20"/>
                                      </w:rPr>
                                      <w:t>）</w:t>
                                    </w:r>
                                  </w:p>
                                </w:tc>
                                <w:tc>
                                  <w:tcPr>
                                    <w:tcW w:w="3544" w:type="dxa"/>
                                    <w:shd w:val="clear" w:color="auto" w:fill="auto"/>
                                  </w:tcPr>
                                  <w:p w14:paraId="670DC0BA" w14:textId="77777777" w:rsidR="00CE57F9" w:rsidRPr="008445D4" w:rsidRDefault="00CE57F9" w:rsidP="00B410F1">
                                    <w:pPr>
                                      <w:overflowPunct w:val="0"/>
                                      <w:snapToGrid w:val="0"/>
                                      <w:spacing w:line="240" w:lineRule="exact"/>
                                      <w:jc w:val="both"/>
                                      <w:rPr>
                                        <w:rFonts w:ascii="標楷體" w:eastAsia="標楷體" w:hAnsi="標楷體"/>
                                        <w:color w:val="000000"/>
                                        <w:sz w:val="20"/>
                                      </w:rPr>
                                    </w:pPr>
                                    <w:r w:rsidRPr="008445D4">
                                      <w:rPr>
                                        <w:rFonts w:ascii="標楷體" w:eastAsia="標楷體" w:hAnsi="標楷體" w:hint="eastAsia"/>
                                        <w:color w:val="000000"/>
                                        <w:sz w:val="20"/>
                                      </w:rPr>
                                      <w:t>非特殊或巨額採購卻規定特定資格。</w:t>
                                    </w:r>
                                  </w:p>
                                </w:tc>
                                <w:tc>
                                  <w:tcPr>
                                    <w:tcW w:w="607" w:type="dxa"/>
                                    <w:shd w:val="clear" w:color="auto" w:fill="auto"/>
                                    <w:vAlign w:val="center"/>
                                  </w:tcPr>
                                  <w:p w14:paraId="15A78241"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hint="eastAsia"/>
                                        <w:color w:val="000000"/>
                                        <w:sz w:val="20"/>
                                      </w:rPr>
                                      <w:t>7</w:t>
                                    </w:r>
                                  </w:p>
                                </w:tc>
                                <w:tc>
                                  <w:tcPr>
                                    <w:tcW w:w="948" w:type="dxa"/>
                                    <w:shd w:val="clear" w:color="auto" w:fill="auto"/>
                                    <w:vAlign w:val="center"/>
                                  </w:tcPr>
                                  <w:p w14:paraId="563CB38E"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color w:val="000000"/>
                                        <w:sz w:val="20"/>
                                      </w:rPr>
                                      <w:t>30</w:t>
                                    </w:r>
                                    <w:r w:rsidRPr="008445D4">
                                      <w:rPr>
                                        <w:rFonts w:ascii="標楷體" w:eastAsia="標楷體" w:hAnsi="標楷體" w:hint="eastAsia"/>
                                        <w:color w:val="000000"/>
                                        <w:sz w:val="20"/>
                                      </w:rPr>
                                      <w:t>,</w:t>
                                    </w:r>
                                    <w:r w:rsidRPr="008445D4">
                                      <w:rPr>
                                        <w:rFonts w:ascii="標楷體" w:eastAsia="標楷體" w:hAnsi="標楷體"/>
                                        <w:color w:val="000000"/>
                                        <w:sz w:val="20"/>
                                      </w:rPr>
                                      <w:t>934</w:t>
                                    </w:r>
                                  </w:p>
                                </w:tc>
                              </w:tr>
                              <w:tr w:rsidR="00CE57F9" w14:paraId="6BF305FE" w14:textId="77777777" w:rsidTr="007F07D7">
                                <w:trPr>
                                  <w:jc w:val="center"/>
                                </w:trPr>
                                <w:tc>
                                  <w:tcPr>
                                    <w:tcW w:w="426" w:type="dxa"/>
                                    <w:shd w:val="clear" w:color="auto" w:fill="auto"/>
                                    <w:vAlign w:val="center"/>
                                  </w:tcPr>
                                  <w:p w14:paraId="1C049A94" w14:textId="77777777" w:rsidR="00CE57F9" w:rsidRPr="008445D4" w:rsidRDefault="00CE57F9" w:rsidP="000628B7">
                                    <w:pPr>
                                      <w:overflowPunct w:val="0"/>
                                      <w:snapToGrid w:val="0"/>
                                      <w:spacing w:line="300" w:lineRule="exact"/>
                                      <w:jc w:val="center"/>
                                      <w:rPr>
                                        <w:rFonts w:ascii="標楷體" w:eastAsia="標楷體" w:hAnsi="標楷體"/>
                                        <w:color w:val="000000"/>
                                        <w:sz w:val="20"/>
                                      </w:rPr>
                                    </w:pPr>
                                    <w:r w:rsidRPr="008445D4">
                                      <w:rPr>
                                        <w:rFonts w:ascii="標楷體" w:eastAsia="標楷體" w:hAnsi="標楷體" w:hint="eastAsia"/>
                                        <w:color w:val="000000"/>
                                        <w:sz w:val="20"/>
                                      </w:rPr>
                                      <w:t>5</w:t>
                                    </w:r>
                                  </w:p>
                                </w:tc>
                                <w:tc>
                                  <w:tcPr>
                                    <w:tcW w:w="850" w:type="dxa"/>
                                    <w:shd w:val="clear" w:color="auto" w:fill="auto"/>
                                    <w:vAlign w:val="center"/>
                                  </w:tcPr>
                                  <w:p w14:paraId="77AAF21C" w14:textId="77777777" w:rsidR="00CE57F9" w:rsidRPr="008445D4" w:rsidRDefault="00CE57F9" w:rsidP="000628B7">
                                    <w:pPr>
                                      <w:overflowPunct w:val="0"/>
                                      <w:snapToGrid w:val="0"/>
                                      <w:spacing w:line="300" w:lineRule="exact"/>
                                      <w:ind w:leftChars="-45" w:rightChars="-45" w:right="-108" w:hangingChars="54" w:hanging="108"/>
                                      <w:jc w:val="center"/>
                                      <w:rPr>
                                        <w:rFonts w:ascii="標楷體" w:eastAsia="標楷體" w:hAnsi="標楷體"/>
                                        <w:color w:val="000000"/>
                                        <w:sz w:val="20"/>
                                      </w:rPr>
                                    </w:pPr>
                                    <w:r>
                                      <w:rPr>
                                        <w:rFonts w:ascii="標楷體" w:eastAsia="標楷體" w:hAnsi="標楷體" w:hint="eastAsia"/>
                                        <w:color w:val="000000"/>
                                        <w:sz w:val="20"/>
                                      </w:rPr>
                                      <w:t>（</w:t>
                                    </w:r>
                                    <w:r w:rsidRPr="008445D4">
                                      <w:rPr>
                                        <w:rFonts w:ascii="標楷體" w:eastAsia="標楷體" w:hAnsi="標楷體" w:hint="eastAsia"/>
                                        <w:color w:val="000000"/>
                                        <w:sz w:val="20"/>
                                      </w:rPr>
                                      <w:t>一</w:t>
                                    </w:r>
                                    <w:r>
                                      <w:rPr>
                                        <w:rFonts w:ascii="標楷體" w:eastAsia="標楷體" w:hAnsi="標楷體" w:hint="eastAsia"/>
                                        <w:color w:val="000000"/>
                                        <w:sz w:val="20"/>
                                      </w:rPr>
                                      <w:t>）</w:t>
                                    </w:r>
                                  </w:p>
                                </w:tc>
                                <w:tc>
                                  <w:tcPr>
                                    <w:tcW w:w="3544" w:type="dxa"/>
                                    <w:shd w:val="clear" w:color="auto" w:fill="auto"/>
                                  </w:tcPr>
                                  <w:p w14:paraId="74170DE9" w14:textId="77777777" w:rsidR="00CE57F9" w:rsidRPr="008445D4" w:rsidRDefault="00CE57F9" w:rsidP="00B410F1">
                                    <w:pPr>
                                      <w:overflowPunct w:val="0"/>
                                      <w:snapToGrid w:val="0"/>
                                      <w:spacing w:line="240" w:lineRule="exact"/>
                                      <w:jc w:val="both"/>
                                      <w:rPr>
                                        <w:rFonts w:ascii="標楷體" w:eastAsia="標楷體" w:hAnsi="標楷體"/>
                                        <w:color w:val="000000"/>
                                        <w:sz w:val="20"/>
                                      </w:rPr>
                                    </w:pPr>
                                    <w:r w:rsidRPr="008445D4">
                                      <w:rPr>
                                        <w:rFonts w:ascii="標楷體" w:eastAsia="標楷體" w:hAnsi="標楷體" w:hint="eastAsia"/>
                                        <w:color w:val="000000"/>
                                        <w:sz w:val="20"/>
                                      </w:rPr>
                                      <w:t>訂定之廠商資格為特殊或巨額採購認定標</w:t>
                                    </w:r>
                                    <w:r w:rsidRPr="00B410F1">
                                      <w:rPr>
                                        <w:rFonts w:ascii="標楷體" w:eastAsia="標楷體" w:hAnsi="標楷體" w:hint="eastAsia"/>
                                        <w:color w:val="000000"/>
                                        <w:spacing w:val="4"/>
                                        <w:sz w:val="20"/>
                                      </w:rPr>
                                      <w:t>準所無或違反或較該標準更嚴格之規定。</w:t>
                                    </w:r>
                                  </w:p>
                                </w:tc>
                                <w:tc>
                                  <w:tcPr>
                                    <w:tcW w:w="607" w:type="dxa"/>
                                    <w:shd w:val="clear" w:color="auto" w:fill="auto"/>
                                    <w:vAlign w:val="center"/>
                                  </w:tcPr>
                                  <w:p w14:paraId="337D99A8"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hint="eastAsia"/>
                                        <w:color w:val="000000"/>
                                        <w:sz w:val="20"/>
                                      </w:rPr>
                                      <w:t>2</w:t>
                                    </w:r>
                                  </w:p>
                                </w:tc>
                                <w:tc>
                                  <w:tcPr>
                                    <w:tcW w:w="948" w:type="dxa"/>
                                    <w:shd w:val="clear" w:color="auto" w:fill="auto"/>
                                    <w:vAlign w:val="center"/>
                                  </w:tcPr>
                                  <w:p w14:paraId="747C9F2A"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color w:val="000000"/>
                                        <w:sz w:val="20"/>
                                      </w:rPr>
                                      <w:t>2</w:t>
                                    </w:r>
                                    <w:r w:rsidRPr="008445D4">
                                      <w:rPr>
                                        <w:rFonts w:ascii="標楷體" w:eastAsia="標楷體" w:hAnsi="標楷體" w:hint="eastAsia"/>
                                        <w:color w:val="000000"/>
                                        <w:sz w:val="20"/>
                                      </w:rPr>
                                      <w:t>,</w:t>
                                    </w:r>
                                    <w:r w:rsidRPr="008445D4">
                                      <w:rPr>
                                        <w:rFonts w:ascii="標楷體" w:eastAsia="標楷體" w:hAnsi="標楷體"/>
                                        <w:color w:val="000000"/>
                                        <w:sz w:val="20"/>
                                      </w:rPr>
                                      <w:t>890</w:t>
                                    </w:r>
                                  </w:p>
                                </w:tc>
                              </w:tr>
                              <w:tr w:rsidR="00CE57F9" w14:paraId="5D6EB147" w14:textId="77777777" w:rsidTr="007F07D7">
                                <w:trPr>
                                  <w:jc w:val="center"/>
                                </w:trPr>
                                <w:tc>
                                  <w:tcPr>
                                    <w:tcW w:w="426" w:type="dxa"/>
                                    <w:shd w:val="clear" w:color="auto" w:fill="auto"/>
                                    <w:vAlign w:val="center"/>
                                  </w:tcPr>
                                  <w:p w14:paraId="6539C54D" w14:textId="77777777" w:rsidR="00CE57F9" w:rsidRPr="008445D4" w:rsidRDefault="00CE57F9" w:rsidP="000628B7">
                                    <w:pPr>
                                      <w:overflowPunct w:val="0"/>
                                      <w:snapToGrid w:val="0"/>
                                      <w:spacing w:line="300" w:lineRule="exact"/>
                                      <w:jc w:val="center"/>
                                      <w:rPr>
                                        <w:rFonts w:ascii="標楷體" w:eastAsia="標楷體" w:hAnsi="標楷體"/>
                                        <w:color w:val="000000"/>
                                        <w:sz w:val="20"/>
                                      </w:rPr>
                                    </w:pPr>
                                    <w:r w:rsidRPr="008445D4">
                                      <w:rPr>
                                        <w:rFonts w:ascii="標楷體" w:eastAsia="標楷體" w:hAnsi="標楷體" w:hint="eastAsia"/>
                                        <w:color w:val="000000"/>
                                        <w:sz w:val="20"/>
                                      </w:rPr>
                                      <w:t>6</w:t>
                                    </w:r>
                                  </w:p>
                                </w:tc>
                                <w:tc>
                                  <w:tcPr>
                                    <w:tcW w:w="850" w:type="dxa"/>
                                    <w:shd w:val="clear" w:color="auto" w:fill="auto"/>
                                    <w:vAlign w:val="center"/>
                                  </w:tcPr>
                                  <w:p w14:paraId="745307B1" w14:textId="77777777" w:rsidR="00CE57F9" w:rsidRPr="008445D4" w:rsidRDefault="00CE57F9" w:rsidP="000628B7">
                                    <w:pPr>
                                      <w:overflowPunct w:val="0"/>
                                      <w:snapToGrid w:val="0"/>
                                      <w:spacing w:line="300" w:lineRule="exact"/>
                                      <w:ind w:leftChars="-45" w:rightChars="-45" w:right="-108" w:hangingChars="54" w:hanging="108"/>
                                      <w:jc w:val="center"/>
                                      <w:rPr>
                                        <w:rFonts w:ascii="標楷體" w:eastAsia="標楷體" w:hAnsi="標楷體"/>
                                        <w:color w:val="000000"/>
                                        <w:sz w:val="20"/>
                                      </w:rPr>
                                    </w:pPr>
                                    <w:r>
                                      <w:rPr>
                                        <w:rFonts w:ascii="標楷體" w:eastAsia="標楷體" w:hAnsi="標楷體" w:hint="eastAsia"/>
                                        <w:color w:val="000000"/>
                                        <w:sz w:val="20"/>
                                      </w:rPr>
                                      <w:t>（</w:t>
                                    </w:r>
                                    <w:r w:rsidRPr="008445D4">
                                      <w:rPr>
                                        <w:rFonts w:ascii="標楷體" w:eastAsia="標楷體" w:hAnsi="標楷體" w:hint="eastAsia"/>
                                        <w:color w:val="000000"/>
                                        <w:sz w:val="20"/>
                                      </w:rPr>
                                      <w:t>十四</w:t>
                                    </w:r>
                                    <w:r>
                                      <w:rPr>
                                        <w:rFonts w:ascii="標楷體" w:eastAsia="標楷體" w:hAnsi="標楷體" w:hint="eastAsia"/>
                                        <w:color w:val="000000"/>
                                        <w:sz w:val="20"/>
                                      </w:rPr>
                                      <w:t>）</w:t>
                                    </w:r>
                                  </w:p>
                                </w:tc>
                                <w:tc>
                                  <w:tcPr>
                                    <w:tcW w:w="3544" w:type="dxa"/>
                                    <w:shd w:val="clear" w:color="auto" w:fill="auto"/>
                                  </w:tcPr>
                                  <w:p w14:paraId="305B00A5" w14:textId="77777777" w:rsidR="00CE57F9" w:rsidRPr="008445D4" w:rsidRDefault="00CE57F9" w:rsidP="00B410F1">
                                    <w:pPr>
                                      <w:overflowPunct w:val="0"/>
                                      <w:snapToGrid w:val="0"/>
                                      <w:spacing w:line="240" w:lineRule="exact"/>
                                      <w:jc w:val="both"/>
                                      <w:rPr>
                                        <w:rFonts w:ascii="標楷體" w:eastAsia="標楷體" w:hAnsi="標楷體"/>
                                        <w:color w:val="000000"/>
                                        <w:sz w:val="20"/>
                                      </w:rPr>
                                    </w:pPr>
                                    <w:r w:rsidRPr="008445D4">
                                      <w:rPr>
                                        <w:rFonts w:ascii="標楷體" w:eastAsia="標楷體" w:hAnsi="標楷體" w:hint="eastAsia"/>
                                        <w:color w:val="000000"/>
                                        <w:sz w:val="20"/>
                                      </w:rPr>
                                      <w:t>投標當時即必須於指定地區設有分公司或維護站。</w:t>
                                    </w:r>
                                  </w:p>
                                </w:tc>
                                <w:tc>
                                  <w:tcPr>
                                    <w:tcW w:w="607" w:type="dxa"/>
                                    <w:shd w:val="clear" w:color="auto" w:fill="auto"/>
                                    <w:vAlign w:val="center"/>
                                  </w:tcPr>
                                  <w:p w14:paraId="2E3490C9"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hint="eastAsia"/>
                                        <w:color w:val="000000"/>
                                        <w:sz w:val="20"/>
                                      </w:rPr>
                                      <w:t>2</w:t>
                                    </w:r>
                                  </w:p>
                                </w:tc>
                                <w:tc>
                                  <w:tcPr>
                                    <w:tcW w:w="948" w:type="dxa"/>
                                    <w:shd w:val="clear" w:color="auto" w:fill="auto"/>
                                    <w:vAlign w:val="center"/>
                                  </w:tcPr>
                                  <w:p w14:paraId="31A33681"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color w:val="000000"/>
                                        <w:sz w:val="20"/>
                                      </w:rPr>
                                      <w:t>3</w:t>
                                    </w:r>
                                    <w:r w:rsidRPr="008445D4">
                                      <w:rPr>
                                        <w:rFonts w:ascii="標楷體" w:eastAsia="標楷體" w:hAnsi="標楷體" w:hint="eastAsia"/>
                                        <w:color w:val="000000"/>
                                        <w:sz w:val="20"/>
                                      </w:rPr>
                                      <w:t>,</w:t>
                                    </w:r>
                                    <w:r w:rsidRPr="008445D4">
                                      <w:rPr>
                                        <w:rFonts w:ascii="標楷體" w:eastAsia="標楷體" w:hAnsi="標楷體"/>
                                        <w:color w:val="000000"/>
                                        <w:sz w:val="20"/>
                                      </w:rPr>
                                      <w:t>428</w:t>
                                    </w:r>
                                  </w:p>
                                </w:tc>
                              </w:tr>
                              <w:tr w:rsidR="00CE57F9" w14:paraId="271CDD7F" w14:textId="77777777" w:rsidTr="007F07D7">
                                <w:trPr>
                                  <w:jc w:val="center"/>
                                </w:trPr>
                                <w:tc>
                                  <w:tcPr>
                                    <w:tcW w:w="426" w:type="dxa"/>
                                    <w:shd w:val="clear" w:color="auto" w:fill="auto"/>
                                    <w:vAlign w:val="center"/>
                                  </w:tcPr>
                                  <w:p w14:paraId="7A93D664" w14:textId="77777777" w:rsidR="00CE57F9" w:rsidRPr="008445D4" w:rsidRDefault="00CE57F9" w:rsidP="000628B7">
                                    <w:pPr>
                                      <w:overflowPunct w:val="0"/>
                                      <w:snapToGrid w:val="0"/>
                                      <w:spacing w:line="300" w:lineRule="exact"/>
                                      <w:jc w:val="center"/>
                                      <w:rPr>
                                        <w:rFonts w:ascii="標楷體" w:eastAsia="標楷體" w:hAnsi="標楷體"/>
                                        <w:color w:val="000000"/>
                                        <w:sz w:val="20"/>
                                      </w:rPr>
                                    </w:pPr>
                                    <w:r w:rsidRPr="008445D4">
                                      <w:rPr>
                                        <w:rFonts w:ascii="標楷體" w:eastAsia="標楷體" w:hAnsi="標楷體" w:hint="eastAsia"/>
                                        <w:color w:val="000000"/>
                                        <w:sz w:val="20"/>
                                      </w:rPr>
                                      <w:t>7</w:t>
                                    </w:r>
                                  </w:p>
                                </w:tc>
                                <w:tc>
                                  <w:tcPr>
                                    <w:tcW w:w="850" w:type="dxa"/>
                                    <w:shd w:val="clear" w:color="auto" w:fill="auto"/>
                                    <w:vAlign w:val="center"/>
                                  </w:tcPr>
                                  <w:p w14:paraId="1494C639" w14:textId="77777777" w:rsidR="00CE57F9" w:rsidRPr="008445D4" w:rsidRDefault="00CE57F9" w:rsidP="000628B7">
                                    <w:pPr>
                                      <w:overflowPunct w:val="0"/>
                                      <w:snapToGrid w:val="0"/>
                                      <w:spacing w:line="300" w:lineRule="exact"/>
                                      <w:ind w:leftChars="-45" w:rightChars="-45" w:right="-108" w:hangingChars="54" w:hanging="108"/>
                                      <w:jc w:val="center"/>
                                      <w:rPr>
                                        <w:rFonts w:ascii="標楷體" w:eastAsia="標楷體" w:hAnsi="標楷體"/>
                                        <w:color w:val="000000"/>
                                        <w:sz w:val="20"/>
                                      </w:rPr>
                                    </w:pPr>
                                    <w:r>
                                      <w:rPr>
                                        <w:rFonts w:ascii="標楷體" w:eastAsia="標楷體" w:hAnsi="標楷體" w:hint="eastAsia"/>
                                        <w:color w:val="000000"/>
                                        <w:sz w:val="20"/>
                                      </w:rPr>
                                      <w:t>（</w:t>
                                    </w:r>
                                    <w:r w:rsidRPr="008445D4">
                                      <w:rPr>
                                        <w:rFonts w:ascii="標楷體" w:eastAsia="標楷體" w:hAnsi="標楷體" w:hint="eastAsia"/>
                                        <w:color w:val="000000"/>
                                        <w:sz w:val="20"/>
                                      </w:rPr>
                                      <w:t>十三</w:t>
                                    </w:r>
                                    <w:r>
                                      <w:rPr>
                                        <w:rFonts w:ascii="標楷體" w:eastAsia="標楷體" w:hAnsi="標楷體" w:hint="eastAsia"/>
                                        <w:color w:val="000000"/>
                                        <w:sz w:val="20"/>
                                      </w:rPr>
                                      <w:t>）</w:t>
                                    </w:r>
                                  </w:p>
                                </w:tc>
                                <w:tc>
                                  <w:tcPr>
                                    <w:tcW w:w="3544" w:type="dxa"/>
                                    <w:shd w:val="clear" w:color="auto" w:fill="auto"/>
                                  </w:tcPr>
                                  <w:p w14:paraId="2A8530FB" w14:textId="77777777" w:rsidR="00CE57F9" w:rsidRPr="008445D4" w:rsidRDefault="00CE57F9" w:rsidP="00B410F1">
                                    <w:pPr>
                                      <w:overflowPunct w:val="0"/>
                                      <w:snapToGrid w:val="0"/>
                                      <w:spacing w:line="240" w:lineRule="exact"/>
                                      <w:jc w:val="both"/>
                                      <w:rPr>
                                        <w:rFonts w:ascii="標楷體" w:eastAsia="標楷體" w:hAnsi="標楷體"/>
                                        <w:color w:val="000000"/>
                                        <w:sz w:val="20"/>
                                      </w:rPr>
                                    </w:pPr>
                                    <w:r w:rsidRPr="008445D4">
                                      <w:rPr>
                                        <w:rFonts w:ascii="標楷體" w:eastAsia="標楷體" w:hAnsi="標楷體" w:hint="eastAsia"/>
                                        <w:color w:val="000000"/>
                                        <w:sz w:val="20"/>
                                      </w:rPr>
                                      <w:t>非屬特殊或巨額採購，限取得ISO9000系列驗證者。</w:t>
                                    </w:r>
                                  </w:p>
                                </w:tc>
                                <w:tc>
                                  <w:tcPr>
                                    <w:tcW w:w="607" w:type="dxa"/>
                                    <w:shd w:val="clear" w:color="auto" w:fill="auto"/>
                                    <w:vAlign w:val="center"/>
                                  </w:tcPr>
                                  <w:p w14:paraId="52B4D078"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hint="eastAsia"/>
                                        <w:color w:val="000000"/>
                                        <w:sz w:val="20"/>
                                      </w:rPr>
                                      <w:t>1</w:t>
                                    </w:r>
                                  </w:p>
                                </w:tc>
                                <w:tc>
                                  <w:tcPr>
                                    <w:tcW w:w="948" w:type="dxa"/>
                                    <w:shd w:val="clear" w:color="auto" w:fill="auto"/>
                                    <w:vAlign w:val="center"/>
                                  </w:tcPr>
                                  <w:p w14:paraId="7DAE69C6"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color w:val="000000"/>
                                        <w:sz w:val="20"/>
                                      </w:rPr>
                                      <w:t>1</w:t>
                                    </w:r>
                                    <w:r w:rsidRPr="008445D4">
                                      <w:rPr>
                                        <w:rFonts w:ascii="標楷體" w:eastAsia="標楷體" w:hAnsi="標楷體" w:hint="eastAsia"/>
                                        <w:color w:val="000000"/>
                                        <w:sz w:val="20"/>
                                      </w:rPr>
                                      <w:t>,</w:t>
                                    </w:r>
                                    <w:r w:rsidRPr="008445D4">
                                      <w:rPr>
                                        <w:rFonts w:ascii="標楷體" w:eastAsia="標楷體" w:hAnsi="標楷體"/>
                                        <w:color w:val="000000"/>
                                        <w:sz w:val="20"/>
                                      </w:rPr>
                                      <w:t>310</w:t>
                                    </w:r>
                                  </w:p>
                                </w:tc>
                              </w:tr>
                            </w:tbl>
                            <w:p w14:paraId="196A21B0" w14:textId="77777777" w:rsidR="00CE57F9" w:rsidRPr="008920EB" w:rsidRDefault="00CE57F9" w:rsidP="007F07D7">
                              <w:pPr>
                                <w:snapToGrid w:val="0"/>
                                <w:spacing w:line="240" w:lineRule="exact"/>
                                <w:ind w:leftChars="10" w:left="852" w:hangingChars="460" w:hanging="828"/>
                                <w:jc w:val="both"/>
                                <w:rPr>
                                  <w:rFonts w:ascii="標楷體" w:eastAsia="標楷體" w:hAnsi="標楷體"/>
                                  <w:bCs/>
                                  <w:snapToGrid w:val="0"/>
                                  <w:sz w:val="18"/>
                                  <w:szCs w:val="18"/>
                                </w:rPr>
                              </w:pPr>
                              <w:r w:rsidRPr="00F71D74">
                                <w:rPr>
                                  <w:rFonts w:ascii="標楷體" w:eastAsia="標楷體" w:hAnsi="標楷體"/>
                                  <w:bCs/>
                                  <w:snapToGrid w:val="0"/>
                                  <w:sz w:val="18"/>
                                  <w:szCs w:val="18"/>
                                </w:rPr>
                                <w:t>資料來源：</w:t>
                              </w:r>
                              <w:r>
                                <w:rPr>
                                  <w:rFonts w:ascii="標楷體" w:eastAsia="標楷體" w:hAnsi="標楷體" w:hint="eastAsia"/>
                                  <w:bCs/>
                                  <w:snapToGrid w:val="0"/>
                                  <w:sz w:val="18"/>
                                  <w:szCs w:val="18"/>
                                </w:rPr>
                                <w:t>整理自1</w:t>
                              </w:r>
                              <w:r>
                                <w:rPr>
                                  <w:rFonts w:ascii="標楷體" w:eastAsia="標楷體" w:hAnsi="標楷體"/>
                                  <w:bCs/>
                                  <w:snapToGrid w:val="0"/>
                                  <w:sz w:val="18"/>
                                  <w:szCs w:val="18"/>
                                </w:rPr>
                                <w:t>09年9月14日修正發布之政府採</w:t>
                              </w:r>
                              <w:r w:rsidRPr="004742FF">
                                <w:rPr>
                                  <w:rFonts w:ascii="標楷體" w:eastAsia="標楷體" w:hAnsi="標楷體"/>
                                  <w:bCs/>
                                  <w:snapToGrid w:val="0"/>
                                  <w:spacing w:val="4"/>
                                  <w:sz w:val="18"/>
                                  <w:szCs w:val="18"/>
                                </w:rPr>
                                <w:t>購</w:t>
                              </w:r>
                              <w:r w:rsidRPr="004742FF">
                                <w:rPr>
                                  <w:rFonts w:ascii="標楷體" w:eastAsia="標楷體" w:hAnsi="標楷體" w:hint="eastAsia"/>
                                  <w:bCs/>
                                  <w:snapToGrid w:val="0"/>
                                  <w:spacing w:val="4"/>
                                  <w:sz w:val="18"/>
                                  <w:szCs w:val="18"/>
                                </w:rPr>
                                <w:t>錯誤</w:t>
                              </w:r>
                              <w:r w:rsidRPr="004742FF">
                                <w:rPr>
                                  <w:rFonts w:ascii="標楷體" w:eastAsia="標楷體" w:hAnsi="標楷體"/>
                                  <w:bCs/>
                                  <w:snapToGrid w:val="0"/>
                                  <w:spacing w:val="4"/>
                                  <w:sz w:val="18"/>
                                  <w:szCs w:val="18"/>
                                </w:rPr>
                                <w:t>行為態樣及本部調查結果。</w:t>
                              </w:r>
                            </w:p>
                          </w:txbxContent>
                        </wps:txbx>
                        <wps:bodyPr rot="0" vert="horz" wrap="square" lIns="91440" tIns="45720" rIns="91440" bIns="45720" anchor="t" anchorCtr="0">
                          <a:noAutofit/>
                        </wps:bodyPr>
                      </wps:wsp>
                    </wpg:wgp>
                  </a:graphicData>
                </a:graphic>
              </wp:anchor>
            </w:drawing>
          </mc:Choice>
          <mc:Fallback>
            <w:pict>
              <v:group w14:anchorId="59593E84" id="群組 4" o:spid="_x0000_s1157" style="position:absolute;left:0;text-align:left;margin-left:155.9pt;margin-top:115.8pt;width:339.85pt;height:582pt;z-index:251652608" coordsize="43160,73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">
                <v:shape id="文字方塊 36" o:spid="_x0000_s1158" type="#_x0000_t202" style="position:absolute;width:43122;height:37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2AB776C6" w14:textId="2EA9432D" w:rsidR="00CE57F9" w:rsidRPr="00711E59" w:rsidRDefault="00CE57F9" w:rsidP="00D66F89">
                        <w:pPr>
                          <w:snapToGrid w:val="0"/>
                          <w:spacing w:line="420" w:lineRule="exact"/>
                          <w:ind w:leftChars="119" w:left="1639" w:rightChars="99" w:right="238" w:hangingChars="563" w:hanging="1353"/>
                          <w:jc w:val="center"/>
                          <w:rPr>
                            <w:rFonts w:ascii="標楷體" w:eastAsia="標楷體" w:hAnsi="標楷體"/>
                          </w:rPr>
                        </w:pPr>
                        <w:r w:rsidRPr="00711E59">
                          <w:rPr>
                            <w:rFonts w:ascii="標楷體" w:eastAsia="標楷體" w:hAnsi="標楷體"/>
                            <w:b/>
                            <w:bCs/>
                            <w:snapToGrid w:val="0"/>
                          </w:rPr>
                          <w:t>表</w:t>
                        </w:r>
                        <w:r>
                          <w:rPr>
                            <w:rFonts w:ascii="標楷體" w:eastAsia="標楷體" w:hAnsi="標楷體"/>
                            <w:b/>
                            <w:bCs/>
                            <w:snapToGrid w:val="0"/>
                          </w:rPr>
                          <w:t>26</w:t>
                        </w:r>
                        <w:r w:rsidRPr="00DB6D61">
                          <w:rPr>
                            <w:rFonts w:ascii="標楷體" w:eastAsia="標楷體" w:hAnsi="標楷體" w:hint="eastAsia"/>
                            <w:b/>
                            <w:snapToGrid w:val="0"/>
                            <w:kern w:val="0"/>
                          </w:rPr>
                          <w:t xml:space="preserve">　</w:t>
                        </w:r>
                        <w:r w:rsidRPr="00711E59">
                          <w:rPr>
                            <w:rFonts w:ascii="標楷體" w:eastAsia="標楷體" w:hAnsi="標楷體" w:hint="eastAsia"/>
                            <w:b/>
                            <w:bCs/>
                            <w:snapToGrid w:val="0"/>
                          </w:rPr>
                          <w:t>各級機關採購案件涉及資格限制競爭</w:t>
                        </w:r>
                        <w:r w:rsidRPr="00711E59">
                          <w:rPr>
                            <w:rFonts w:ascii="標楷體" w:eastAsia="標楷體" w:hAnsi="標楷體"/>
                            <w:b/>
                            <w:bCs/>
                            <w:snapToGrid w:val="0"/>
                          </w:rPr>
                          <w:t>情形</w:t>
                        </w:r>
                      </w:p>
                      <w:p w14:paraId="5B5459BA" w14:textId="77777777" w:rsidR="00CE57F9" w:rsidRPr="00711E59" w:rsidRDefault="00CE57F9" w:rsidP="00D66F89">
                        <w:pPr>
                          <w:snapToGrid w:val="0"/>
                          <w:spacing w:line="300" w:lineRule="exact"/>
                          <w:ind w:leftChars="397" w:left="953" w:rightChars="31" w:right="74" w:firstLineChars="1508" w:firstLine="3016"/>
                          <w:jc w:val="right"/>
                          <w:rPr>
                            <w:rFonts w:ascii="標楷體" w:eastAsia="標楷體" w:hAnsi="標楷體"/>
                            <w:sz w:val="20"/>
                          </w:rPr>
                        </w:pPr>
                        <w:r w:rsidRPr="00711E59">
                          <w:rPr>
                            <w:rFonts w:ascii="標楷體" w:eastAsia="標楷體" w:hAnsi="標楷體"/>
                            <w:sz w:val="20"/>
                          </w:rPr>
                          <w:t>單位</w:t>
                        </w:r>
                        <w:r w:rsidRPr="00711E59">
                          <w:rPr>
                            <w:rFonts w:ascii="標楷體" w:eastAsia="標楷體" w:hAnsi="標楷體" w:hint="eastAsia"/>
                            <w:sz w:val="20"/>
                          </w:rPr>
                          <w:t>：</w:t>
                        </w:r>
                        <w:r w:rsidRPr="00711E59">
                          <w:rPr>
                            <w:rFonts w:ascii="標楷體" w:eastAsia="標楷體" w:hAnsi="標楷體"/>
                            <w:sz w:val="20"/>
                          </w:rPr>
                          <w:t>件</w:t>
                        </w:r>
                        <w:r w:rsidRPr="00711E59">
                          <w:rPr>
                            <w:rFonts w:ascii="標楷體" w:eastAsia="標楷體" w:hAnsi="標楷體" w:hint="eastAsia"/>
                            <w:sz w:val="20"/>
                          </w:rPr>
                          <w:t>、新臺幣</w:t>
                        </w:r>
                        <w:r>
                          <w:rPr>
                            <w:rFonts w:ascii="標楷體" w:eastAsia="標楷體" w:hAnsi="標楷體" w:hint="eastAsia"/>
                            <w:sz w:val="20"/>
                          </w:rPr>
                          <w:t>千</w:t>
                        </w:r>
                        <w:r w:rsidRPr="00711E59">
                          <w:rPr>
                            <w:rFonts w:ascii="標楷體" w:eastAsia="標楷體" w:hAnsi="標楷體"/>
                            <w:sz w:val="20"/>
                          </w:rPr>
                          <w:t>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1132"/>
                          <w:gridCol w:w="464"/>
                          <w:gridCol w:w="1331"/>
                          <w:gridCol w:w="1138"/>
                          <w:gridCol w:w="429"/>
                          <w:gridCol w:w="1405"/>
                        </w:tblGrid>
                        <w:tr w:rsidR="00CE57F9" w14:paraId="531FF8EB" w14:textId="77777777" w:rsidTr="000628B7">
                          <w:trPr>
                            <w:tblHeader/>
                            <w:jc w:val="center"/>
                          </w:trPr>
                          <w:tc>
                            <w:tcPr>
                              <w:tcW w:w="438" w:type="dxa"/>
                              <w:vMerge w:val="restart"/>
                              <w:tcBorders>
                                <w:top w:val="single" w:sz="4" w:space="0" w:color="auto"/>
                                <w:left w:val="single" w:sz="4" w:space="0" w:color="auto"/>
                              </w:tcBorders>
                              <w:shd w:val="clear" w:color="auto" w:fill="FFFFFF"/>
                              <w:vAlign w:val="center"/>
                            </w:tcPr>
                            <w:p w14:paraId="4E031F91" w14:textId="77777777" w:rsidR="00CE57F9" w:rsidRPr="00B42AF7" w:rsidRDefault="00CE57F9" w:rsidP="000628B7">
                              <w:pPr>
                                <w:overflowPunct w:val="0"/>
                                <w:snapToGrid w:val="0"/>
                                <w:spacing w:line="240" w:lineRule="exact"/>
                                <w:ind w:leftChars="-45" w:left="-18" w:rightChars="-42" w:right="-101" w:hangingChars="45" w:hanging="90"/>
                                <w:jc w:val="center"/>
                                <w:rPr>
                                  <w:rFonts w:ascii="標楷體" w:eastAsia="標楷體" w:hAnsi="標楷體"/>
                                  <w:sz w:val="20"/>
                                </w:rPr>
                              </w:pPr>
                              <w:r w:rsidRPr="00B42AF7">
                                <w:rPr>
                                  <w:rFonts w:ascii="標楷體" w:eastAsia="標楷體" w:hAnsi="標楷體" w:hint="eastAsia"/>
                                  <w:sz w:val="20"/>
                                </w:rPr>
                                <w:t>項</w:t>
                              </w:r>
                            </w:p>
                            <w:p w14:paraId="68DEE633" w14:textId="77777777" w:rsidR="00CE57F9" w:rsidRPr="00B42AF7" w:rsidRDefault="00CE57F9" w:rsidP="000628B7">
                              <w:pPr>
                                <w:overflowPunct w:val="0"/>
                                <w:snapToGrid w:val="0"/>
                                <w:spacing w:line="240" w:lineRule="exact"/>
                                <w:ind w:leftChars="-45" w:left="-18" w:rightChars="-42" w:right="-101" w:hangingChars="45" w:hanging="90"/>
                                <w:jc w:val="center"/>
                                <w:rPr>
                                  <w:rFonts w:ascii="標楷體" w:eastAsia="標楷體" w:hAnsi="標楷體"/>
                                  <w:sz w:val="20"/>
                                </w:rPr>
                              </w:pPr>
                              <w:r w:rsidRPr="00B42AF7">
                                <w:rPr>
                                  <w:rFonts w:ascii="標楷體" w:eastAsia="標楷體" w:hAnsi="標楷體" w:hint="eastAsia"/>
                                  <w:sz w:val="20"/>
                                </w:rPr>
                                <w:t>次</w:t>
                              </w:r>
                            </w:p>
                          </w:tc>
                          <w:tc>
                            <w:tcPr>
                              <w:tcW w:w="2927" w:type="dxa"/>
                              <w:gridSpan w:val="3"/>
                              <w:tcBorders>
                                <w:top w:val="single" w:sz="4" w:space="0" w:color="auto"/>
                                <w:right w:val="single" w:sz="4" w:space="0" w:color="auto"/>
                              </w:tcBorders>
                              <w:shd w:val="clear" w:color="auto" w:fill="FFFFFF"/>
                              <w:vAlign w:val="center"/>
                            </w:tcPr>
                            <w:p w14:paraId="4A321B47" w14:textId="77777777" w:rsidR="00CE57F9" w:rsidRPr="00B42AF7" w:rsidRDefault="00CE57F9" w:rsidP="000628B7">
                              <w:pPr>
                                <w:overflowPunct w:val="0"/>
                                <w:snapToGrid w:val="0"/>
                                <w:spacing w:line="240" w:lineRule="exact"/>
                                <w:jc w:val="center"/>
                                <w:rPr>
                                  <w:rFonts w:ascii="標楷體" w:eastAsia="標楷體" w:hAnsi="標楷體"/>
                                  <w:sz w:val="20"/>
                                </w:rPr>
                              </w:pPr>
                              <w:r w:rsidRPr="00B42AF7">
                                <w:rPr>
                                  <w:rFonts w:ascii="標楷體" w:eastAsia="標楷體" w:hAnsi="標楷體"/>
                                  <w:sz w:val="20"/>
                                </w:rPr>
                                <w:t>中央機關</w:t>
                              </w:r>
                            </w:p>
                          </w:tc>
                          <w:tc>
                            <w:tcPr>
                              <w:tcW w:w="2972" w:type="dxa"/>
                              <w:gridSpan w:val="3"/>
                              <w:tcBorders>
                                <w:top w:val="single" w:sz="4" w:space="0" w:color="auto"/>
                                <w:left w:val="single" w:sz="4" w:space="0" w:color="auto"/>
                                <w:right w:val="single" w:sz="4" w:space="0" w:color="auto"/>
                              </w:tcBorders>
                              <w:shd w:val="clear" w:color="auto" w:fill="FFFFFF"/>
                              <w:vAlign w:val="center"/>
                            </w:tcPr>
                            <w:p w14:paraId="7F4D4A15" w14:textId="77777777" w:rsidR="00CE57F9" w:rsidRPr="00B42AF7" w:rsidRDefault="00CE57F9" w:rsidP="000628B7">
                              <w:pPr>
                                <w:overflowPunct w:val="0"/>
                                <w:snapToGrid w:val="0"/>
                                <w:spacing w:line="240" w:lineRule="exact"/>
                                <w:jc w:val="center"/>
                                <w:rPr>
                                  <w:rFonts w:ascii="標楷體" w:eastAsia="標楷體" w:hAnsi="標楷體"/>
                                  <w:sz w:val="20"/>
                                </w:rPr>
                              </w:pPr>
                              <w:r w:rsidRPr="00B42AF7">
                                <w:rPr>
                                  <w:rFonts w:ascii="標楷體" w:eastAsia="標楷體" w:hAnsi="標楷體"/>
                                  <w:sz w:val="20"/>
                                </w:rPr>
                                <w:t>地方機關</w:t>
                              </w:r>
                            </w:p>
                          </w:tc>
                        </w:tr>
                        <w:tr w:rsidR="00CE57F9" w14:paraId="4FA7876E" w14:textId="77777777" w:rsidTr="00DA2751">
                          <w:trPr>
                            <w:tblHeader/>
                            <w:jc w:val="center"/>
                          </w:trPr>
                          <w:tc>
                            <w:tcPr>
                              <w:tcW w:w="438" w:type="dxa"/>
                              <w:vMerge/>
                              <w:tcBorders>
                                <w:left w:val="single" w:sz="4" w:space="0" w:color="auto"/>
                                <w:bottom w:val="single" w:sz="4" w:space="0" w:color="auto"/>
                              </w:tcBorders>
                              <w:shd w:val="clear" w:color="auto" w:fill="FFFFFF"/>
                              <w:vAlign w:val="center"/>
                            </w:tcPr>
                            <w:p w14:paraId="0C9D41CA" w14:textId="77777777" w:rsidR="00CE57F9" w:rsidRPr="00B42AF7" w:rsidRDefault="00CE57F9" w:rsidP="000628B7">
                              <w:pPr>
                                <w:overflowPunct w:val="0"/>
                                <w:snapToGrid w:val="0"/>
                                <w:spacing w:line="240" w:lineRule="exact"/>
                                <w:jc w:val="center"/>
                                <w:rPr>
                                  <w:rFonts w:ascii="標楷體" w:eastAsia="標楷體" w:hAnsi="標楷體"/>
                                  <w:sz w:val="20"/>
                                </w:rPr>
                              </w:pPr>
                            </w:p>
                          </w:tc>
                          <w:tc>
                            <w:tcPr>
                              <w:tcW w:w="1132" w:type="dxa"/>
                              <w:tcBorders>
                                <w:bottom w:val="single" w:sz="4" w:space="0" w:color="auto"/>
                              </w:tcBorders>
                              <w:shd w:val="clear" w:color="auto" w:fill="FFFFFF"/>
                              <w:vAlign w:val="center"/>
                            </w:tcPr>
                            <w:p w14:paraId="07F1A3E0" w14:textId="77777777" w:rsidR="00CE57F9" w:rsidRPr="00B42AF7" w:rsidRDefault="00CE57F9" w:rsidP="000628B7">
                              <w:pPr>
                                <w:overflowPunct w:val="0"/>
                                <w:snapToGrid w:val="0"/>
                                <w:spacing w:line="240" w:lineRule="exact"/>
                                <w:ind w:leftChars="-41" w:left="-98" w:rightChars="-46" w:right="-110"/>
                                <w:jc w:val="center"/>
                                <w:rPr>
                                  <w:rFonts w:ascii="標楷體" w:eastAsia="標楷體" w:hAnsi="標楷體"/>
                                  <w:sz w:val="20"/>
                                </w:rPr>
                              </w:pPr>
                              <w:r w:rsidRPr="00B42AF7">
                                <w:rPr>
                                  <w:rFonts w:ascii="標楷體" w:eastAsia="標楷體" w:hAnsi="標楷體"/>
                                  <w:sz w:val="20"/>
                                </w:rPr>
                                <w:t>主管機關別</w:t>
                              </w:r>
                            </w:p>
                          </w:tc>
                          <w:tc>
                            <w:tcPr>
                              <w:tcW w:w="464" w:type="dxa"/>
                              <w:tcBorders>
                                <w:bottom w:val="single" w:sz="4" w:space="0" w:color="auto"/>
                                <w:right w:val="single" w:sz="4" w:space="0" w:color="000000"/>
                              </w:tcBorders>
                              <w:shd w:val="clear" w:color="auto" w:fill="FFFFFF"/>
                              <w:vAlign w:val="center"/>
                            </w:tcPr>
                            <w:p w14:paraId="5C287269" w14:textId="77777777" w:rsidR="00CE57F9" w:rsidRPr="00B42AF7" w:rsidRDefault="00CE57F9" w:rsidP="000628B7">
                              <w:pPr>
                                <w:overflowPunct w:val="0"/>
                                <w:snapToGrid w:val="0"/>
                                <w:spacing w:line="240" w:lineRule="exact"/>
                                <w:ind w:leftChars="-41" w:left="-98" w:rightChars="-46" w:right="-110"/>
                                <w:jc w:val="center"/>
                                <w:rPr>
                                  <w:rFonts w:ascii="標楷體" w:eastAsia="標楷體" w:hAnsi="標楷體"/>
                                  <w:sz w:val="20"/>
                                </w:rPr>
                              </w:pPr>
                              <w:r w:rsidRPr="00B42AF7">
                                <w:rPr>
                                  <w:rFonts w:ascii="標楷體" w:eastAsia="標楷體" w:hAnsi="標楷體"/>
                                  <w:sz w:val="20"/>
                                </w:rPr>
                                <w:t>件數</w:t>
                              </w:r>
                            </w:p>
                          </w:tc>
                          <w:tc>
                            <w:tcPr>
                              <w:tcW w:w="1331" w:type="dxa"/>
                              <w:tcBorders>
                                <w:top w:val="single" w:sz="4" w:space="0" w:color="000000"/>
                                <w:left w:val="single" w:sz="4" w:space="0" w:color="000000"/>
                                <w:bottom w:val="single" w:sz="4" w:space="0" w:color="auto"/>
                                <w:right w:val="single" w:sz="4" w:space="0" w:color="auto"/>
                              </w:tcBorders>
                              <w:shd w:val="clear" w:color="auto" w:fill="FFFFFF"/>
                              <w:vAlign w:val="center"/>
                            </w:tcPr>
                            <w:p w14:paraId="16B9FC2A" w14:textId="77777777" w:rsidR="00CE57F9" w:rsidRPr="00B42AF7" w:rsidRDefault="00CE57F9" w:rsidP="000628B7">
                              <w:pPr>
                                <w:overflowPunct w:val="0"/>
                                <w:snapToGrid w:val="0"/>
                                <w:spacing w:line="240" w:lineRule="exact"/>
                                <w:ind w:leftChars="-41" w:left="-98" w:rightChars="-46" w:right="-110"/>
                                <w:jc w:val="center"/>
                                <w:rPr>
                                  <w:rFonts w:ascii="標楷體" w:eastAsia="標楷體" w:hAnsi="標楷體"/>
                                  <w:sz w:val="20"/>
                                </w:rPr>
                              </w:pPr>
                              <w:r w:rsidRPr="00B42AF7">
                                <w:rPr>
                                  <w:rFonts w:ascii="標楷體" w:eastAsia="標楷體" w:hAnsi="標楷體"/>
                                  <w:sz w:val="20"/>
                                </w:rPr>
                                <w:t>決標金額</w:t>
                              </w:r>
                            </w:p>
                          </w:tc>
                          <w:tc>
                            <w:tcPr>
                              <w:tcW w:w="1138" w:type="dxa"/>
                              <w:tcBorders>
                                <w:left w:val="single" w:sz="4" w:space="0" w:color="auto"/>
                                <w:bottom w:val="single" w:sz="4" w:space="0" w:color="auto"/>
                              </w:tcBorders>
                              <w:shd w:val="clear" w:color="auto" w:fill="FFFFFF"/>
                              <w:vAlign w:val="center"/>
                            </w:tcPr>
                            <w:p w14:paraId="780B9ED0" w14:textId="77777777" w:rsidR="00CE57F9" w:rsidRPr="00B42AF7" w:rsidRDefault="00CE57F9" w:rsidP="000628B7">
                              <w:pPr>
                                <w:overflowPunct w:val="0"/>
                                <w:snapToGrid w:val="0"/>
                                <w:spacing w:line="240" w:lineRule="exact"/>
                                <w:ind w:leftChars="-41" w:left="-98" w:rightChars="-46" w:right="-110"/>
                                <w:jc w:val="center"/>
                                <w:rPr>
                                  <w:rFonts w:ascii="標楷體" w:eastAsia="標楷體" w:hAnsi="標楷體"/>
                                  <w:sz w:val="20"/>
                                </w:rPr>
                              </w:pPr>
                              <w:r w:rsidRPr="00B42AF7">
                                <w:rPr>
                                  <w:rFonts w:ascii="標楷體" w:eastAsia="標楷體" w:hAnsi="標楷體"/>
                                  <w:sz w:val="20"/>
                                </w:rPr>
                                <w:t>主管機關別</w:t>
                              </w:r>
                            </w:p>
                          </w:tc>
                          <w:tc>
                            <w:tcPr>
                              <w:tcW w:w="429" w:type="dxa"/>
                              <w:tcBorders>
                                <w:bottom w:val="single" w:sz="4" w:space="0" w:color="auto"/>
                              </w:tcBorders>
                              <w:shd w:val="clear" w:color="auto" w:fill="FFFFFF"/>
                              <w:vAlign w:val="center"/>
                            </w:tcPr>
                            <w:p w14:paraId="70D87D4F" w14:textId="77777777" w:rsidR="00CE57F9" w:rsidRPr="00B42AF7" w:rsidRDefault="00CE57F9" w:rsidP="000628B7">
                              <w:pPr>
                                <w:overflowPunct w:val="0"/>
                                <w:snapToGrid w:val="0"/>
                                <w:spacing w:line="240" w:lineRule="exact"/>
                                <w:ind w:leftChars="-41" w:left="-98" w:rightChars="-46" w:right="-110"/>
                                <w:jc w:val="center"/>
                                <w:rPr>
                                  <w:rFonts w:ascii="標楷體" w:eastAsia="標楷體" w:hAnsi="標楷體"/>
                                  <w:sz w:val="20"/>
                                </w:rPr>
                              </w:pPr>
                              <w:r w:rsidRPr="00B42AF7">
                                <w:rPr>
                                  <w:rFonts w:ascii="標楷體" w:eastAsia="標楷體" w:hAnsi="標楷體"/>
                                  <w:sz w:val="20"/>
                                </w:rPr>
                                <w:t>件數</w:t>
                              </w:r>
                            </w:p>
                          </w:tc>
                          <w:tc>
                            <w:tcPr>
                              <w:tcW w:w="1405" w:type="dxa"/>
                              <w:tcBorders>
                                <w:bottom w:val="single" w:sz="4" w:space="0" w:color="auto"/>
                                <w:right w:val="single" w:sz="4" w:space="0" w:color="auto"/>
                              </w:tcBorders>
                              <w:shd w:val="clear" w:color="auto" w:fill="FFFFFF"/>
                              <w:vAlign w:val="center"/>
                            </w:tcPr>
                            <w:p w14:paraId="3C4C2155" w14:textId="77777777" w:rsidR="00CE57F9" w:rsidRPr="00B42AF7" w:rsidRDefault="00CE57F9" w:rsidP="000628B7">
                              <w:pPr>
                                <w:overflowPunct w:val="0"/>
                                <w:snapToGrid w:val="0"/>
                                <w:spacing w:line="240" w:lineRule="exact"/>
                                <w:ind w:leftChars="-41" w:left="-98" w:rightChars="-46" w:right="-110"/>
                                <w:jc w:val="center"/>
                                <w:rPr>
                                  <w:rFonts w:ascii="標楷體" w:eastAsia="標楷體" w:hAnsi="標楷體"/>
                                  <w:sz w:val="20"/>
                                </w:rPr>
                              </w:pPr>
                              <w:r w:rsidRPr="00B42AF7">
                                <w:rPr>
                                  <w:rFonts w:ascii="標楷體" w:eastAsia="標楷體" w:hAnsi="標楷體"/>
                                  <w:sz w:val="20"/>
                                </w:rPr>
                                <w:t>決標金額</w:t>
                              </w:r>
                            </w:p>
                          </w:tc>
                        </w:tr>
                        <w:tr w:rsidR="00CE57F9" w14:paraId="573A4C1C" w14:textId="77777777" w:rsidTr="00DA2751">
                          <w:trPr>
                            <w:jc w:val="center"/>
                          </w:trPr>
                          <w:tc>
                            <w:tcPr>
                              <w:tcW w:w="1570" w:type="dxa"/>
                              <w:gridSpan w:val="2"/>
                              <w:tcBorders>
                                <w:top w:val="single" w:sz="4" w:space="0" w:color="auto"/>
                                <w:left w:val="single" w:sz="4" w:space="0" w:color="auto"/>
                                <w:bottom w:val="single" w:sz="4" w:space="0" w:color="auto"/>
                                <w:right w:val="single" w:sz="4" w:space="0" w:color="000000"/>
                              </w:tcBorders>
                              <w:shd w:val="clear" w:color="auto" w:fill="FFFFFF"/>
                            </w:tcPr>
                            <w:p w14:paraId="690360B9" w14:textId="77777777" w:rsidR="00CE57F9" w:rsidRPr="00346BDD" w:rsidRDefault="00CE57F9" w:rsidP="00DA2751">
                              <w:pPr>
                                <w:overflowPunct w:val="0"/>
                                <w:snapToGrid w:val="0"/>
                                <w:spacing w:line="240" w:lineRule="exact"/>
                                <w:jc w:val="center"/>
                                <w:rPr>
                                  <w:rFonts w:ascii="標楷體" w:eastAsia="標楷體" w:hAnsi="標楷體"/>
                                  <w:b/>
                                  <w:color w:val="000000"/>
                                  <w:sz w:val="20"/>
                                </w:rPr>
                              </w:pPr>
                              <w:r w:rsidRPr="00346BDD">
                                <w:rPr>
                                  <w:rFonts w:ascii="標楷體" w:eastAsia="標楷體" w:hAnsi="標楷體" w:hint="eastAsia"/>
                                  <w:b/>
                                  <w:color w:val="000000"/>
                                  <w:sz w:val="20"/>
                                </w:rPr>
                                <w:t>合計</w:t>
                              </w:r>
                            </w:p>
                          </w:tc>
                          <w:tc>
                            <w:tcPr>
                              <w:tcW w:w="464" w:type="dxa"/>
                              <w:tcBorders>
                                <w:top w:val="single" w:sz="4" w:space="0" w:color="auto"/>
                                <w:bottom w:val="single" w:sz="4" w:space="0" w:color="auto"/>
                                <w:right w:val="single" w:sz="4" w:space="0" w:color="000000"/>
                              </w:tcBorders>
                              <w:shd w:val="clear" w:color="auto" w:fill="FFFFFF"/>
                            </w:tcPr>
                            <w:p w14:paraId="41A28A46" w14:textId="77777777" w:rsidR="00CE57F9" w:rsidRPr="00346BDD" w:rsidRDefault="00CE57F9" w:rsidP="000628B7">
                              <w:pPr>
                                <w:overflowPunct w:val="0"/>
                                <w:snapToGrid w:val="0"/>
                                <w:spacing w:line="240" w:lineRule="exact"/>
                                <w:jc w:val="center"/>
                                <w:rPr>
                                  <w:rFonts w:ascii="標楷體" w:eastAsia="標楷體" w:hAnsi="標楷體"/>
                                  <w:b/>
                                  <w:color w:val="000000"/>
                                  <w:sz w:val="20"/>
                                </w:rPr>
                              </w:pPr>
                              <w:r w:rsidRPr="00346BDD">
                                <w:rPr>
                                  <w:rFonts w:ascii="標楷體" w:eastAsia="標楷體" w:hAnsi="標楷體"/>
                                  <w:b/>
                                  <w:color w:val="000000"/>
                                  <w:sz w:val="20"/>
                                </w:rPr>
                                <w:t>84</w:t>
                              </w:r>
                            </w:p>
                          </w:tc>
                          <w:tc>
                            <w:tcPr>
                              <w:tcW w:w="1331" w:type="dxa"/>
                              <w:tcBorders>
                                <w:top w:val="single" w:sz="4" w:space="0" w:color="auto"/>
                                <w:left w:val="single" w:sz="4" w:space="0" w:color="000000"/>
                                <w:bottom w:val="single" w:sz="4" w:space="0" w:color="auto"/>
                                <w:right w:val="single" w:sz="4" w:space="0" w:color="auto"/>
                              </w:tcBorders>
                              <w:shd w:val="clear" w:color="auto" w:fill="FFFFFF"/>
                            </w:tcPr>
                            <w:p w14:paraId="139F7CF1" w14:textId="77777777" w:rsidR="00CE57F9" w:rsidRPr="00346BDD" w:rsidRDefault="00CE57F9" w:rsidP="000628B7">
                              <w:pPr>
                                <w:overflowPunct w:val="0"/>
                                <w:snapToGrid w:val="0"/>
                                <w:spacing w:line="240" w:lineRule="exact"/>
                                <w:jc w:val="right"/>
                                <w:rPr>
                                  <w:rFonts w:ascii="標楷體" w:eastAsia="標楷體" w:hAnsi="標楷體"/>
                                  <w:b/>
                                  <w:color w:val="000000"/>
                                  <w:sz w:val="20"/>
                                </w:rPr>
                              </w:pPr>
                              <w:r w:rsidRPr="00346BDD">
                                <w:rPr>
                                  <w:rFonts w:ascii="標楷體" w:eastAsia="標楷體" w:hAnsi="標楷體"/>
                                  <w:b/>
                                  <w:color w:val="000000"/>
                                  <w:sz w:val="20"/>
                                </w:rPr>
                                <w:t>704,088</w:t>
                              </w:r>
                            </w:p>
                          </w:tc>
                          <w:tc>
                            <w:tcPr>
                              <w:tcW w:w="1138" w:type="dxa"/>
                              <w:tcBorders>
                                <w:top w:val="single" w:sz="4" w:space="0" w:color="auto"/>
                                <w:left w:val="single" w:sz="4" w:space="0" w:color="auto"/>
                                <w:bottom w:val="single" w:sz="4" w:space="0" w:color="auto"/>
                                <w:tl2br w:val="nil"/>
                              </w:tcBorders>
                              <w:shd w:val="clear" w:color="auto" w:fill="FFFFFF"/>
                            </w:tcPr>
                            <w:p w14:paraId="6888F766" w14:textId="01734C48" w:rsidR="00CE57F9" w:rsidRPr="00346BDD" w:rsidRDefault="00CE57F9" w:rsidP="00DA2751">
                              <w:pPr>
                                <w:overflowPunct w:val="0"/>
                                <w:snapToGrid w:val="0"/>
                                <w:spacing w:line="240" w:lineRule="exact"/>
                                <w:jc w:val="center"/>
                                <w:rPr>
                                  <w:rFonts w:ascii="標楷體" w:eastAsia="標楷體" w:hAnsi="標楷體"/>
                                  <w:b/>
                                  <w:color w:val="000000"/>
                                  <w:sz w:val="20"/>
                                </w:rPr>
                              </w:pPr>
                              <w:r w:rsidRPr="00346BDD">
                                <w:rPr>
                                  <w:rFonts w:ascii="標楷體" w:eastAsia="標楷體" w:hAnsi="標楷體" w:hint="eastAsia"/>
                                  <w:b/>
                                  <w:color w:val="000000"/>
                                  <w:sz w:val="20"/>
                                </w:rPr>
                                <w:t>合計</w:t>
                              </w:r>
                            </w:p>
                          </w:tc>
                          <w:tc>
                            <w:tcPr>
                              <w:tcW w:w="429" w:type="dxa"/>
                              <w:tcBorders>
                                <w:top w:val="single" w:sz="4" w:space="0" w:color="auto"/>
                                <w:bottom w:val="single" w:sz="4" w:space="0" w:color="auto"/>
                              </w:tcBorders>
                              <w:shd w:val="clear" w:color="auto" w:fill="FFFFFF"/>
                            </w:tcPr>
                            <w:p w14:paraId="6987F9B1" w14:textId="77777777" w:rsidR="00CE57F9" w:rsidRPr="00346BDD" w:rsidRDefault="00CE57F9" w:rsidP="000628B7">
                              <w:pPr>
                                <w:overflowPunct w:val="0"/>
                                <w:snapToGrid w:val="0"/>
                                <w:spacing w:line="240" w:lineRule="exact"/>
                                <w:jc w:val="right"/>
                                <w:rPr>
                                  <w:rFonts w:ascii="標楷體" w:eastAsia="標楷體" w:hAnsi="標楷體"/>
                                  <w:b/>
                                  <w:color w:val="000000"/>
                                  <w:sz w:val="20"/>
                                </w:rPr>
                              </w:pPr>
                              <w:r w:rsidRPr="00346BDD">
                                <w:rPr>
                                  <w:rFonts w:ascii="標楷體" w:eastAsia="標楷體" w:hAnsi="標楷體"/>
                                  <w:b/>
                                  <w:color w:val="000000"/>
                                  <w:sz w:val="20"/>
                                </w:rPr>
                                <w:t>53</w:t>
                              </w:r>
                            </w:p>
                          </w:tc>
                          <w:tc>
                            <w:tcPr>
                              <w:tcW w:w="1405" w:type="dxa"/>
                              <w:tcBorders>
                                <w:top w:val="single" w:sz="4" w:space="0" w:color="auto"/>
                                <w:bottom w:val="single" w:sz="4" w:space="0" w:color="auto"/>
                                <w:right w:val="single" w:sz="4" w:space="0" w:color="auto"/>
                              </w:tcBorders>
                              <w:shd w:val="clear" w:color="auto" w:fill="FFFFFF"/>
                            </w:tcPr>
                            <w:p w14:paraId="2082DBE3" w14:textId="77777777" w:rsidR="00CE57F9" w:rsidRPr="00346BDD" w:rsidRDefault="00CE57F9" w:rsidP="000628B7">
                              <w:pPr>
                                <w:overflowPunct w:val="0"/>
                                <w:snapToGrid w:val="0"/>
                                <w:spacing w:line="240" w:lineRule="exact"/>
                                <w:jc w:val="right"/>
                                <w:rPr>
                                  <w:rFonts w:ascii="標楷體" w:eastAsia="標楷體" w:hAnsi="標楷體"/>
                                  <w:b/>
                                  <w:color w:val="000000"/>
                                  <w:sz w:val="20"/>
                                </w:rPr>
                              </w:pPr>
                              <w:r w:rsidRPr="00346BDD">
                                <w:rPr>
                                  <w:rFonts w:ascii="標楷體" w:eastAsia="標楷體" w:hAnsi="標楷體"/>
                                  <w:b/>
                                  <w:color w:val="000000"/>
                                  <w:sz w:val="20"/>
                                </w:rPr>
                                <w:t>125,541</w:t>
                              </w:r>
                            </w:p>
                          </w:tc>
                        </w:tr>
                        <w:tr w:rsidR="00CE57F9" w14:paraId="71E56C00" w14:textId="77777777" w:rsidTr="000628B7">
                          <w:trPr>
                            <w:jc w:val="center"/>
                          </w:trPr>
                          <w:tc>
                            <w:tcPr>
                              <w:tcW w:w="438" w:type="dxa"/>
                              <w:tcBorders>
                                <w:left w:val="single" w:sz="4" w:space="0" w:color="auto"/>
                              </w:tcBorders>
                              <w:shd w:val="clear" w:color="auto" w:fill="FFFFFF"/>
                              <w:vAlign w:val="center"/>
                            </w:tcPr>
                            <w:p w14:paraId="7286B44C"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1</w:t>
                              </w:r>
                            </w:p>
                          </w:tc>
                          <w:tc>
                            <w:tcPr>
                              <w:tcW w:w="1132" w:type="dxa"/>
                              <w:tcBorders>
                                <w:right w:val="single" w:sz="4" w:space="0" w:color="000000"/>
                              </w:tcBorders>
                              <w:shd w:val="clear" w:color="auto" w:fill="FFFFFF"/>
                              <w:vAlign w:val="center"/>
                            </w:tcPr>
                            <w:p w14:paraId="34BFB78E"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color w:val="000000"/>
                                  <w:sz w:val="20"/>
                                </w:rPr>
                                <w:t>教育部</w:t>
                              </w:r>
                            </w:p>
                          </w:tc>
                          <w:tc>
                            <w:tcPr>
                              <w:tcW w:w="464" w:type="dxa"/>
                              <w:tcBorders>
                                <w:left w:val="single" w:sz="4" w:space="0" w:color="000000"/>
                                <w:right w:val="single" w:sz="4" w:space="0" w:color="000000"/>
                              </w:tcBorders>
                              <w:shd w:val="clear" w:color="auto" w:fill="FFFFFF"/>
                              <w:vAlign w:val="center"/>
                            </w:tcPr>
                            <w:p w14:paraId="39F18473"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31</w:t>
                              </w:r>
                            </w:p>
                          </w:tc>
                          <w:tc>
                            <w:tcPr>
                              <w:tcW w:w="1331" w:type="dxa"/>
                              <w:tcBorders>
                                <w:left w:val="single" w:sz="4" w:space="0" w:color="000000"/>
                                <w:right w:val="single" w:sz="4" w:space="0" w:color="auto"/>
                              </w:tcBorders>
                              <w:shd w:val="clear" w:color="auto" w:fill="FFFFFF"/>
                              <w:vAlign w:val="center"/>
                            </w:tcPr>
                            <w:p w14:paraId="0172FCA8"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58</w:t>
                              </w:r>
                              <w:r w:rsidRPr="008445D4">
                                <w:rPr>
                                  <w:rFonts w:ascii="標楷體" w:eastAsia="標楷體" w:hAnsi="標楷體" w:hint="eastAsia"/>
                                  <w:color w:val="000000"/>
                                  <w:sz w:val="20"/>
                                </w:rPr>
                                <w:t>,</w:t>
                              </w:r>
                              <w:r w:rsidRPr="008445D4">
                                <w:rPr>
                                  <w:rFonts w:ascii="標楷體" w:eastAsia="標楷體" w:hAnsi="標楷體"/>
                                  <w:color w:val="000000"/>
                                  <w:sz w:val="20"/>
                                </w:rPr>
                                <w:t>769</w:t>
                              </w:r>
                            </w:p>
                          </w:tc>
                          <w:tc>
                            <w:tcPr>
                              <w:tcW w:w="1138" w:type="dxa"/>
                              <w:tcBorders>
                                <w:left w:val="single" w:sz="4" w:space="0" w:color="auto"/>
                              </w:tcBorders>
                              <w:shd w:val="clear" w:color="auto" w:fill="FFFFFF"/>
                              <w:vAlign w:val="center"/>
                            </w:tcPr>
                            <w:p w14:paraId="33537A72"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臺北市政府</w:t>
                              </w:r>
                            </w:p>
                          </w:tc>
                          <w:tc>
                            <w:tcPr>
                              <w:tcW w:w="429" w:type="dxa"/>
                              <w:shd w:val="clear" w:color="auto" w:fill="FFFFFF"/>
                              <w:vAlign w:val="center"/>
                            </w:tcPr>
                            <w:p w14:paraId="248D30D9"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8</w:t>
                              </w:r>
                            </w:p>
                          </w:tc>
                          <w:tc>
                            <w:tcPr>
                              <w:tcW w:w="1405" w:type="dxa"/>
                              <w:tcBorders>
                                <w:right w:val="single" w:sz="4" w:space="0" w:color="auto"/>
                              </w:tcBorders>
                              <w:shd w:val="clear" w:color="auto" w:fill="FFFFFF"/>
                              <w:vAlign w:val="center"/>
                            </w:tcPr>
                            <w:p w14:paraId="5797B41C"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14</w:t>
                              </w:r>
                              <w:r w:rsidRPr="008445D4">
                                <w:rPr>
                                  <w:rFonts w:ascii="標楷體" w:eastAsia="標楷體" w:hAnsi="標楷體" w:hint="eastAsia"/>
                                  <w:color w:val="000000"/>
                                  <w:sz w:val="20"/>
                                </w:rPr>
                                <w:t>,</w:t>
                              </w:r>
                              <w:r w:rsidRPr="008445D4">
                                <w:rPr>
                                  <w:rFonts w:ascii="標楷體" w:eastAsia="標楷體" w:hAnsi="標楷體"/>
                                  <w:color w:val="000000"/>
                                  <w:sz w:val="20"/>
                                </w:rPr>
                                <w:t>925</w:t>
                              </w:r>
                            </w:p>
                          </w:tc>
                        </w:tr>
                        <w:tr w:rsidR="00CE57F9" w14:paraId="6D1B621F" w14:textId="77777777" w:rsidTr="000628B7">
                          <w:trPr>
                            <w:jc w:val="center"/>
                          </w:trPr>
                          <w:tc>
                            <w:tcPr>
                              <w:tcW w:w="438" w:type="dxa"/>
                              <w:tcBorders>
                                <w:left w:val="single" w:sz="4" w:space="0" w:color="auto"/>
                              </w:tcBorders>
                              <w:shd w:val="clear" w:color="auto" w:fill="FFFFFF"/>
                              <w:vAlign w:val="center"/>
                            </w:tcPr>
                            <w:p w14:paraId="096D2BA6"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2</w:t>
                              </w:r>
                            </w:p>
                          </w:tc>
                          <w:tc>
                            <w:tcPr>
                              <w:tcW w:w="1132" w:type="dxa"/>
                              <w:shd w:val="clear" w:color="auto" w:fill="FFFFFF"/>
                              <w:vAlign w:val="center"/>
                            </w:tcPr>
                            <w:p w14:paraId="3C30254B"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國軍退除役官兵輔導委員會</w:t>
                              </w:r>
                            </w:p>
                          </w:tc>
                          <w:tc>
                            <w:tcPr>
                              <w:tcW w:w="464" w:type="dxa"/>
                              <w:tcBorders>
                                <w:right w:val="single" w:sz="4" w:space="0" w:color="000000"/>
                              </w:tcBorders>
                              <w:shd w:val="clear" w:color="auto" w:fill="FFFFFF"/>
                              <w:vAlign w:val="center"/>
                            </w:tcPr>
                            <w:p w14:paraId="1E138B9C"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14</w:t>
                              </w:r>
                            </w:p>
                          </w:tc>
                          <w:tc>
                            <w:tcPr>
                              <w:tcW w:w="1331" w:type="dxa"/>
                              <w:tcBorders>
                                <w:left w:val="single" w:sz="4" w:space="0" w:color="000000"/>
                                <w:right w:val="single" w:sz="4" w:space="0" w:color="auto"/>
                              </w:tcBorders>
                              <w:shd w:val="clear" w:color="auto" w:fill="FFFFFF"/>
                              <w:vAlign w:val="center"/>
                            </w:tcPr>
                            <w:p w14:paraId="6EDF9F95"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41</w:t>
                              </w:r>
                              <w:r w:rsidRPr="008445D4">
                                <w:rPr>
                                  <w:rFonts w:ascii="標楷體" w:eastAsia="標楷體" w:hAnsi="標楷體" w:hint="eastAsia"/>
                                  <w:color w:val="000000"/>
                                  <w:sz w:val="20"/>
                                </w:rPr>
                                <w:t>,</w:t>
                              </w:r>
                              <w:r w:rsidRPr="008445D4">
                                <w:rPr>
                                  <w:rFonts w:ascii="標楷體" w:eastAsia="標楷體" w:hAnsi="標楷體"/>
                                  <w:color w:val="000000"/>
                                  <w:sz w:val="20"/>
                                </w:rPr>
                                <w:t>234</w:t>
                              </w:r>
                            </w:p>
                          </w:tc>
                          <w:tc>
                            <w:tcPr>
                              <w:tcW w:w="1138" w:type="dxa"/>
                              <w:tcBorders>
                                <w:left w:val="single" w:sz="4" w:space="0" w:color="auto"/>
                              </w:tcBorders>
                              <w:shd w:val="clear" w:color="auto" w:fill="FFFFFF"/>
                              <w:vAlign w:val="center"/>
                            </w:tcPr>
                            <w:p w14:paraId="13FA1503"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新竹縣政府</w:t>
                              </w:r>
                            </w:p>
                          </w:tc>
                          <w:tc>
                            <w:tcPr>
                              <w:tcW w:w="429" w:type="dxa"/>
                              <w:shd w:val="clear" w:color="auto" w:fill="FFFFFF"/>
                              <w:vAlign w:val="center"/>
                            </w:tcPr>
                            <w:p w14:paraId="7C04CD8E"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8</w:t>
                              </w:r>
                            </w:p>
                          </w:tc>
                          <w:tc>
                            <w:tcPr>
                              <w:tcW w:w="1405" w:type="dxa"/>
                              <w:tcBorders>
                                <w:right w:val="single" w:sz="4" w:space="0" w:color="auto"/>
                              </w:tcBorders>
                              <w:shd w:val="clear" w:color="auto" w:fill="FFFFFF"/>
                              <w:vAlign w:val="center"/>
                            </w:tcPr>
                            <w:p w14:paraId="5F4ECD00"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13</w:t>
                              </w:r>
                              <w:r w:rsidRPr="008445D4">
                                <w:rPr>
                                  <w:rFonts w:ascii="標楷體" w:eastAsia="標楷體" w:hAnsi="標楷體" w:hint="eastAsia"/>
                                  <w:color w:val="000000"/>
                                  <w:sz w:val="20"/>
                                </w:rPr>
                                <w:t>,</w:t>
                              </w:r>
                              <w:r w:rsidRPr="008445D4">
                                <w:rPr>
                                  <w:rFonts w:ascii="標楷體" w:eastAsia="標楷體" w:hAnsi="標楷體"/>
                                  <w:color w:val="000000"/>
                                  <w:sz w:val="20"/>
                                </w:rPr>
                                <w:t>847</w:t>
                              </w:r>
                            </w:p>
                          </w:tc>
                        </w:tr>
                        <w:tr w:rsidR="00CE57F9" w14:paraId="500EE4B4" w14:textId="77777777" w:rsidTr="000628B7">
                          <w:trPr>
                            <w:jc w:val="center"/>
                          </w:trPr>
                          <w:tc>
                            <w:tcPr>
                              <w:tcW w:w="438" w:type="dxa"/>
                              <w:tcBorders>
                                <w:left w:val="single" w:sz="4" w:space="0" w:color="auto"/>
                                <w:bottom w:val="single" w:sz="4" w:space="0" w:color="auto"/>
                              </w:tcBorders>
                              <w:shd w:val="clear" w:color="auto" w:fill="FFFFFF"/>
                              <w:vAlign w:val="center"/>
                            </w:tcPr>
                            <w:p w14:paraId="4E903965"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3</w:t>
                              </w:r>
                            </w:p>
                          </w:tc>
                          <w:tc>
                            <w:tcPr>
                              <w:tcW w:w="1132" w:type="dxa"/>
                              <w:tcBorders>
                                <w:bottom w:val="single" w:sz="4" w:space="0" w:color="auto"/>
                              </w:tcBorders>
                              <w:shd w:val="clear" w:color="auto" w:fill="FFFFFF"/>
                              <w:vAlign w:val="center"/>
                            </w:tcPr>
                            <w:p w14:paraId="0DF6B488"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經濟部</w:t>
                              </w:r>
                            </w:p>
                          </w:tc>
                          <w:tc>
                            <w:tcPr>
                              <w:tcW w:w="464" w:type="dxa"/>
                              <w:tcBorders>
                                <w:bottom w:val="single" w:sz="4" w:space="0" w:color="auto"/>
                                <w:right w:val="single" w:sz="4" w:space="0" w:color="000000"/>
                              </w:tcBorders>
                              <w:shd w:val="clear" w:color="auto" w:fill="FFFFFF"/>
                              <w:vAlign w:val="center"/>
                            </w:tcPr>
                            <w:p w14:paraId="4C787AE8"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13</w:t>
                              </w:r>
                            </w:p>
                          </w:tc>
                          <w:tc>
                            <w:tcPr>
                              <w:tcW w:w="1331" w:type="dxa"/>
                              <w:tcBorders>
                                <w:left w:val="single" w:sz="4" w:space="0" w:color="000000"/>
                                <w:bottom w:val="single" w:sz="4" w:space="0" w:color="auto"/>
                                <w:right w:val="single" w:sz="4" w:space="0" w:color="auto"/>
                              </w:tcBorders>
                              <w:shd w:val="clear" w:color="auto" w:fill="FFFFFF"/>
                              <w:vAlign w:val="center"/>
                            </w:tcPr>
                            <w:p w14:paraId="450FE448"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37,610</w:t>
                              </w:r>
                            </w:p>
                          </w:tc>
                          <w:tc>
                            <w:tcPr>
                              <w:tcW w:w="1138" w:type="dxa"/>
                              <w:tcBorders>
                                <w:left w:val="single" w:sz="4" w:space="0" w:color="auto"/>
                              </w:tcBorders>
                              <w:shd w:val="clear" w:color="auto" w:fill="FFFFFF"/>
                              <w:vAlign w:val="center"/>
                            </w:tcPr>
                            <w:p w14:paraId="0DB57B5F"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彰化縣政府</w:t>
                              </w:r>
                            </w:p>
                          </w:tc>
                          <w:tc>
                            <w:tcPr>
                              <w:tcW w:w="429" w:type="dxa"/>
                              <w:shd w:val="clear" w:color="auto" w:fill="FFFFFF"/>
                              <w:vAlign w:val="center"/>
                            </w:tcPr>
                            <w:p w14:paraId="064A9D7E"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7</w:t>
                              </w:r>
                            </w:p>
                          </w:tc>
                          <w:tc>
                            <w:tcPr>
                              <w:tcW w:w="1405" w:type="dxa"/>
                              <w:tcBorders>
                                <w:right w:val="single" w:sz="4" w:space="0" w:color="auto"/>
                              </w:tcBorders>
                              <w:shd w:val="clear" w:color="auto" w:fill="FFFFFF"/>
                              <w:vAlign w:val="center"/>
                            </w:tcPr>
                            <w:p w14:paraId="7788A42A"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10</w:t>
                              </w:r>
                              <w:r w:rsidRPr="008445D4">
                                <w:rPr>
                                  <w:rFonts w:ascii="標楷體" w:eastAsia="標楷體" w:hAnsi="標楷體" w:hint="eastAsia"/>
                                  <w:color w:val="000000"/>
                                  <w:sz w:val="20"/>
                                </w:rPr>
                                <w:t>,</w:t>
                              </w:r>
                              <w:r w:rsidRPr="008445D4">
                                <w:rPr>
                                  <w:rFonts w:ascii="標楷體" w:eastAsia="標楷體" w:hAnsi="標楷體"/>
                                  <w:color w:val="000000"/>
                                  <w:sz w:val="20"/>
                                </w:rPr>
                                <w:t>359</w:t>
                              </w:r>
                            </w:p>
                          </w:tc>
                        </w:tr>
                        <w:tr w:rsidR="00CE57F9" w14:paraId="426D6068" w14:textId="77777777" w:rsidTr="000628B7">
                          <w:trPr>
                            <w:jc w:val="center"/>
                          </w:trPr>
                          <w:tc>
                            <w:tcPr>
                              <w:tcW w:w="438" w:type="dxa"/>
                              <w:tcBorders>
                                <w:left w:val="single" w:sz="4" w:space="0" w:color="auto"/>
                              </w:tcBorders>
                              <w:shd w:val="clear" w:color="auto" w:fill="FFFFFF"/>
                              <w:vAlign w:val="center"/>
                            </w:tcPr>
                            <w:p w14:paraId="6668BA8F"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4</w:t>
                              </w:r>
                            </w:p>
                          </w:tc>
                          <w:tc>
                            <w:tcPr>
                              <w:tcW w:w="1132" w:type="dxa"/>
                              <w:shd w:val="clear" w:color="auto" w:fill="FFFFFF"/>
                              <w:vAlign w:val="center"/>
                            </w:tcPr>
                            <w:p w14:paraId="5AC9F2BD"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財政部</w:t>
                              </w:r>
                            </w:p>
                          </w:tc>
                          <w:tc>
                            <w:tcPr>
                              <w:tcW w:w="464" w:type="dxa"/>
                              <w:tcBorders>
                                <w:right w:val="single" w:sz="4" w:space="0" w:color="000000"/>
                              </w:tcBorders>
                              <w:shd w:val="clear" w:color="auto" w:fill="FFFFFF"/>
                              <w:vAlign w:val="center"/>
                            </w:tcPr>
                            <w:p w14:paraId="107220FE"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6</w:t>
                              </w:r>
                            </w:p>
                          </w:tc>
                          <w:tc>
                            <w:tcPr>
                              <w:tcW w:w="1331" w:type="dxa"/>
                              <w:tcBorders>
                                <w:left w:val="single" w:sz="4" w:space="0" w:color="000000"/>
                                <w:right w:val="single" w:sz="4" w:space="0" w:color="auto"/>
                              </w:tcBorders>
                              <w:shd w:val="clear" w:color="auto" w:fill="FFFFFF"/>
                              <w:vAlign w:val="center"/>
                            </w:tcPr>
                            <w:p w14:paraId="05686C12"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36</w:t>
                              </w:r>
                              <w:r w:rsidRPr="008445D4">
                                <w:rPr>
                                  <w:rFonts w:ascii="標楷體" w:eastAsia="標楷體" w:hAnsi="標楷體" w:hint="eastAsia"/>
                                  <w:color w:val="000000"/>
                                  <w:sz w:val="20"/>
                                </w:rPr>
                                <w:t>,</w:t>
                              </w:r>
                              <w:r w:rsidRPr="008445D4">
                                <w:rPr>
                                  <w:rFonts w:ascii="標楷體" w:eastAsia="標楷體" w:hAnsi="標楷體"/>
                                  <w:color w:val="000000"/>
                                  <w:sz w:val="20"/>
                                </w:rPr>
                                <w:t>336</w:t>
                              </w:r>
                            </w:p>
                          </w:tc>
                          <w:tc>
                            <w:tcPr>
                              <w:tcW w:w="1138" w:type="dxa"/>
                              <w:tcBorders>
                                <w:left w:val="single" w:sz="4" w:space="0" w:color="auto"/>
                                <w:bottom w:val="single" w:sz="4" w:space="0" w:color="auto"/>
                              </w:tcBorders>
                              <w:shd w:val="clear" w:color="auto" w:fill="FFFFFF"/>
                              <w:vAlign w:val="center"/>
                            </w:tcPr>
                            <w:p w14:paraId="1206A012"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新北市政府</w:t>
                              </w:r>
                            </w:p>
                          </w:tc>
                          <w:tc>
                            <w:tcPr>
                              <w:tcW w:w="429" w:type="dxa"/>
                              <w:tcBorders>
                                <w:bottom w:val="single" w:sz="4" w:space="0" w:color="auto"/>
                              </w:tcBorders>
                              <w:shd w:val="clear" w:color="auto" w:fill="FFFFFF"/>
                              <w:vAlign w:val="center"/>
                            </w:tcPr>
                            <w:p w14:paraId="2337887D"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6</w:t>
                              </w:r>
                            </w:p>
                          </w:tc>
                          <w:tc>
                            <w:tcPr>
                              <w:tcW w:w="1405" w:type="dxa"/>
                              <w:tcBorders>
                                <w:bottom w:val="single" w:sz="4" w:space="0" w:color="auto"/>
                                <w:right w:val="single" w:sz="4" w:space="0" w:color="auto"/>
                              </w:tcBorders>
                              <w:shd w:val="clear" w:color="auto" w:fill="FFFFFF"/>
                              <w:vAlign w:val="center"/>
                            </w:tcPr>
                            <w:p w14:paraId="247BF4DC"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28</w:t>
                              </w:r>
                              <w:r w:rsidRPr="008445D4">
                                <w:rPr>
                                  <w:rFonts w:ascii="標楷體" w:eastAsia="標楷體" w:hAnsi="標楷體" w:hint="eastAsia"/>
                                  <w:color w:val="000000"/>
                                  <w:sz w:val="20"/>
                                </w:rPr>
                                <w:t>,</w:t>
                              </w:r>
                              <w:r w:rsidRPr="008445D4">
                                <w:rPr>
                                  <w:rFonts w:ascii="標楷體" w:eastAsia="標楷體" w:hAnsi="標楷體"/>
                                  <w:color w:val="000000"/>
                                  <w:sz w:val="20"/>
                                </w:rPr>
                                <w:t>927</w:t>
                              </w:r>
                            </w:p>
                          </w:tc>
                        </w:tr>
                        <w:tr w:rsidR="00CE57F9" w14:paraId="7E9D87AD" w14:textId="77777777" w:rsidTr="000628B7">
                          <w:trPr>
                            <w:jc w:val="center"/>
                          </w:trPr>
                          <w:tc>
                            <w:tcPr>
                              <w:tcW w:w="438" w:type="dxa"/>
                              <w:tcBorders>
                                <w:left w:val="single" w:sz="4" w:space="0" w:color="auto"/>
                              </w:tcBorders>
                              <w:shd w:val="clear" w:color="auto" w:fill="FFFFFF"/>
                              <w:vAlign w:val="center"/>
                            </w:tcPr>
                            <w:p w14:paraId="7918505E"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5</w:t>
                              </w:r>
                            </w:p>
                          </w:tc>
                          <w:tc>
                            <w:tcPr>
                              <w:tcW w:w="1132" w:type="dxa"/>
                              <w:shd w:val="clear" w:color="auto" w:fill="FFFFFF"/>
                              <w:vAlign w:val="center"/>
                            </w:tcPr>
                            <w:p w14:paraId="34D01724"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國防部</w:t>
                              </w:r>
                            </w:p>
                          </w:tc>
                          <w:tc>
                            <w:tcPr>
                              <w:tcW w:w="464" w:type="dxa"/>
                              <w:tcBorders>
                                <w:right w:val="single" w:sz="4" w:space="0" w:color="000000"/>
                              </w:tcBorders>
                              <w:shd w:val="clear" w:color="auto" w:fill="FFFFFF"/>
                              <w:vAlign w:val="center"/>
                            </w:tcPr>
                            <w:p w14:paraId="2E14969F"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5</w:t>
                              </w:r>
                            </w:p>
                          </w:tc>
                          <w:tc>
                            <w:tcPr>
                              <w:tcW w:w="1331" w:type="dxa"/>
                              <w:tcBorders>
                                <w:left w:val="single" w:sz="4" w:space="0" w:color="000000"/>
                                <w:right w:val="single" w:sz="4" w:space="0" w:color="auto"/>
                              </w:tcBorders>
                              <w:shd w:val="clear" w:color="auto" w:fill="FFFFFF"/>
                              <w:vAlign w:val="center"/>
                            </w:tcPr>
                            <w:p w14:paraId="66E323BB"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12</w:t>
                              </w:r>
                              <w:r w:rsidRPr="008445D4">
                                <w:rPr>
                                  <w:rFonts w:ascii="標楷體" w:eastAsia="標楷體" w:hAnsi="標楷體" w:hint="eastAsia"/>
                                  <w:color w:val="000000"/>
                                  <w:sz w:val="20"/>
                                </w:rPr>
                                <w:t>,</w:t>
                              </w:r>
                              <w:r w:rsidRPr="008445D4">
                                <w:rPr>
                                  <w:rFonts w:ascii="標楷體" w:eastAsia="標楷體" w:hAnsi="標楷體"/>
                                  <w:color w:val="000000"/>
                                  <w:sz w:val="20"/>
                                </w:rPr>
                                <w:t>015</w:t>
                              </w:r>
                            </w:p>
                          </w:tc>
                          <w:tc>
                            <w:tcPr>
                              <w:tcW w:w="1138" w:type="dxa"/>
                              <w:tcBorders>
                                <w:left w:val="single" w:sz="4" w:space="0" w:color="auto"/>
                              </w:tcBorders>
                              <w:shd w:val="clear" w:color="auto" w:fill="FFFFFF"/>
                              <w:vAlign w:val="center"/>
                            </w:tcPr>
                            <w:p w14:paraId="32DEB233"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桃園市政府</w:t>
                              </w:r>
                            </w:p>
                          </w:tc>
                          <w:tc>
                            <w:tcPr>
                              <w:tcW w:w="429" w:type="dxa"/>
                              <w:shd w:val="clear" w:color="auto" w:fill="FFFFFF"/>
                              <w:vAlign w:val="center"/>
                            </w:tcPr>
                            <w:p w14:paraId="24670C45"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6</w:t>
                              </w:r>
                            </w:p>
                          </w:tc>
                          <w:tc>
                            <w:tcPr>
                              <w:tcW w:w="1405" w:type="dxa"/>
                              <w:tcBorders>
                                <w:right w:val="single" w:sz="4" w:space="0" w:color="auto"/>
                              </w:tcBorders>
                              <w:shd w:val="clear" w:color="auto" w:fill="FFFFFF"/>
                              <w:vAlign w:val="center"/>
                            </w:tcPr>
                            <w:p w14:paraId="204E8052"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22</w:t>
                              </w:r>
                              <w:r w:rsidRPr="008445D4">
                                <w:rPr>
                                  <w:rFonts w:ascii="標楷體" w:eastAsia="標楷體" w:hAnsi="標楷體" w:hint="eastAsia"/>
                                  <w:color w:val="000000"/>
                                  <w:sz w:val="20"/>
                                </w:rPr>
                                <w:t>,</w:t>
                              </w:r>
                              <w:r w:rsidRPr="008445D4">
                                <w:rPr>
                                  <w:rFonts w:ascii="標楷體" w:eastAsia="標楷體" w:hAnsi="標楷體"/>
                                  <w:color w:val="000000"/>
                                  <w:sz w:val="20"/>
                                </w:rPr>
                                <w:t>580</w:t>
                              </w:r>
                            </w:p>
                          </w:tc>
                        </w:tr>
                        <w:tr w:rsidR="00CE57F9" w14:paraId="3757B526" w14:textId="77777777" w:rsidTr="000628B7">
                          <w:trPr>
                            <w:jc w:val="center"/>
                          </w:trPr>
                          <w:tc>
                            <w:tcPr>
                              <w:tcW w:w="438" w:type="dxa"/>
                              <w:tcBorders>
                                <w:left w:val="single" w:sz="4" w:space="0" w:color="auto"/>
                              </w:tcBorders>
                              <w:shd w:val="clear" w:color="auto" w:fill="FFFFFF"/>
                              <w:vAlign w:val="center"/>
                            </w:tcPr>
                            <w:p w14:paraId="7C6AF965"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6</w:t>
                              </w:r>
                            </w:p>
                          </w:tc>
                          <w:tc>
                            <w:tcPr>
                              <w:tcW w:w="1132" w:type="dxa"/>
                              <w:shd w:val="clear" w:color="auto" w:fill="FFFFFF"/>
                              <w:vAlign w:val="center"/>
                            </w:tcPr>
                            <w:p w14:paraId="2EEE9A25"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文化部</w:t>
                              </w:r>
                            </w:p>
                          </w:tc>
                          <w:tc>
                            <w:tcPr>
                              <w:tcW w:w="464" w:type="dxa"/>
                              <w:tcBorders>
                                <w:right w:val="single" w:sz="4" w:space="0" w:color="000000"/>
                              </w:tcBorders>
                              <w:shd w:val="clear" w:color="auto" w:fill="FFFFFF"/>
                              <w:vAlign w:val="center"/>
                            </w:tcPr>
                            <w:p w14:paraId="129C3A10"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3</w:t>
                              </w:r>
                            </w:p>
                          </w:tc>
                          <w:tc>
                            <w:tcPr>
                              <w:tcW w:w="1331" w:type="dxa"/>
                              <w:tcBorders>
                                <w:left w:val="single" w:sz="4" w:space="0" w:color="000000"/>
                                <w:right w:val="single" w:sz="4" w:space="0" w:color="auto"/>
                              </w:tcBorders>
                              <w:shd w:val="clear" w:color="auto" w:fill="FFFFFF"/>
                              <w:vAlign w:val="center"/>
                            </w:tcPr>
                            <w:p w14:paraId="0E6C2945"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9</w:t>
                              </w:r>
                              <w:r w:rsidRPr="008445D4">
                                <w:rPr>
                                  <w:rFonts w:ascii="標楷體" w:eastAsia="標楷體" w:hAnsi="標楷體" w:hint="eastAsia"/>
                                  <w:color w:val="000000"/>
                                  <w:sz w:val="20"/>
                                </w:rPr>
                                <w:t>,</w:t>
                              </w:r>
                              <w:r w:rsidRPr="008445D4">
                                <w:rPr>
                                  <w:rFonts w:ascii="標楷體" w:eastAsia="標楷體" w:hAnsi="標楷體"/>
                                  <w:color w:val="000000"/>
                                  <w:sz w:val="20"/>
                                </w:rPr>
                                <w:t>400</w:t>
                              </w:r>
                            </w:p>
                          </w:tc>
                          <w:tc>
                            <w:tcPr>
                              <w:tcW w:w="1138" w:type="dxa"/>
                              <w:tcBorders>
                                <w:left w:val="single" w:sz="4" w:space="0" w:color="auto"/>
                              </w:tcBorders>
                              <w:shd w:val="clear" w:color="auto" w:fill="FFFFFF"/>
                              <w:vAlign w:val="center"/>
                            </w:tcPr>
                            <w:p w14:paraId="6677EB0B"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宜蘭縣政府</w:t>
                              </w:r>
                            </w:p>
                          </w:tc>
                          <w:tc>
                            <w:tcPr>
                              <w:tcW w:w="429" w:type="dxa"/>
                              <w:shd w:val="clear" w:color="auto" w:fill="FFFFFF"/>
                              <w:vAlign w:val="center"/>
                            </w:tcPr>
                            <w:p w14:paraId="218100EE"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6</w:t>
                              </w:r>
                            </w:p>
                          </w:tc>
                          <w:tc>
                            <w:tcPr>
                              <w:tcW w:w="1405" w:type="dxa"/>
                              <w:tcBorders>
                                <w:right w:val="single" w:sz="4" w:space="0" w:color="auto"/>
                              </w:tcBorders>
                              <w:shd w:val="clear" w:color="auto" w:fill="FFFFFF"/>
                              <w:vAlign w:val="center"/>
                            </w:tcPr>
                            <w:p w14:paraId="6D0D6E91"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14</w:t>
                              </w:r>
                              <w:r w:rsidRPr="008445D4">
                                <w:rPr>
                                  <w:rFonts w:ascii="標楷體" w:eastAsia="標楷體" w:hAnsi="標楷體" w:hint="eastAsia"/>
                                  <w:color w:val="000000"/>
                                  <w:sz w:val="20"/>
                                </w:rPr>
                                <w:t>,</w:t>
                              </w:r>
                              <w:r w:rsidRPr="008445D4">
                                <w:rPr>
                                  <w:rFonts w:ascii="標楷體" w:eastAsia="標楷體" w:hAnsi="標楷體"/>
                                  <w:color w:val="000000"/>
                                  <w:sz w:val="20"/>
                                </w:rPr>
                                <w:t>355</w:t>
                              </w:r>
                            </w:p>
                          </w:tc>
                        </w:tr>
                        <w:tr w:rsidR="00CE57F9" w14:paraId="6D442BF9" w14:textId="77777777" w:rsidTr="000628B7">
                          <w:trPr>
                            <w:jc w:val="center"/>
                          </w:trPr>
                          <w:tc>
                            <w:tcPr>
                              <w:tcW w:w="438" w:type="dxa"/>
                              <w:tcBorders>
                                <w:left w:val="single" w:sz="4" w:space="0" w:color="auto"/>
                              </w:tcBorders>
                              <w:shd w:val="clear" w:color="auto" w:fill="auto"/>
                              <w:vAlign w:val="center"/>
                            </w:tcPr>
                            <w:p w14:paraId="3ACD520A"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7</w:t>
                              </w:r>
                            </w:p>
                          </w:tc>
                          <w:tc>
                            <w:tcPr>
                              <w:tcW w:w="1132" w:type="dxa"/>
                              <w:shd w:val="clear" w:color="auto" w:fill="auto"/>
                              <w:vAlign w:val="center"/>
                            </w:tcPr>
                            <w:p w14:paraId="71D11E4D"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司法院</w:t>
                              </w:r>
                            </w:p>
                          </w:tc>
                          <w:tc>
                            <w:tcPr>
                              <w:tcW w:w="464" w:type="dxa"/>
                              <w:tcBorders>
                                <w:right w:val="single" w:sz="4" w:space="0" w:color="000000"/>
                              </w:tcBorders>
                              <w:shd w:val="clear" w:color="auto" w:fill="auto"/>
                              <w:vAlign w:val="center"/>
                            </w:tcPr>
                            <w:p w14:paraId="7E84538D"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2</w:t>
                              </w:r>
                            </w:p>
                          </w:tc>
                          <w:tc>
                            <w:tcPr>
                              <w:tcW w:w="1331" w:type="dxa"/>
                              <w:tcBorders>
                                <w:left w:val="single" w:sz="4" w:space="0" w:color="000000"/>
                                <w:right w:val="single" w:sz="4" w:space="0" w:color="auto"/>
                              </w:tcBorders>
                              <w:shd w:val="clear" w:color="auto" w:fill="auto"/>
                              <w:vAlign w:val="center"/>
                            </w:tcPr>
                            <w:p w14:paraId="3586317F"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3</w:t>
                              </w:r>
                              <w:r w:rsidRPr="008445D4">
                                <w:rPr>
                                  <w:rFonts w:ascii="標楷體" w:eastAsia="標楷體" w:hAnsi="標楷體" w:hint="eastAsia"/>
                                  <w:color w:val="000000"/>
                                  <w:sz w:val="20"/>
                                </w:rPr>
                                <w:t>,</w:t>
                              </w:r>
                              <w:r w:rsidRPr="008445D4">
                                <w:rPr>
                                  <w:rFonts w:ascii="標楷體" w:eastAsia="標楷體" w:hAnsi="標楷體"/>
                                  <w:color w:val="000000"/>
                                  <w:sz w:val="20"/>
                                </w:rPr>
                                <w:t>428</w:t>
                              </w:r>
                            </w:p>
                          </w:tc>
                          <w:tc>
                            <w:tcPr>
                              <w:tcW w:w="1138" w:type="dxa"/>
                              <w:tcBorders>
                                <w:left w:val="single" w:sz="4" w:space="0" w:color="auto"/>
                              </w:tcBorders>
                              <w:shd w:val="clear" w:color="auto" w:fill="auto"/>
                              <w:vAlign w:val="center"/>
                            </w:tcPr>
                            <w:p w14:paraId="7825B6EA"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高雄市政府</w:t>
                              </w:r>
                            </w:p>
                          </w:tc>
                          <w:tc>
                            <w:tcPr>
                              <w:tcW w:w="429" w:type="dxa"/>
                              <w:shd w:val="clear" w:color="auto" w:fill="auto"/>
                              <w:vAlign w:val="center"/>
                            </w:tcPr>
                            <w:p w14:paraId="59E730C8"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2</w:t>
                              </w:r>
                            </w:p>
                          </w:tc>
                          <w:tc>
                            <w:tcPr>
                              <w:tcW w:w="1405" w:type="dxa"/>
                              <w:tcBorders>
                                <w:right w:val="single" w:sz="4" w:space="0" w:color="auto"/>
                              </w:tcBorders>
                              <w:shd w:val="clear" w:color="auto" w:fill="auto"/>
                              <w:vAlign w:val="center"/>
                            </w:tcPr>
                            <w:p w14:paraId="15475993"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3</w:t>
                              </w:r>
                              <w:r w:rsidRPr="008445D4">
                                <w:rPr>
                                  <w:rFonts w:ascii="標楷體" w:eastAsia="標楷體" w:hAnsi="標楷體" w:hint="eastAsia"/>
                                  <w:color w:val="000000"/>
                                  <w:sz w:val="20"/>
                                </w:rPr>
                                <w:t>,</w:t>
                              </w:r>
                              <w:r w:rsidRPr="008445D4">
                                <w:rPr>
                                  <w:rFonts w:ascii="標楷體" w:eastAsia="標楷體" w:hAnsi="標楷體"/>
                                  <w:color w:val="000000"/>
                                  <w:sz w:val="20"/>
                                </w:rPr>
                                <w:t>144</w:t>
                              </w:r>
                            </w:p>
                          </w:tc>
                        </w:tr>
                        <w:tr w:rsidR="00CE57F9" w14:paraId="4B0CF9EA" w14:textId="77777777" w:rsidTr="000628B7">
                          <w:trPr>
                            <w:jc w:val="center"/>
                          </w:trPr>
                          <w:tc>
                            <w:tcPr>
                              <w:tcW w:w="438" w:type="dxa"/>
                              <w:tcBorders>
                                <w:left w:val="single" w:sz="4" w:space="0" w:color="auto"/>
                              </w:tcBorders>
                              <w:shd w:val="clear" w:color="auto" w:fill="auto"/>
                              <w:vAlign w:val="center"/>
                            </w:tcPr>
                            <w:p w14:paraId="6B57EBE9"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8</w:t>
                              </w:r>
                            </w:p>
                          </w:tc>
                          <w:tc>
                            <w:tcPr>
                              <w:tcW w:w="1132" w:type="dxa"/>
                              <w:shd w:val="clear" w:color="auto" w:fill="auto"/>
                              <w:vAlign w:val="center"/>
                            </w:tcPr>
                            <w:p w14:paraId="27023E9C"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交通部</w:t>
                              </w:r>
                            </w:p>
                          </w:tc>
                          <w:tc>
                            <w:tcPr>
                              <w:tcW w:w="464" w:type="dxa"/>
                              <w:tcBorders>
                                <w:right w:val="single" w:sz="4" w:space="0" w:color="000000"/>
                              </w:tcBorders>
                              <w:shd w:val="clear" w:color="auto" w:fill="auto"/>
                              <w:vAlign w:val="center"/>
                            </w:tcPr>
                            <w:p w14:paraId="1C28AEFB"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2</w:t>
                              </w:r>
                            </w:p>
                          </w:tc>
                          <w:tc>
                            <w:tcPr>
                              <w:tcW w:w="1331" w:type="dxa"/>
                              <w:tcBorders>
                                <w:left w:val="single" w:sz="4" w:space="0" w:color="000000"/>
                                <w:right w:val="single" w:sz="4" w:space="0" w:color="auto"/>
                              </w:tcBorders>
                              <w:shd w:val="clear" w:color="auto" w:fill="auto"/>
                              <w:vAlign w:val="center"/>
                            </w:tcPr>
                            <w:p w14:paraId="5FCD9186"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431</w:t>
                              </w:r>
                              <w:r w:rsidRPr="008445D4">
                                <w:rPr>
                                  <w:rFonts w:ascii="標楷體" w:eastAsia="標楷體" w:hAnsi="標楷體" w:hint="eastAsia"/>
                                  <w:color w:val="000000"/>
                                  <w:sz w:val="20"/>
                                </w:rPr>
                                <w:t>,</w:t>
                              </w:r>
                              <w:r w:rsidRPr="008445D4">
                                <w:rPr>
                                  <w:rFonts w:ascii="標楷體" w:eastAsia="標楷體" w:hAnsi="標楷體"/>
                                  <w:color w:val="000000"/>
                                  <w:sz w:val="20"/>
                                </w:rPr>
                                <w:t>670</w:t>
                              </w:r>
                            </w:p>
                          </w:tc>
                          <w:tc>
                            <w:tcPr>
                              <w:tcW w:w="1138" w:type="dxa"/>
                              <w:tcBorders>
                                <w:left w:val="single" w:sz="4" w:space="0" w:color="auto"/>
                              </w:tcBorders>
                              <w:shd w:val="clear" w:color="auto" w:fill="auto"/>
                              <w:vAlign w:val="center"/>
                            </w:tcPr>
                            <w:p w14:paraId="6C54A050"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嘉義縣政府</w:t>
                              </w:r>
                            </w:p>
                          </w:tc>
                          <w:tc>
                            <w:tcPr>
                              <w:tcW w:w="429" w:type="dxa"/>
                              <w:shd w:val="clear" w:color="auto" w:fill="auto"/>
                              <w:vAlign w:val="center"/>
                            </w:tcPr>
                            <w:p w14:paraId="059706B7"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2</w:t>
                              </w:r>
                            </w:p>
                          </w:tc>
                          <w:tc>
                            <w:tcPr>
                              <w:tcW w:w="1405" w:type="dxa"/>
                              <w:tcBorders>
                                <w:right w:val="single" w:sz="4" w:space="0" w:color="auto"/>
                              </w:tcBorders>
                              <w:shd w:val="clear" w:color="auto" w:fill="auto"/>
                              <w:vAlign w:val="center"/>
                            </w:tcPr>
                            <w:p w14:paraId="0DE95275"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2</w:t>
                              </w:r>
                              <w:r w:rsidRPr="008445D4">
                                <w:rPr>
                                  <w:rFonts w:ascii="標楷體" w:eastAsia="標楷體" w:hAnsi="標楷體" w:hint="eastAsia"/>
                                  <w:color w:val="000000"/>
                                  <w:sz w:val="20"/>
                                </w:rPr>
                                <w:t>,</w:t>
                              </w:r>
                              <w:r w:rsidRPr="008445D4">
                                <w:rPr>
                                  <w:rFonts w:ascii="標楷體" w:eastAsia="標楷體" w:hAnsi="標楷體"/>
                                  <w:color w:val="000000"/>
                                  <w:sz w:val="20"/>
                                </w:rPr>
                                <w:t>281</w:t>
                              </w:r>
                            </w:p>
                          </w:tc>
                        </w:tr>
                        <w:tr w:rsidR="00CE57F9" w14:paraId="451DC9D4" w14:textId="77777777" w:rsidTr="000628B7">
                          <w:trPr>
                            <w:jc w:val="center"/>
                          </w:trPr>
                          <w:tc>
                            <w:tcPr>
                              <w:tcW w:w="438" w:type="dxa"/>
                              <w:tcBorders>
                                <w:left w:val="single" w:sz="4" w:space="0" w:color="auto"/>
                              </w:tcBorders>
                              <w:shd w:val="clear" w:color="auto" w:fill="auto"/>
                              <w:vAlign w:val="center"/>
                            </w:tcPr>
                            <w:p w14:paraId="4BDC74AD"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9</w:t>
                              </w:r>
                            </w:p>
                          </w:tc>
                          <w:tc>
                            <w:tcPr>
                              <w:tcW w:w="1132" w:type="dxa"/>
                              <w:shd w:val="clear" w:color="auto" w:fill="auto"/>
                              <w:vAlign w:val="center"/>
                            </w:tcPr>
                            <w:p w14:paraId="6374F58D"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農業委員會</w:t>
                              </w:r>
                            </w:p>
                          </w:tc>
                          <w:tc>
                            <w:tcPr>
                              <w:tcW w:w="464" w:type="dxa"/>
                              <w:tcBorders>
                                <w:right w:val="single" w:sz="4" w:space="0" w:color="000000"/>
                              </w:tcBorders>
                              <w:shd w:val="clear" w:color="auto" w:fill="auto"/>
                              <w:vAlign w:val="center"/>
                            </w:tcPr>
                            <w:p w14:paraId="18FD00DC"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2</w:t>
                              </w:r>
                            </w:p>
                          </w:tc>
                          <w:tc>
                            <w:tcPr>
                              <w:tcW w:w="1331" w:type="dxa"/>
                              <w:tcBorders>
                                <w:left w:val="single" w:sz="4" w:space="0" w:color="000000"/>
                                <w:right w:val="single" w:sz="4" w:space="0" w:color="auto"/>
                              </w:tcBorders>
                              <w:shd w:val="clear" w:color="auto" w:fill="auto"/>
                              <w:vAlign w:val="center"/>
                            </w:tcPr>
                            <w:p w14:paraId="3D16BB35"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10</w:t>
                              </w:r>
                              <w:r w:rsidRPr="008445D4">
                                <w:rPr>
                                  <w:rFonts w:ascii="標楷體" w:eastAsia="標楷體" w:hAnsi="標楷體" w:hint="eastAsia"/>
                                  <w:color w:val="000000"/>
                                  <w:sz w:val="20"/>
                                </w:rPr>
                                <w:t>,</w:t>
                              </w:r>
                              <w:r w:rsidRPr="008445D4">
                                <w:rPr>
                                  <w:rFonts w:ascii="標楷體" w:eastAsia="標楷體" w:hAnsi="標楷體"/>
                                  <w:color w:val="000000"/>
                                  <w:sz w:val="20"/>
                                </w:rPr>
                                <w:t>347</w:t>
                              </w:r>
                            </w:p>
                          </w:tc>
                          <w:tc>
                            <w:tcPr>
                              <w:tcW w:w="1138" w:type="dxa"/>
                              <w:tcBorders>
                                <w:left w:val="single" w:sz="4" w:space="0" w:color="auto"/>
                              </w:tcBorders>
                              <w:shd w:val="clear" w:color="auto" w:fill="auto"/>
                              <w:vAlign w:val="center"/>
                            </w:tcPr>
                            <w:p w14:paraId="2C18BE71"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嘉義市政府</w:t>
                              </w:r>
                            </w:p>
                          </w:tc>
                          <w:tc>
                            <w:tcPr>
                              <w:tcW w:w="429" w:type="dxa"/>
                              <w:shd w:val="clear" w:color="auto" w:fill="auto"/>
                              <w:vAlign w:val="center"/>
                            </w:tcPr>
                            <w:p w14:paraId="4C4EB4E4"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2</w:t>
                              </w:r>
                            </w:p>
                          </w:tc>
                          <w:tc>
                            <w:tcPr>
                              <w:tcW w:w="1405" w:type="dxa"/>
                              <w:tcBorders>
                                <w:right w:val="single" w:sz="4" w:space="0" w:color="auto"/>
                              </w:tcBorders>
                              <w:shd w:val="clear" w:color="auto" w:fill="auto"/>
                              <w:vAlign w:val="center"/>
                            </w:tcPr>
                            <w:p w14:paraId="027E5F61"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3</w:t>
                              </w:r>
                              <w:r w:rsidRPr="008445D4">
                                <w:rPr>
                                  <w:rFonts w:ascii="標楷體" w:eastAsia="標楷體" w:hAnsi="標楷體" w:hint="eastAsia"/>
                                  <w:color w:val="000000"/>
                                  <w:sz w:val="20"/>
                                </w:rPr>
                                <w:t>,</w:t>
                              </w:r>
                              <w:r w:rsidRPr="008445D4">
                                <w:rPr>
                                  <w:rFonts w:ascii="標楷體" w:eastAsia="標楷體" w:hAnsi="標楷體"/>
                                  <w:color w:val="000000"/>
                                  <w:sz w:val="20"/>
                                </w:rPr>
                                <w:t>029</w:t>
                              </w:r>
                            </w:p>
                          </w:tc>
                        </w:tr>
                        <w:tr w:rsidR="00CE57F9" w14:paraId="42015CA4" w14:textId="77777777" w:rsidTr="000628B7">
                          <w:trPr>
                            <w:jc w:val="center"/>
                          </w:trPr>
                          <w:tc>
                            <w:tcPr>
                              <w:tcW w:w="438" w:type="dxa"/>
                              <w:tcBorders>
                                <w:left w:val="single" w:sz="4" w:space="0" w:color="auto"/>
                              </w:tcBorders>
                              <w:shd w:val="clear" w:color="auto" w:fill="auto"/>
                              <w:vAlign w:val="center"/>
                            </w:tcPr>
                            <w:p w14:paraId="22D4AFB3"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10</w:t>
                              </w:r>
                            </w:p>
                          </w:tc>
                          <w:tc>
                            <w:tcPr>
                              <w:tcW w:w="1132" w:type="dxa"/>
                              <w:shd w:val="clear" w:color="auto" w:fill="auto"/>
                              <w:vAlign w:val="center"/>
                            </w:tcPr>
                            <w:p w14:paraId="54651CCD"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法務部</w:t>
                              </w:r>
                            </w:p>
                          </w:tc>
                          <w:tc>
                            <w:tcPr>
                              <w:tcW w:w="464" w:type="dxa"/>
                              <w:tcBorders>
                                <w:right w:val="single" w:sz="4" w:space="0" w:color="000000"/>
                              </w:tcBorders>
                              <w:shd w:val="clear" w:color="auto" w:fill="auto"/>
                              <w:vAlign w:val="center"/>
                            </w:tcPr>
                            <w:p w14:paraId="460EB5D8"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2</w:t>
                              </w:r>
                            </w:p>
                          </w:tc>
                          <w:tc>
                            <w:tcPr>
                              <w:tcW w:w="1331" w:type="dxa"/>
                              <w:tcBorders>
                                <w:left w:val="single" w:sz="4" w:space="0" w:color="000000"/>
                                <w:right w:val="single" w:sz="4" w:space="0" w:color="auto"/>
                              </w:tcBorders>
                              <w:shd w:val="clear" w:color="auto" w:fill="auto"/>
                              <w:vAlign w:val="center"/>
                            </w:tcPr>
                            <w:p w14:paraId="3D630359"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4</w:t>
                              </w:r>
                              <w:r w:rsidRPr="008445D4">
                                <w:rPr>
                                  <w:rFonts w:ascii="標楷體" w:eastAsia="標楷體" w:hAnsi="標楷體" w:hint="eastAsia"/>
                                  <w:color w:val="000000"/>
                                  <w:sz w:val="20"/>
                                </w:rPr>
                                <w:t>,</w:t>
                              </w:r>
                              <w:r w:rsidRPr="008445D4">
                                <w:rPr>
                                  <w:rFonts w:ascii="標楷體" w:eastAsia="標楷體" w:hAnsi="標楷體"/>
                                  <w:color w:val="000000"/>
                                  <w:sz w:val="20"/>
                                </w:rPr>
                                <w:t>951</w:t>
                              </w:r>
                            </w:p>
                          </w:tc>
                          <w:tc>
                            <w:tcPr>
                              <w:tcW w:w="1138" w:type="dxa"/>
                              <w:tcBorders>
                                <w:left w:val="single" w:sz="4" w:space="0" w:color="auto"/>
                              </w:tcBorders>
                              <w:shd w:val="clear" w:color="auto" w:fill="auto"/>
                              <w:vAlign w:val="center"/>
                            </w:tcPr>
                            <w:p w14:paraId="1A844C0B"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金門縣政府</w:t>
                              </w:r>
                            </w:p>
                          </w:tc>
                          <w:tc>
                            <w:tcPr>
                              <w:tcW w:w="429" w:type="dxa"/>
                              <w:shd w:val="clear" w:color="auto" w:fill="auto"/>
                              <w:vAlign w:val="center"/>
                            </w:tcPr>
                            <w:p w14:paraId="60660C40"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2</w:t>
                              </w:r>
                            </w:p>
                          </w:tc>
                          <w:tc>
                            <w:tcPr>
                              <w:tcW w:w="1405" w:type="dxa"/>
                              <w:tcBorders>
                                <w:right w:val="single" w:sz="4" w:space="0" w:color="auto"/>
                              </w:tcBorders>
                              <w:shd w:val="clear" w:color="auto" w:fill="auto"/>
                              <w:vAlign w:val="center"/>
                            </w:tcPr>
                            <w:p w14:paraId="45F0CD50"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3</w:t>
                              </w:r>
                              <w:r w:rsidRPr="008445D4">
                                <w:rPr>
                                  <w:rFonts w:ascii="標楷體" w:eastAsia="標楷體" w:hAnsi="標楷體" w:hint="eastAsia"/>
                                  <w:color w:val="000000"/>
                                  <w:sz w:val="20"/>
                                </w:rPr>
                                <w:t>,</w:t>
                              </w:r>
                              <w:r w:rsidRPr="008445D4">
                                <w:rPr>
                                  <w:rFonts w:ascii="標楷體" w:eastAsia="標楷體" w:hAnsi="標楷體"/>
                                  <w:color w:val="000000"/>
                                  <w:sz w:val="20"/>
                                </w:rPr>
                                <w:t>535</w:t>
                              </w:r>
                            </w:p>
                          </w:tc>
                        </w:tr>
                        <w:tr w:rsidR="00CE57F9" w14:paraId="078D14F2" w14:textId="77777777" w:rsidTr="000628B7">
                          <w:trPr>
                            <w:jc w:val="center"/>
                          </w:trPr>
                          <w:tc>
                            <w:tcPr>
                              <w:tcW w:w="438" w:type="dxa"/>
                              <w:tcBorders>
                                <w:left w:val="single" w:sz="4" w:space="0" w:color="auto"/>
                              </w:tcBorders>
                              <w:shd w:val="clear" w:color="auto" w:fill="auto"/>
                              <w:vAlign w:val="center"/>
                            </w:tcPr>
                            <w:p w14:paraId="494BCC9B"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11</w:t>
                              </w:r>
                            </w:p>
                          </w:tc>
                          <w:tc>
                            <w:tcPr>
                              <w:tcW w:w="1132" w:type="dxa"/>
                              <w:shd w:val="clear" w:color="auto" w:fill="auto"/>
                              <w:vAlign w:val="center"/>
                            </w:tcPr>
                            <w:p w14:paraId="7BF525A8"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內政部</w:t>
                              </w:r>
                            </w:p>
                          </w:tc>
                          <w:tc>
                            <w:tcPr>
                              <w:tcW w:w="464" w:type="dxa"/>
                              <w:tcBorders>
                                <w:right w:val="single" w:sz="4" w:space="0" w:color="000000"/>
                              </w:tcBorders>
                              <w:shd w:val="clear" w:color="auto" w:fill="auto"/>
                              <w:vAlign w:val="center"/>
                            </w:tcPr>
                            <w:p w14:paraId="06B28596"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1</w:t>
                              </w:r>
                            </w:p>
                          </w:tc>
                          <w:tc>
                            <w:tcPr>
                              <w:tcW w:w="1331" w:type="dxa"/>
                              <w:tcBorders>
                                <w:left w:val="single" w:sz="4" w:space="0" w:color="000000"/>
                                <w:right w:val="single" w:sz="4" w:space="0" w:color="auto"/>
                              </w:tcBorders>
                              <w:shd w:val="clear" w:color="auto" w:fill="auto"/>
                              <w:vAlign w:val="center"/>
                            </w:tcPr>
                            <w:p w14:paraId="09BB802C"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w:t>
                              </w:r>
                              <w:r w:rsidRPr="008445D4">
                                <w:rPr>
                                  <w:rFonts w:ascii="標楷體" w:eastAsia="標楷體" w:hAnsi="標楷體" w:hint="eastAsia"/>
                                  <w:color w:val="000000"/>
                                  <w:sz w:val="20"/>
                                </w:rPr>
                                <w:t>,</w:t>
                              </w:r>
                              <w:r w:rsidRPr="008445D4">
                                <w:rPr>
                                  <w:rFonts w:ascii="標楷體" w:eastAsia="標楷體" w:hAnsi="標楷體"/>
                                  <w:color w:val="000000"/>
                                  <w:sz w:val="20"/>
                                </w:rPr>
                                <w:t>740</w:t>
                              </w:r>
                            </w:p>
                          </w:tc>
                          <w:tc>
                            <w:tcPr>
                              <w:tcW w:w="1138" w:type="dxa"/>
                              <w:tcBorders>
                                <w:left w:val="single" w:sz="4" w:space="0" w:color="auto"/>
                              </w:tcBorders>
                              <w:shd w:val="clear" w:color="auto" w:fill="auto"/>
                              <w:vAlign w:val="center"/>
                            </w:tcPr>
                            <w:p w14:paraId="7930BFB1"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基隆市政府</w:t>
                              </w:r>
                            </w:p>
                          </w:tc>
                          <w:tc>
                            <w:tcPr>
                              <w:tcW w:w="429" w:type="dxa"/>
                              <w:shd w:val="clear" w:color="auto" w:fill="auto"/>
                              <w:vAlign w:val="center"/>
                            </w:tcPr>
                            <w:p w14:paraId="5E36F3D7"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w:t>
                              </w:r>
                            </w:p>
                          </w:tc>
                          <w:tc>
                            <w:tcPr>
                              <w:tcW w:w="1405" w:type="dxa"/>
                              <w:tcBorders>
                                <w:right w:val="single" w:sz="4" w:space="0" w:color="auto"/>
                              </w:tcBorders>
                              <w:shd w:val="clear" w:color="auto" w:fill="auto"/>
                              <w:vAlign w:val="center"/>
                            </w:tcPr>
                            <w:p w14:paraId="7D3579C2"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w:t>
                              </w:r>
                              <w:r w:rsidRPr="008445D4">
                                <w:rPr>
                                  <w:rFonts w:ascii="標楷體" w:eastAsia="標楷體" w:hAnsi="標楷體" w:hint="eastAsia"/>
                                  <w:color w:val="000000"/>
                                  <w:sz w:val="20"/>
                                </w:rPr>
                                <w:t>,</w:t>
                              </w:r>
                              <w:r w:rsidRPr="008445D4">
                                <w:rPr>
                                  <w:rFonts w:ascii="標楷體" w:eastAsia="標楷體" w:hAnsi="標楷體"/>
                                  <w:color w:val="000000"/>
                                  <w:sz w:val="20"/>
                                </w:rPr>
                                <w:t>830</w:t>
                              </w:r>
                            </w:p>
                          </w:tc>
                        </w:tr>
                        <w:tr w:rsidR="00CE57F9" w14:paraId="41F04B12" w14:textId="77777777" w:rsidTr="000628B7">
                          <w:trPr>
                            <w:jc w:val="center"/>
                          </w:trPr>
                          <w:tc>
                            <w:tcPr>
                              <w:tcW w:w="438" w:type="dxa"/>
                              <w:tcBorders>
                                <w:left w:val="single" w:sz="4" w:space="0" w:color="auto"/>
                              </w:tcBorders>
                              <w:shd w:val="clear" w:color="auto" w:fill="auto"/>
                              <w:vAlign w:val="center"/>
                            </w:tcPr>
                            <w:p w14:paraId="4A6938FE"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12</w:t>
                              </w:r>
                            </w:p>
                          </w:tc>
                          <w:tc>
                            <w:tcPr>
                              <w:tcW w:w="1132" w:type="dxa"/>
                              <w:shd w:val="clear" w:color="auto" w:fill="auto"/>
                              <w:vAlign w:val="center"/>
                            </w:tcPr>
                            <w:p w14:paraId="41BC4123"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勞動部</w:t>
                              </w:r>
                            </w:p>
                          </w:tc>
                          <w:tc>
                            <w:tcPr>
                              <w:tcW w:w="464" w:type="dxa"/>
                              <w:tcBorders>
                                <w:right w:val="single" w:sz="4" w:space="0" w:color="000000"/>
                              </w:tcBorders>
                              <w:shd w:val="clear" w:color="auto" w:fill="auto"/>
                              <w:vAlign w:val="center"/>
                            </w:tcPr>
                            <w:p w14:paraId="6E1BC5E3"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1</w:t>
                              </w:r>
                            </w:p>
                          </w:tc>
                          <w:tc>
                            <w:tcPr>
                              <w:tcW w:w="1331" w:type="dxa"/>
                              <w:tcBorders>
                                <w:left w:val="single" w:sz="4" w:space="0" w:color="000000"/>
                                <w:right w:val="single" w:sz="4" w:space="0" w:color="auto"/>
                              </w:tcBorders>
                              <w:shd w:val="clear" w:color="auto" w:fill="auto"/>
                              <w:vAlign w:val="center"/>
                            </w:tcPr>
                            <w:p w14:paraId="3A837E11"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w:t>
                              </w:r>
                              <w:r w:rsidRPr="008445D4">
                                <w:rPr>
                                  <w:rFonts w:ascii="標楷體" w:eastAsia="標楷體" w:hAnsi="標楷體" w:hint="eastAsia"/>
                                  <w:color w:val="000000"/>
                                  <w:sz w:val="20"/>
                                </w:rPr>
                                <w:t>,</w:t>
                              </w:r>
                              <w:r w:rsidRPr="008445D4">
                                <w:rPr>
                                  <w:rFonts w:ascii="標楷體" w:eastAsia="標楷體" w:hAnsi="標楷體"/>
                                  <w:color w:val="000000"/>
                                  <w:sz w:val="20"/>
                                </w:rPr>
                                <w:t>310</w:t>
                              </w:r>
                            </w:p>
                          </w:tc>
                          <w:tc>
                            <w:tcPr>
                              <w:tcW w:w="1138" w:type="dxa"/>
                              <w:tcBorders>
                                <w:left w:val="single" w:sz="4" w:space="0" w:color="auto"/>
                              </w:tcBorders>
                              <w:shd w:val="clear" w:color="auto" w:fill="auto"/>
                              <w:vAlign w:val="center"/>
                            </w:tcPr>
                            <w:p w14:paraId="61881B87"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南投縣政府</w:t>
                              </w:r>
                            </w:p>
                          </w:tc>
                          <w:tc>
                            <w:tcPr>
                              <w:tcW w:w="429" w:type="dxa"/>
                              <w:shd w:val="clear" w:color="auto" w:fill="auto"/>
                              <w:vAlign w:val="center"/>
                            </w:tcPr>
                            <w:p w14:paraId="3D950394"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1</w:t>
                              </w:r>
                            </w:p>
                          </w:tc>
                          <w:tc>
                            <w:tcPr>
                              <w:tcW w:w="1405" w:type="dxa"/>
                              <w:tcBorders>
                                <w:right w:val="single" w:sz="4" w:space="0" w:color="auto"/>
                              </w:tcBorders>
                              <w:shd w:val="clear" w:color="auto" w:fill="auto"/>
                              <w:vAlign w:val="center"/>
                            </w:tcPr>
                            <w:p w14:paraId="18B71012"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color w:val="000000"/>
                                  <w:sz w:val="20"/>
                                </w:rPr>
                                <w:t>2</w:t>
                              </w:r>
                              <w:r w:rsidRPr="008445D4">
                                <w:rPr>
                                  <w:rFonts w:ascii="標楷體" w:eastAsia="標楷體" w:hAnsi="標楷體" w:hint="eastAsia"/>
                                  <w:color w:val="000000"/>
                                  <w:sz w:val="20"/>
                                </w:rPr>
                                <w:t>,</w:t>
                              </w:r>
                              <w:r w:rsidRPr="008445D4">
                                <w:rPr>
                                  <w:rFonts w:ascii="標楷體" w:eastAsia="標楷體" w:hAnsi="標楷體"/>
                                  <w:color w:val="000000"/>
                                  <w:sz w:val="20"/>
                                </w:rPr>
                                <w:t>240</w:t>
                              </w:r>
                            </w:p>
                          </w:tc>
                        </w:tr>
                        <w:tr w:rsidR="00CE57F9" w14:paraId="150C5A22" w14:textId="77777777" w:rsidTr="000628B7">
                          <w:trPr>
                            <w:jc w:val="center"/>
                          </w:trPr>
                          <w:tc>
                            <w:tcPr>
                              <w:tcW w:w="438" w:type="dxa"/>
                              <w:tcBorders>
                                <w:left w:val="single" w:sz="4" w:space="0" w:color="auto"/>
                              </w:tcBorders>
                              <w:shd w:val="clear" w:color="auto" w:fill="auto"/>
                              <w:vAlign w:val="center"/>
                            </w:tcPr>
                            <w:p w14:paraId="3A7CC4C9"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13</w:t>
                              </w:r>
                            </w:p>
                          </w:tc>
                          <w:tc>
                            <w:tcPr>
                              <w:tcW w:w="1132" w:type="dxa"/>
                              <w:shd w:val="clear" w:color="auto" w:fill="auto"/>
                              <w:vAlign w:val="center"/>
                            </w:tcPr>
                            <w:p w14:paraId="5F96254A"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color w:val="000000"/>
                                  <w:sz w:val="20"/>
                                </w:rPr>
                              </w:pPr>
                              <w:r w:rsidRPr="008445D4">
                                <w:rPr>
                                  <w:rFonts w:ascii="標楷體" w:eastAsia="標楷體" w:hAnsi="標楷體" w:hint="eastAsia"/>
                                  <w:color w:val="000000"/>
                                  <w:sz w:val="20"/>
                                </w:rPr>
                                <w:t>國家安全局</w:t>
                              </w:r>
                            </w:p>
                          </w:tc>
                          <w:tc>
                            <w:tcPr>
                              <w:tcW w:w="464" w:type="dxa"/>
                              <w:tcBorders>
                                <w:right w:val="single" w:sz="4" w:space="0" w:color="000000"/>
                              </w:tcBorders>
                              <w:shd w:val="clear" w:color="auto" w:fill="auto"/>
                              <w:vAlign w:val="center"/>
                            </w:tcPr>
                            <w:p w14:paraId="1E2172A8"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sidRPr="008445D4">
                                <w:rPr>
                                  <w:rFonts w:ascii="標楷體" w:eastAsia="標楷體" w:hAnsi="標楷體" w:hint="eastAsia"/>
                                  <w:color w:val="000000"/>
                                  <w:sz w:val="20"/>
                                </w:rPr>
                                <w:t>1</w:t>
                              </w:r>
                            </w:p>
                          </w:tc>
                          <w:tc>
                            <w:tcPr>
                              <w:tcW w:w="1331" w:type="dxa"/>
                              <w:tcBorders>
                                <w:left w:val="single" w:sz="4" w:space="0" w:color="000000"/>
                                <w:right w:val="single" w:sz="4" w:space="0" w:color="auto"/>
                              </w:tcBorders>
                              <w:shd w:val="clear" w:color="auto" w:fill="auto"/>
                              <w:vAlign w:val="center"/>
                            </w:tcPr>
                            <w:p w14:paraId="04386AA8" w14:textId="77777777" w:rsidR="00CE57F9" w:rsidRPr="008445D4" w:rsidRDefault="00CE57F9" w:rsidP="000628B7">
                              <w:pPr>
                                <w:overflowPunct w:val="0"/>
                                <w:snapToGrid w:val="0"/>
                                <w:spacing w:line="240" w:lineRule="exact"/>
                                <w:jc w:val="right"/>
                                <w:rPr>
                                  <w:rFonts w:ascii="標楷體" w:eastAsia="標楷體" w:hAnsi="標楷體"/>
                                  <w:color w:val="000000"/>
                                  <w:sz w:val="20"/>
                                </w:rPr>
                              </w:pPr>
                              <w:r>
                                <w:rPr>
                                  <w:rFonts w:ascii="標楷體" w:eastAsia="標楷體" w:hAnsi="標楷體" w:hint="eastAsia"/>
                                  <w:color w:val="000000"/>
                                  <w:sz w:val="20"/>
                                </w:rPr>
                                <w:t>1</w:t>
                              </w:r>
                              <w:r>
                                <w:rPr>
                                  <w:rFonts w:ascii="標楷體" w:eastAsia="標楷體" w:hAnsi="標楷體"/>
                                  <w:color w:val="000000"/>
                                  <w:sz w:val="20"/>
                                </w:rPr>
                                <w:t>,</w:t>
                              </w:r>
                              <w:r>
                                <w:rPr>
                                  <w:rFonts w:ascii="標楷體" w:eastAsia="標楷體" w:hAnsi="標楷體" w:hint="eastAsia"/>
                                  <w:color w:val="000000"/>
                                  <w:sz w:val="20"/>
                                </w:rPr>
                                <w:t>296</w:t>
                              </w:r>
                            </w:p>
                          </w:tc>
                          <w:tc>
                            <w:tcPr>
                              <w:tcW w:w="1138" w:type="dxa"/>
                              <w:tcBorders>
                                <w:left w:val="single" w:sz="4" w:space="0" w:color="auto"/>
                              </w:tcBorders>
                              <w:shd w:val="clear" w:color="auto" w:fill="auto"/>
                              <w:vAlign w:val="center"/>
                            </w:tcPr>
                            <w:p w14:paraId="0360576C"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sz w:val="20"/>
                                </w:rPr>
                              </w:pPr>
                              <w:r w:rsidRPr="008445D4">
                                <w:rPr>
                                  <w:rFonts w:ascii="標楷體" w:eastAsia="標楷體" w:hAnsi="標楷體" w:hint="eastAsia"/>
                                  <w:sz w:val="20"/>
                                </w:rPr>
                                <w:t>花蓮縣政府</w:t>
                              </w:r>
                            </w:p>
                          </w:tc>
                          <w:tc>
                            <w:tcPr>
                              <w:tcW w:w="429" w:type="dxa"/>
                              <w:shd w:val="clear" w:color="auto" w:fill="auto"/>
                              <w:vAlign w:val="center"/>
                            </w:tcPr>
                            <w:p w14:paraId="22067A0A" w14:textId="77777777" w:rsidR="00CE57F9" w:rsidRPr="008445D4" w:rsidRDefault="00CE57F9" w:rsidP="000628B7">
                              <w:pPr>
                                <w:overflowPunct w:val="0"/>
                                <w:snapToGrid w:val="0"/>
                                <w:spacing w:line="240" w:lineRule="exact"/>
                                <w:jc w:val="right"/>
                                <w:rPr>
                                  <w:rFonts w:ascii="標楷體" w:eastAsia="標楷體" w:hAnsi="標楷體"/>
                                  <w:sz w:val="20"/>
                                </w:rPr>
                              </w:pPr>
                              <w:r w:rsidRPr="008445D4">
                                <w:rPr>
                                  <w:rFonts w:ascii="標楷體" w:eastAsia="標楷體" w:hAnsi="標楷體"/>
                                  <w:sz w:val="20"/>
                                </w:rPr>
                                <w:t>1</w:t>
                              </w:r>
                            </w:p>
                          </w:tc>
                          <w:tc>
                            <w:tcPr>
                              <w:tcW w:w="1405" w:type="dxa"/>
                              <w:tcBorders>
                                <w:right w:val="single" w:sz="4" w:space="0" w:color="auto"/>
                              </w:tcBorders>
                              <w:shd w:val="clear" w:color="auto" w:fill="auto"/>
                              <w:vAlign w:val="center"/>
                            </w:tcPr>
                            <w:p w14:paraId="6D84A720" w14:textId="77777777" w:rsidR="00CE57F9" w:rsidRPr="008445D4" w:rsidRDefault="00CE57F9" w:rsidP="000628B7">
                              <w:pPr>
                                <w:overflowPunct w:val="0"/>
                                <w:snapToGrid w:val="0"/>
                                <w:spacing w:line="240" w:lineRule="exact"/>
                                <w:jc w:val="right"/>
                                <w:rPr>
                                  <w:rFonts w:ascii="標楷體" w:eastAsia="標楷體" w:hAnsi="標楷體"/>
                                  <w:sz w:val="20"/>
                                </w:rPr>
                              </w:pPr>
                              <w:r w:rsidRPr="008445D4">
                                <w:rPr>
                                  <w:rFonts w:ascii="標楷體" w:eastAsia="標楷體" w:hAnsi="標楷體"/>
                                  <w:sz w:val="20"/>
                                </w:rPr>
                                <w:t>2</w:t>
                              </w:r>
                              <w:r w:rsidRPr="008445D4">
                                <w:rPr>
                                  <w:rFonts w:ascii="標楷體" w:eastAsia="標楷體" w:hAnsi="標楷體" w:hint="eastAsia"/>
                                  <w:sz w:val="20"/>
                                </w:rPr>
                                <w:t>,</w:t>
                              </w:r>
                              <w:r w:rsidRPr="008445D4">
                                <w:rPr>
                                  <w:rFonts w:ascii="標楷體" w:eastAsia="標楷體" w:hAnsi="標楷體"/>
                                  <w:sz w:val="20"/>
                                </w:rPr>
                                <w:t>934</w:t>
                              </w:r>
                            </w:p>
                          </w:tc>
                        </w:tr>
                        <w:tr w:rsidR="00CE57F9" w14:paraId="37DC932F" w14:textId="77777777" w:rsidTr="000628B7">
                          <w:trPr>
                            <w:jc w:val="center"/>
                          </w:trPr>
                          <w:tc>
                            <w:tcPr>
                              <w:tcW w:w="438" w:type="dxa"/>
                              <w:tcBorders>
                                <w:left w:val="single" w:sz="4" w:space="0" w:color="auto"/>
                              </w:tcBorders>
                              <w:shd w:val="clear" w:color="auto" w:fill="auto"/>
                              <w:vAlign w:val="center"/>
                            </w:tcPr>
                            <w:p w14:paraId="15EA8639" w14:textId="77777777" w:rsidR="00CE57F9" w:rsidRPr="008445D4" w:rsidRDefault="00CE57F9" w:rsidP="000628B7">
                              <w:pPr>
                                <w:overflowPunct w:val="0"/>
                                <w:snapToGrid w:val="0"/>
                                <w:spacing w:line="240" w:lineRule="exact"/>
                                <w:jc w:val="center"/>
                                <w:rPr>
                                  <w:rFonts w:ascii="標楷體" w:eastAsia="標楷體" w:hAnsi="標楷體"/>
                                  <w:sz w:val="20"/>
                                </w:rPr>
                              </w:pPr>
                              <w:r w:rsidRPr="008445D4">
                                <w:rPr>
                                  <w:rFonts w:ascii="標楷體" w:eastAsia="標楷體" w:hAnsi="標楷體" w:hint="eastAsia"/>
                                  <w:sz w:val="20"/>
                                </w:rPr>
                                <w:t>14</w:t>
                              </w:r>
                            </w:p>
                          </w:tc>
                          <w:tc>
                            <w:tcPr>
                              <w:tcW w:w="1132" w:type="dxa"/>
                              <w:shd w:val="clear" w:color="auto" w:fill="auto"/>
                              <w:vAlign w:val="center"/>
                            </w:tcPr>
                            <w:p w14:paraId="612BF134"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sz w:val="20"/>
                                </w:rPr>
                              </w:pPr>
                              <w:r w:rsidRPr="008445D4">
                                <w:rPr>
                                  <w:rFonts w:ascii="標楷體" w:eastAsia="標楷體" w:hAnsi="標楷體" w:hint="eastAsia"/>
                                  <w:sz w:val="20"/>
                                </w:rPr>
                                <w:t>衛生福利部</w:t>
                              </w:r>
                            </w:p>
                          </w:tc>
                          <w:tc>
                            <w:tcPr>
                              <w:tcW w:w="464" w:type="dxa"/>
                              <w:tcBorders>
                                <w:right w:val="single" w:sz="4" w:space="0" w:color="000000"/>
                              </w:tcBorders>
                              <w:shd w:val="clear" w:color="auto" w:fill="auto"/>
                              <w:vAlign w:val="center"/>
                            </w:tcPr>
                            <w:p w14:paraId="6DD13014" w14:textId="77777777" w:rsidR="00CE57F9" w:rsidRPr="008445D4" w:rsidRDefault="00CE57F9" w:rsidP="000628B7">
                              <w:pPr>
                                <w:overflowPunct w:val="0"/>
                                <w:snapToGrid w:val="0"/>
                                <w:spacing w:line="240" w:lineRule="exact"/>
                                <w:jc w:val="right"/>
                                <w:rPr>
                                  <w:rFonts w:ascii="標楷體" w:eastAsia="標楷體" w:hAnsi="標楷體"/>
                                  <w:sz w:val="20"/>
                                </w:rPr>
                              </w:pPr>
                              <w:r w:rsidRPr="008445D4">
                                <w:rPr>
                                  <w:rFonts w:ascii="標楷體" w:eastAsia="標楷體" w:hAnsi="標楷體" w:hint="eastAsia"/>
                                  <w:sz w:val="20"/>
                                </w:rPr>
                                <w:t>1</w:t>
                              </w:r>
                            </w:p>
                          </w:tc>
                          <w:tc>
                            <w:tcPr>
                              <w:tcW w:w="1331" w:type="dxa"/>
                              <w:tcBorders>
                                <w:left w:val="single" w:sz="4" w:space="0" w:color="000000"/>
                                <w:right w:val="single" w:sz="4" w:space="0" w:color="auto"/>
                              </w:tcBorders>
                              <w:shd w:val="clear" w:color="auto" w:fill="auto"/>
                              <w:vAlign w:val="center"/>
                            </w:tcPr>
                            <w:p w14:paraId="0D2E6774" w14:textId="77777777" w:rsidR="00CE57F9" w:rsidRPr="008445D4" w:rsidRDefault="00CE57F9" w:rsidP="000628B7">
                              <w:pPr>
                                <w:overflowPunct w:val="0"/>
                                <w:snapToGrid w:val="0"/>
                                <w:spacing w:line="240" w:lineRule="exact"/>
                                <w:jc w:val="right"/>
                                <w:rPr>
                                  <w:rFonts w:ascii="標楷體" w:eastAsia="標楷體" w:hAnsi="標楷體"/>
                                  <w:sz w:val="20"/>
                                </w:rPr>
                              </w:pPr>
                              <w:r w:rsidRPr="008445D4">
                                <w:rPr>
                                  <w:rFonts w:ascii="標楷體" w:eastAsia="標楷體" w:hAnsi="標楷體"/>
                                  <w:sz w:val="20"/>
                                </w:rPr>
                                <w:t>53</w:t>
                              </w:r>
                              <w:r w:rsidRPr="008445D4">
                                <w:rPr>
                                  <w:rFonts w:ascii="標楷體" w:eastAsia="標楷體" w:hAnsi="標楷體" w:hint="eastAsia"/>
                                  <w:sz w:val="20"/>
                                </w:rPr>
                                <w:t>,</w:t>
                              </w:r>
                              <w:r w:rsidRPr="008445D4">
                                <w:rPr>
                                  <w:rFonts w:ascii="標楷體" w:eastAsia="標楷體" w:hAnsi="標楷體"/>
                                  <w:sz w:val="20"/>
                                </w:rPr>
                                <w:t>978</w:t>
                              </w:r>
                            </w:p>
                          </w:tc>
                          <w:tc>
                            <w:tcPr>
                              <w:tcW w:w="1138" w:type="dxa"/>
                              <w:tcBorders>
                                <w:left w:val="single" w:sz="4" w:space="0" w:color="auto"/>
                              </w:tcBorders>
                              <w:shd w:val="clear" w:color="auto" w:fill="auto"/>
                              <w:vAlign w:val="center"/>
                            </w:tcPr>
                            <w:p w14:paraId="48438E1A" w14:textId="77777777" w:rsidR="00CE57F9" w:rsidRPr="008445D4" w:rsidRDefault="00CE57F9" w:rsidP="000628B7">
                              <w:pPr>
                                <w:overflowPunct w:val="0"/>
                                <w:snapToGrid w:val="0"/>
                                <w:spacing w:line="240" w:lineRule="exact"/>
                                <w:ind w:leftChars="-41" w:left="-98" w:rightChars="-46" w:right="-110"/>
                                <w:jc w:val="center"/>
                                <w:rPr>
                                  <w:rFonts w:ascii="標楷體" w:eastAsia="標楷體" w:hAnsi="標楷體"/>
                                  <w:sz w:val="20"/>
                                </w:rPr>
                              </w:pPr>
                              <w:r w:rsidRPr="008445D4">
                                <w:rPr>
                                  <w:rFonts w:ascii="標楷體" w:eastAsia="標楷體" w:hAnsi="標楷體" w:hint="eastAsia"/>
                                  <w:sz w:val="20"/>
                                </w:rPr>
                                <w:t>澎湖縣政府</w:t>
                              </w:r>
                            </w:p>
                          </w:tc>
                          <w:tc>
                            <w:tcPr>
                              <w:tcW w:w="429" w:type="dxa"/>
                              <w:shd w:val="clear" w:color="auto" w:fill="auto"/>
                              <w:vAlign w:val="center"/>
                            </w:tcPr>
                            <w:p w14:paraId="62AF67CA" w14:textId="77777777" w:rsidR="00CE57F9" w:rsidRPr="008445D4" w:rsidRDefault="00CE57F9" w:rsidP="000628B7">
                              <w:pPr>
                                <w:overflowPunct w:val="0"/>
                                <w:snapToGrid w:val="0"/>
                                <w:spacing w:line="240" w:lineRule="exact"/>
                                <w:jc w:val="right"/>
                                <w:rPr>
                                  <w:rFonts w:ascii="標楷體" w:eastAsia="標楷體" w:hAnsi="標楷體"/>
                                  <w:sz w:val="20"/>
                                </w:rPr>
                              </w:pPr>
                              <w:r w:rsidRPr="008445D4">
                                <w:rPr>
                                  <w:rFonts w:ascii="標楷體" w:eastAsia="標楷體" w:hAnsi="標楷體"/>
                                  <w:sz w:val="20"/>
                                </w:rPr>
                                <w:t>1</w:t>
                              </w:r>
                            </w:p>
                          </w:tc>
                          <w:tc>
                            <w:tcPr>
                              <w:tcW w:w="1405" w:type="dxa"/>
                              <w:tcBorders>
                                <w:right w:val="single" w:sz="4" w:space="0" w:color="auto"/>
                              </w:tcBorders>
                              <w:shd w:val="clear" w:color="auto" w:fill="auto"/>
                              <w:vAlign w:val="center"/>
                            </w:tcPr>
                            <w:p w14:paraId="7E2DA33F" w14:textId="77777777" w:rsidR="00CE57F9" w:rsidRPr="008445D4" w:rsidRDefault="00CE57F9" w:rsidP="000628B7">
                              <w:pPr>
                                <w:overflowPunct w:val="0"/>
                                <w:snapToGrid w:val="0"/>
                                <w:spacing w:line="240" w:lineRule="exact"/>
                                <w:jc w:val="right"/>
                                <w:rPr>
                                  <w:rFonts w:ascii="標楷體" w:eastAsia="標楷體" w:hAnsi="標楷體"/>
                                  <w:sz w:val="20"/>
                                </w:rPr>
                              </w:pPr>
                              <w:r w:rsidRPr="008445D4">
                                <w:rPr>
                                  <w:rFonts w:ascii="標楷體" w:eastAsia="標楷體" w:hAnsi="標楷體"/>
                                  <w:sz w:val="20"/>
                                </w:rPr>
                                <w:t>1</w:t>
                              </w:r>
                              <w:r w:rsidRPr="008445D4">
                                <w:rPr>
                                  <w:rFonts w:ascii="標楷體" w:eastAsia="標楷體" w:hAnsi="標楷體" w:hint="eastAsia"/>
                                  <w:sz w:val="20"/>
                                </w:rPr>
                                <w:t>,</w:t>
                              </w:r>
                              <w:r w:rsidRPr="008445D4">
                                <w:rPr>
                                  <w:rFonts w:ascii="標楷體" w:eastAsia="標楷體" w:hAnsi="標楷體"/>
                                  <w:sz w:val="20"/>
                                </w:rPr>
                                <w:t>550</w:t>
                              </w:r>
                            </w:p>
                          </w:tc>
                        </w:tr>
                      </w:tbl>
                      <w:p w14:paraId="2407501C" w14:textId="629C7802" w:rsidR="00CE57F9" w:rsidRPr="008920EB" w:rsidRDefault="00CE57F9" w:rsidP="00D66F89">
                        <w:pPr>
                          <w:snapToGrid w:val="0"/>
                          <w:spacing w:line="220" w:lineRule="exact"/>
                          <w:ind w:firstLineChars="46" w:firstLine="83"/>
                          <w:jc w:val="both"/>
                          <w:rPr>
                            <w:rFonts w:ascii="標楷體" w:eastAsia="標楷體" w:hAnsi="標楷體"/>
                            <w:bCs/>
                            <w:snapToGrid w:val="0"/>
                            <w:sz w:val="18"/>
                            <w:szCs w:val="18"/>
                          </w:rPr>
                        </w:pPr>
                        <w:r w:rsidRPr="00711E59">
                          <w:rPr>
                            <w:rFonts w:ascii="標楷體" w:eastAsia="標楷體" w:hAnsi="標楷體"/>
                            <w:bCs/>
                            <w:snapToGrid w:val="0"/>
                            <w:sz w:val="18"/>
                            <w:szCs w:val="18"/>
                          </w:rPr>
                          <w:t>資料來源：</w:t>
                        </w:r>
                        <w:r w:rsidRPr="00346BDD">
                          <w:rPr>
                            <w:rFonts w:ascii="標楷體" w:eastAsia="標楷體" w:hAnsi="標楷體"/>
                            <w:bCs/>
                            <w:snapToGrid w:val="0"/>
                            <w:sz w:val="18"/>
                            <w:szCs w:val="18"/>
                          </w:rPr>
                          <w:t>本部調查</w:t>
                        </w:r>
                        <w:r w:rsidRPr="00346BDD">
                          <w:rPr>
                            <w:rFonts w:ascii="標楷體" w:eastAsia="標楷體" w:hAnsi="標楷體" w:hint="eastAsia"/>
                            <w:bCs/>
                            <w:snapToGrid w:val="0"/>
                            <w:sz w:val="18"/>
                            <w:szCs w:val="18"/>
                          </w:rPr>
                          <w:t>各級政府</w:t>
                        </w:r>
                        <w:r w:rsidRPr="00346BDD">
                          <w:rPr>
                            <w:rFonts w:ascii="標楷體" w:eastAsia="標楷體" w:hAnsi="標楷體"/>
                            <w:bCs/>
                            <w:snapToGrid w:val="0"/>
                            <w:sz w:val="18"/>
                            <w:szCs w:val="18"/>
                          </w:rPr>
                          <w:t>110年1月至111年12月</w:t>
                        </w:r>
                        <w:r w:rsidRPr="00346BDD">
                          <w:rPr>
                            <w:rFonts w:ascii="標楷體" w:eastAsia="標楷體" w:hAnsi="標楷體" w:hint="eastAsia"/>
                            <w:bCs/>
                            <w:snapToGrid w:val="0"/>
                            <w:sz w:val="18"/>
                            <w:szCs w:val="18"/>
                          </w:rPr>
                          <w:t>採購案決標</w:t>
                        </w:r>
                        <w:r w:rsidRPr="00346BDD">
                          <w:rPr>
                            <w:rFonts w:ascii="標楷體" w:eastAsia="標楷體" w:hAnsi="標楷體"/>
                            <w:bCs/>
                            <w:snapToGrid w:val="0"/>
                            <w:sz w:val="18"/>
                            <w:szCs w:val="18"/>
                          </w:rPr>
                          <w:t>結果</w:t>
                        </w:r>
                        <w:r w:rsidRPr="00711E59">
                          <w:rPr>
                            <w:rFonts w:ascii="標楷體" w:eastAsia="標楷體" w:hAnsi="標楷體"/>
                            <w:bCs/>
                            <w:snapToGrid w:val="0"/>
                            <w:sz w:val="18"/>
                            <w:szCs w:val="18"/>
                          </w:rPr>
                          <w:t>。</w:t>
                        </w:r>
                      </w:p>
                    </w:txbxContent>
                  </v:textbox>
                </v:shape>
                <v:shape id="文字方塊 37" o:spid="_x0000_s1159" type="#_x0000_t202" style="position:absolute;left:425;top:36150;width:42735;height:37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54F0739C" w14:textId="6E642A06" w:rsidR="00CE57F9" w:rsidRPr="00F71D74" w:rsidRDefault="00CE57F9" w:rsidP="00D66F89">
                        <w:pPr>
                          <w:overflowPunct w:val="0"/>
                          <w:snapToGrid w:val="0"/>
                          <w:spacing w:line="400" w:lineRule="exact"/>
                          <w:ind w:leftChars="76" w:left="1256" w:rightChars="82" w:right="197" w:hangingChars="447" w:hanging="1074"/>
                          <w:jc w:val="center"/>
                          <w:rPr>
                            <w:rFonts w:ascii="標楷體" w:eastAsia="標楷體" w:hAnsi="標楷體"/>
                          </w:rPr>
                        </w:pPr>
                        <w:r w:rsidRPr="00F71D74">
                          <w:rPr>
                            <w:rFonts w:ascii="標楷體" w:eastAsia="標楷體" w:hAnsi="標楷體"/>
                            <w:b/>
                            <w:bCs/>
                            <w:snapToGrid w:val="0"/>
                          </w:rPr>
                          <w:t>表</w:t>
                        </w:r>
                        <w:r>
                          <w:rPr>
                            <w:rFonts w:ascii="標楷體" w:eastAsia="標楷體" w:hAnsi="標楷體"/>
                            <w:b/>
                            <w:bCs/>
                            <w:snapToGrid w:val="0"/>
                          </w:rPr>
                          <w:t>27</w:t>
                        </w:r>
                        <w:r w:rsidRPr="00DB6D61">
                          <w:rPr>
                            <w:rFonts w:ascii="標楷體" w:eastAsia="標楷體" w:hAnsi="標楷體" w:hint="eastAsia"/>
                            <w:b/>
                            <w:snapToGrid w:val="0"/>
                            <w:kern w:val="0"/>
                          </w:rPr>
                          <w:t xml:space="preserve">　</w:t>
                        </w:r>
                        <w:r w:rsidRPr="00F71D74">
                          <w:rPr>
                            <w:rFonts w:ascii="標楷體" w:eastAsia="標楷體" w:hAnsi="標楷體" w:hint="eastAsia"/>
                            <w:b/>
                            <w:bCs/>
                            <w:snapToGrid w:val="0"/>
                          </w:rPr>
                          <w:t>政府</w:t>
                        </w:r>
                        <w:r w:rsidRPr="00F71D74">
                          <w:rPr>
                            <w:rFonts w:ascii="標楷體" w:eastAsia="標楷體" w:hAnsi="標楷體"/>
                            <w:b/>
                            <w:bCs/>
                            <w:snapToGrid w:val="0"/>
                          </w:rPr>
                          <w:t>採購案件</w:t>
                        </w:r>
                        <w:r w:rsidRPr="00F71D74">
                          <w:rPr>
                            <w:rFonts w:ascii="標楷體" w:eastAsia="標楷體" w:hAnsi="標楷體" w:hint="eastAsia"/>
                            <w:b/>
                            <w:bCs/>
                            <w:snapToGrid w:val="0"/>
                          </w:rPr>
                          <w:t>資格限制競爭</w:t>
                        </w:r>
                        <w:r w:rsidRPr="00F71D74">
                          <w:rPr>
                            <w:rFonts w:ascii="標楷體" w:eastAsia="標楷體" w:hAnsi="標楷體"/>
                            <w:b/>
                            <w:bCs/>
                            <w:snapToGrid w:val="0"/>
                          </w:rPr>
                          <w:t>情形</w:t>
                        </w:r>
                      </w:p>
                      <w:p w14:paraId="279013FC" w14:textId="77777777" w:rsidR="00CE57F9" w:rsidRPr="00F71D74" w:rsidRDefault="00CE57F9" w:rsidP="007F07D7">
                        <w:pPr>
                          <w:overflowPunct w:val="0"/>
                          <w:snapToGrid w:val="0"/>
                          <w:spacing w:line="300" w:lineRule="exact"/>
                          <w:ind w:leftChars="297" w:left="1111" w:rightChars="10" w:right="24" w:hangingChars="199" w:hanging="398"/>
                          <w:jc w:val="right"/>
                          <w:rPr>
                            <w:rFonts w:ascii="標楷體" w:eastAsia="標楷體" w:hAnsi="標楷體"/>
                            <w:sz w:val="20"/>
                          </w:rPr>
                        </w:pPr>
                        <w:r w:rsidRPr="00F71D74">
                          <w:rPr>
                            <w:rFonts w:ascii="標楷體" w:eastAsia="標楷體" w:hAnsi="標楷體" w:hint="eastAsia"/>
                            <w:bCs/>
                            <w:snapToGrid w:val="0"/>
                            <w:sz w:val="20"/>
                          </w:rPr>
                          <w:t>單位：件、新臺幣</w:t>
                        </w:r>
                        <w:r>
                          <w:rPr>
                            <w:rFonts w:ascii="標楷體" w:eastAsia="標楷體" w:hAnsi="標楷體" w:hint="eastAsia"/>
                            <w:bCs/>
                            <w:snapToGrid w:val="0"/>
                            <w:sz w:val="20"/>
                          </w:rPr>
                          <w:t>千</w:t>
                        </w:r>
                        <w:r w:rsidRPr="00F71D74">
                          <w:rPr>
                            <w:rFonts w:ascii="標楷體" w:eastAsia="標楷體" w:hAnsi="標楷體" w:hint="eastAsia"/>
                            <w:bCs/>
                            <w:snapToGrid w:val="0"/>
                            <w:sz w:val="20"/>
                          </w:rPr>
                          <w:t>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850"/>
                          <w:gridCol w:w="3544"/>
                          <w:gridCol w:w="607"/>
                          <w:gridCol w:w="948"/>
                        </w:tblGrid>
                        <w:tr w:rsidR="00CE57F9" w14:paraId="167482A9" w14:textId="77777777" w:rsidTr="007F07D7">
                          <w:trPr>
                            <w:tblHeader/>
                            <w:jc w:val="center"/>
                          </w:trPr>
                          <w:tc>
                            <w:tcPr>
                              <w:tcW w:w="426" w:type="dxa"/>
                              <w:vMerge w:val="restart"/>
                              <w:shd w:val="clear" w:color="auto" w:fill="FFFFFF"/>
                              <w:vAlign w:val="center"/>
                            </w:tcPr>
                            <w:p w14:paraId="5D5B6058" w14:textId="77777777" w:rsidR="00CE57F9" w:rsidRPr="00A22302" w:rsidRDefault="00CE57F9" w:rsidP="000628B7">
                              <w:pPr>
                                <w:overflowPunct w:val="0"/>
                                <w:snapToGrid w:val="0"/>
                                <w:spacing w:line="260" w:lineRule="exact"/>
                                <w:jc w:val="center"/>
                                <w:rPr>
                                  <w:rFonts w:ascii="標楷體" w:eastAsia="標楷體" w:hAnsi="標楷體"/>
                                  <w:sz w:val="20"/>
                                </w:rPr>
                              </w:pPr>
                              <w:r w:rsidRPr="00A22302">
                                <w:rPr>
                                  <w:rFonts w:ascii="標楷體" w:eastAsia="標楷體" w:hAnsi="標楷體" w:hint="eastAsia"/>
                                  <w:sz w:val="20"/>
                                </w:rPr>
                                <w:t>項次</w:t>
                              </w:r>
                            </w:p>
                          </w:tc>
                          <w:tc>
                            <w:tcPr>
                              <w:tcW w:w="4394" w:type="dxa"/>
                              <w:gridSpan w:val="2"/>
                              <w:shd w:val="clear" w:color="auto" w:fill="FFFFFF"/>
                              <w:vAlign w:val="center"/>
                            </w:tcPr>
                            <w:p w14:paraId="158BF9D8" w14:textId="77777777" w:rsidR="00CE57F9" w:rsidRPr="00A22302" w:rsidRDefault="00CE57F9" w:rsidP="000628B7">
                              <w:pPr>
                                <w:overflowPunct w:val="0"/>
                                <w:snapToGrid w:val="0"/>
                                <w:spacing w:line="260" w:lineRule="exact"/>
                                <w:jc w:val="center"/>
                                <w:rPr>
                                  <w:rFonts w:ascii="標楷體" w:eastAsia="標楷體" w:hAnsi="標楷體"/>
                                  <w:sz w:val="20"/>
                                </w:rPr>
                              </w:pPr>
                              <w:r w:rsidRPr="00A22302">
                                <w:rPr>
                                  <w:rFonts w:ascii="標楷體" w:eastAsia="標楷體" w:hAnsi="標楷體" w:hint="eastAsia"/>
                                  <w:sz w:val="20"/>
                                </w:rPr>
                                <w:t>政府採購錯誤行為態樣</w:t>
                              </w:r>
                            </w:p>
                          </w:tc>
                          <w:tc>
                            <w:tcPr>
                              <w:tcW w:w="607" w:type="dxa"/>
                              <w:vMerge w:val="restart"/>
                              <w:shd w:val="clear" w:color="auto" w:fill="FFFFFF"/>
                              <w:vAlign w:val="center"/>
                            </w:tcPr>
                            <w:p w14:paraId="35FCA032" w14:textId="77777777" w:rsidR="00CE57F9" w:rsidRPr="00A22302" w:rsidRDefault="00CE57F9" w:rsidP="000628B7">
                              <w:pPr>
                                <w:overflowPunct w:val="0"/>
                                <w:snapToGrid w:val="0"/>
                                <w:spacing w:line="260" w:lineRule="exact"/>
                                <w:jc w:val="center"/>
                                <w:rPr>
                                  <w:rFonts w:ascii="標楷體" w:eastAsia="標楷體" w:hAnsi="標楷體"/>
                                  <w:sz w:val="20"/>
                                </w:rPr>
                              </w:pPr>
                              <w:r w:rsidRPr="00A22302">
                                <w:rPr>
                                  <w:rFonts w:ascii="標楷體" w:eastAsia="標楷體" w:hAnsi="標楷體" w:hint="eastAsia"/>
                                  <w:sz w:val="20"/>
                                </w:rPr>
                                <w:t>件數</w:t>
                              </w:r>
                            </w:p>
                          </w:tc>
                          <w:tc>
                            <w:tcPr>
                              <w:tcW w:w="948" w:type="dxa"/>
                              <w:vMerge w:val="restart"/>
                              <w:shd w:val="clear" w:color="auto" w:fill="FFFFFF"/>
                              <w:vAlign w:val="center"/>
                            </w:tcPr>
                            <w:p w14:paraId="379A7801" w14:textId="77777777" w:rsidR="00CE57F9" w:rsidRDefault="00CE57F9" w:rsidP="000628B7">
                              <w:pPr>
                                <w:overflowPunct w:val="0"/>
                                <w:snapToGrid w:val="0"/>
                                <w:spacing w:line="260" w:lineRule="exact"/>
                                <w:jc w:val="center"/>
                                <w:rPr>
                                  <w:rFonts w:ascii="標楷體" w:eastAsia="標楷體" w:hAnsi="標楷體"/>
                                  <w:sz w:val="20"/>
                                </w:rPr>
                              </w:pPr>
                              <w:r w:rsidRPr="00A22302">
                                <w:rPr>
                                  <w:rFonts w:ascii="標楷體" w:eastAsia="標楷體" w:hAnsi="標楷體" w:hint="eastAsia"/>
                                  <w:sz w:val="20"/>
                                </w:rPr>
                                <w:t>總決標</w:t>
                              </w:r>
                            </w:p>
                            <w:p w14:paraId="3BFA9009" w14:textId="77777777" w:rsidR="00CE57F9" w:rsidRPr="00A22302" w:rsidRDefault="00CE57F9" w:rsidP="000628B7">
                              <w:pPr>
                                <w:overflowPunct w:val="0"/>
                                <w:snapToGrid w:val="0"/>
                                <w:spacing w:line="260" w:lineRule="exact"/>
                                <w:jc w:val="center"/>
                                <w:rPr>
                                  <w:rFonts w:ascii="標楷體" w:eastAsia="標楷體" w:hAnsi="標楷體"/>
                                  <w:sz w:val="20"/>
                                </w:rPr>
                              </w:pPr>
                              <w:r w:rsidRPr="00A22302">
                                <w:rPr>
                                  <w:rFonts w:ascii="標楷體" w:eastAsia="標楷體" w:hAnsi="標楷體" w:hint="eastAsia"/>
                                  <w:sz w:val="20"/>
                                </w:rPr>
                                <w:t>金額</w:t>
                              </w:r>
                            </w:p>
                          </w:tc>
                        </w:tr>
                        <w:tr w:rsidR="00CE57F9" w14:paraId="12CA150E" w14:textId="77777777" w:rsidTr="007F07D7">
                          <w:trPr>
                            <w:tblHeader/>
                            <w:jc w:val="center"/>
                          </w:trPr>
                          <w:tc>
                            <w:tcPr>
                              <w:tcW w:w="426" w:type="dxa"/>
                              <w:vMerge/>
                              <w:shd w:val="clear" w:color="auto" w:fill="FFFFFF"/>
                            </w:tcPr>
                            <w:p w14:paraId="0EC55B9F" w14:textId="77777777" w:rsidR="00CE57F9" w:rsidRPr="00A22302" w:rsidRDefault="00CE57F9" w:rsidP="000628B7">
                              <w:pPr>
                                <w:overflowPunct w:val="0"/>
                                <w:snapToGrid w:val="0"/>
                                <w:spacing w:line="300" w:lineRule="exact"/>
                                <w:jc w:val="center"/>
                                <w:rPr>
                                  <w:rFonts w:ascii="標楷體" w:eastAsia="標楷體" w:hAnsi="標楷體"/>
                                  <w:sz w:val="20"/>
                                </w:rPr>
                              </w:pPr>
                            </w:p>
                          </w:tc>
                          <w:tc>
                            <w:tcPr>
                              <w:tcW w:w="850" w:type="dxa"/>
                              <w:shd w:val="clear" w:color="auto" w:fill="FFFFFF"/>
                            </w:tcPr>
                            <w:p w14:paraId="4458AE84" w14:textId="77777777" w:rsidR="00CE57F9" w:rsidRPr="00A22302" w:rsidRDefault="00CE57F9" w:rsidP="000628B7">
                              <w:pPr>
                                <w:overflowPunct w:val="0"/>
                                <w:snapToGrid w:val="0"/>
                                <w:spacing w:line="300" w:lineRule="exact"/>
                                <w:jc w:val="center"/>
                                <w:rPr>
                                  <w:rFonts w:ascii="標楷體" w:eastAsia="標楷體" w:hAnsi="標楷體"/>
                                  <w:sz w:val="20"/>
                                </w:rPr>
                              </w:pPr>
                              <w:r w:rsidRPr="00A22302">
                                <w:rPr>
                                  <w:rFonts w:ascii="標楷體" w:eastAsia="標楷體" w:hAnsi="標楷體" w:hint="eastAsia"/>
                                  <w:sz w:val="20"/>
                                </w:rPr>
                                <w:t>序號</w:t>
                              </w:r>
                            </w:p>
                          </w:tc>
                          <w:tc>
                            <w:tcPr>
                              <w:tcW w:w="3544" w:type="dxa"/>
                              <w:shd w:val="clear" w:color="auto" w:fill="FFFFFF"/>
                            </w:tcPr>
                            <w:p w14:paraId="192BC9EF" w14:textId="77777777" w:rsidR="00CE57F9" w:rsidRPr="00A22302" w:rsidRDefault="00CE57F9" w:rsidP="000628B7">
                              <w:pPr>
                                <w:overflowPunct w:val="0"/>
                                <w:snapToGrid w:val="0"/>
                                <w:spacing w:line="300" w:lineRule="exact"/>
                                <w:jc w:val="center"/>
                                <w:rPr>
                                  <w:rFonts w:ascii="標楷體" w:eastAsia="標楷體" w:hAnsi="標楷體"/>
                                  <w:sz w:val="20"/>
                                </w:rPr>
                              </w:pPr>
                              <w:r w:rsidRPr="00A22302">
                                <w:rPr>
                                  <w:rFonts w:ascii="標楷體" w:eastAsia="標楷體" w:hAnsi="標楷體" w:hint="eastAsia"/>
                                  <w:sz w:val="20"/>
                                </w:rPr>
                                <w:t>資格限制競爭項目</w:t>
                              </w:r>
                            </w:p>
                          </w:tc>
                          <w:tc>
                            <w:tcPr>
                              <w:tcW w:w="607" w:type="dxa"/>
                              <w:vMerge/>
                              <w:shd w:val="clear" w:color="auto" w:fill="FFFFFF"/>
                            </w:tcPr>
                            <w:p w14:paraId="3FEE9058" w14:textId="77777777" w:rsidR="00CE57F9" w:rsidRPr="00A22302" w:rsidRDefault="00CE57F9" w:rsidP="000628B7">
                              <w:pPr>
                                <w:overflowPunct w:val="0"/>
                                <w:snapToGrid w:val="0"/>
                                <w:spacing w:line="300" w:lineRule="exact"/>
                                <w:jc w:val="center"/>
                                <w:rPr>
                                  <w:rFonts w:ascii="標楷體" w:eastAsia="標楷體" w:hAnsi="標楷體"/>
                                  <w:sz w:val="20"/>
                                </w:rPr>
                              </w:pPr>
                            </w:p>
                          </w:tc>
                          <w:tc>
                            <w:tcPr>
                              <w:tcW w:w="948" w:type="dxa"/>
                              <w:vMerge/>
                              <w:shd w:val="clear" w:color="auto" w:fill="FFFFFF"/>
                            </w:tcPr>
                            <w:p w14:paraId="3E24547D" w14:textId="77777777" w:rsidR="00CE57F9" w:rsidRPr="00A22302" w:rsidRDefault="00CE57F9" w:rsidP="000628B7">
                              <w:pPr>
                                <w:overflowPunct w:val="0"/>
                                <w:snapToGrid w:val="0"/>
                                <w:spacing w:line="300" w:lineRule="exact"/>
                                <w:jc w:val="center"/>
                                <w:rPr>
                                  <w:rFonts w:ascii="標楷體" w:eastAsia="標楷體" w:hAnsi="標楷體"/>
                                  <w:sz w:val="20"/>
                                </w:rPr>
                              </w:pPr>
                            </w:p>
                          </w:tc>
                        </w:tr>
                        <w:tr w:rsidR="00CE57F9" w14:paraId="1C4F6F28" w14:textId="77777777" w:rsidTr="007F07D7">
                          <w:trPr>
                            <w:jc w:val="center"/>
                          </w:trPr>
                          <w:tc>
                            <w:tcPr>
                              <w:tcW w:w="4820" w:type="dxa"/>
                              <w:gridSpan w:val="3"/>
                              <w:shd w:val="clear" w:color="auto" w:fill="auto"/>
                            </w:tcPr>
                            <w:p w14:paraId="6D968529" w14:textId="77777777" w:rsidR="00CE57F9" w:rsidRPr="00346BDD" w:rsidRDefault="00CE57F9" w:rsidP="000628B7">
                              <w:pPr>
                                <w:overflowPunct w:val="0"/>
                                <w:snapToGrid w:val="0"/>
                                <w:spacing w:line="300" w:lineRule="exact"/>
                                <w:jc w:val="center"/>
                                <w:rPr>
                                  <w:rFonts w:ascii="標楷體" w:eastAsia="標楷體" w:hAnsi="標楷體"/>
                                  <w:b/>
                                  <w:sz w:val="20"/>
                                </w:rPr>
                              </w:pPr>
                              <w:r w:rsidRPr="00346BDD">
                                <w:rPr>
                                  <w:rFonts w:ascii="標楷體" w:eastAsia="標楷體" w:hAnsi="標楷體" w:hint="eastAsia"/>
                                  <w:b/>
                                  <w:sz w:val="20"/>
                                </w:rPr>
                                <w:t>合計</w:t>
                              </w:r>
                            </w:p>
                          </w:tc>
                          <w:tc>
                            <w:tcPr>
                              <w:tcW w:w="607" w:type="dxa"/>
                              <w:shd w:val="clear" w:color="auto" w:fill="auto"/>
                            </w:tcPr>
                            <w:p w14:paraId="427F763F" w14:textId="77777777" w:rsidR="00CE57F9" w:rsidRPr="00346BDD" w:rsidRDefault="00CE57F9" w:rsidP="000628B7">
                              <w:pPr>
                                <w:overflowPunct w:val="0"/>
                                <w:snapToGrid w:val="0"/>
                                <w:spacing w:line="300" w:lineRule="exact"/>
                                <w:jc w:val="right"/>
                                <w:rPr>
                                  <w:rFonts w:ascii="標楷體" w:eastAsia="標楷體" w:hAnsi="標楷體"/>
                                  <w:b/>
                                  <w:sz w:val="20"/>
                                </w:rPr>
                              </w:pPr>
                              <w:r w:rsidRPr="00346BDD">
                                <w:rPr>
                                  <w:rFonts w:ascii="標楷體" w:eastAsia="標楷體" w:hAnsi="標楷體"/>
                                  <w:b/>
                                  <w:sz w:val="20"/>
                                </w:rPr>
                                <w:t>137</w:t>
                              </w:r>
                            </w:p>
                          </w:tc>
                          <w:tc>
                            <w:tcPr>
                              <w:tcW w:w="948" w:type="dxa"/>
                              <w:shd w:val="clear" w:color="auto" w:fill="auto"/>
                            </w:tcPr>
                            <w:p w14:paraId="2EE82E92" w14:textId="77777777" w:rsidR="00CE57F9" w:rsidRPr="00346BDD" w:rsidRDefault="00CE57F9" w:rsidP="000628B7">
                              <w:pPr>
                                <w:overflowPunct w:val="0"/>
                                <w:snapToGrid w:val="0"/>
                                <w:spacing w:line="300" w:lineRule="exact"/>
                                <w:jc w:val="right"/>
                                <w:rPr>
                                  <w:rFonts w:ascii="標楷體" w:eastAsia="標楷體" w:hAnsi="標楷體"/>
                                  <w:b/>
                                  <w:sz w:val="20"/>
                                </w:rPr>
                              </w:pPr>
                              <w:r w:rsidRPr="00346BDD">
                                <w:rPr>
                                  <w:rFonts w:ascii="標楷體" w:eastAsia="標楷體" w:hAnsi="標楷體"/>
                                  <w:b/>
                                  <w:sz w:val="20"/>
                                </w:rPr>
                                <w:t>829,630</w:t>
                              </w:r>
                            </w:p>
                          </w:tc>
                        </w:tr>
                        <w:tr w:rsidR="00CE57F9" w14:paraId="4B9A048E" w14:textId="77777777" w:rsidTr="007F07D7">
                          <w:trPr>
                            <w:jc w:val="center"/>
                          </w:trPr>
                          <w:tc>
                            <w:tcPr>
                              <w:tcW w:w="426" w:type="dxa"/>
                              <w:shd w:val="clear" w:color="auto" w:fill="auto"/>
                              <w:vAlign w:val="center"/>
                            </w:tcPr>
                            <w:p w14:paraId="2E681C63" w14:textId="77777777" w:rsidR="00CE57F9" w:rsidRPr="008445D4" w:rsidRDefault="00CE57F9" w:rsidP="000628B7">
                              <w:pPr>
                                <w:overflowPunct w:val="0"/>
                                <w:snapToGrid w:val="0"/>
                                <w:spacing w:line="300" w:lineRule="exact"/>
                                <w:jc w:val="center"/>
                                <w:rPr>
                                  <w:rFonts w:ascii="標楷體" w:eastAsia="標楷體" w:hAnsi="標楷體"/>
                                  <w:color w:val="000000"/>
                                  <w:sz w:val="20"/>
                                </w:rPr>
                              </w:pPr>
                              <w:r w:rsidRPr="008445D4">
                                <w:rPr>
                                  <w:rFonts w:ascii="標楷體" w:eastAsia="標楷體" w:hAnsi="標楷體" w:hint="eastAsia"/>
                                  <w:color w:val="000000"/>
                                  <w:sz w:val="20"/>
                                </w:rPr>
                                <w:t>1</w:t>
                              </w:r>
                            </w:p>
                          </w:tc>
                          <w:tc>
                            <w:tcPr>
                              <w:tcW w:w="850" w:type="dxa"/>
                              <w:shd w:val="clear" w:color="auto" w:fill="auto"/>
                              <w:vAlign w:val="center"/>
                            </w:tcPr>
                            <w:p w14:paraId="6B15C70C" w14:textId="77777777" w:rsidR="00CE57F9" w:rsidRPr="008445D4" w:rsidRDefault="00CE57F9" w:rsidP="000628B7">
                              <w:pPr>
                                <w:overflowPunct w:val="0"/>
                                <w:snapToGrid w:val="0"/>
                                <w:spacing w:line="300" w:lineRule="exact"/>
                                <w:jc w:val="center"/>
                                <w:rPr>
                                  <w:rFonts w:ascii="標楷體" w:eastAsia="標楷體" w:hAnsi="標楷體"/>
                                  <w:color w:val="000000"/>
                                  <w:sz w:val="20"/>
                                </w:rPr>
                              </w:pPr>
                              <w:r>
                                <w:rPr>
                                  <w:rFonts w:ascii="標楷體" w:eastAsia="標楷體" w:hAnsi="標楷體" w:hint="eastAsia"/>
                                  <w:color w:val="000000"/>
                                  <w:sz w:val="20"/>
                                </w:rPr>
                                <w:t>（</w:t>
                              </w:r>
                              <w:r w:rsidRPr="008445D4">
                                <w:rPr>
                                  <w:rFonts w:ascii="標楷體" w:eastAsia="標楷體" w:hAnsi="標楷體" w:hint="eastAsia"/>
                                  <w:color w:val="000000"/>
                                  <w:sz w:val="20"/>
                                </w:rPr>
                                <w:t>五</w:t>
                              </w:r>
                              <w:r>
                                <w:rPr>
                                  <w:rFonts w:ascii="標楷體" w:eastAsia="標楷體" w:hAnsi="標楷體" w:hint="eastAsia"/>
                                  <w:color w:val="000000"/>
                                  <w:sz w:val="20"/>
                                </w:rPr>
                                <w:t>）</w:t>
                              </w:r>
                            </w:p>
                          </w:tc>
                          <w:tc>
                            <w:tcPr>
                              <w:tcW w:w="3544" w:type="dxa"/>
                              <w:shd w:val="clear" w:color="auto" w:fill="auto"/>
                            </w:tcPr>
                            <w:p w14:paraId="3D820355" w14:textId="77777777" w:rsidR="00CE57F9" w:rsidRPr="008445D4" w:rsidRDefault="00CE57F9" w:rsidP="00B410F1">
                              <w:pPr>
                                <w:overflowPunct w:val="0"/>
                                <w:snapToGrid w:val="0"/>
                                <w:spacing w:line="240" w:lineRule="exact"/>
                                <w:jc w:val="both"/>
                                <w:rPr>
                                  <w:rFonts w:ascii="標楷體" w:eastAsia="標楷體" w:hAnsi="標楷體"/>
                                  <w:color w:val="000000"/>
                                  <w:sz w:val="20"/>
                                </w:rPr>
                              </w:pPr>
                              <w:r w:rsidRPr="008445D4">
                                <w:rPr>
                                  <w:rFonts w:ascii="標楷體" w:eastAsia="標楷體" w:hAnsi="標楷體" w:hint="eastAsia"/>
                                  <w:color w:val="000000"/>
                                  <w:sz w:val="20"/>
                                </w:rPr>
                                <w:t>限非屬法規規定之團體之會員方可投標，例如：某協會之會員。</w:t>
                              </w:r>
                            </w:p>
                          </w:tc>
                          <w:tc>
                            <w:tcPr>
                              <w:tcW w:w="607" w:type="dxa"/>
                              <w:shd w:val="clear" w:color="auto" w:fill="auto"/>
                              <w:vAlign w:val="center"/>
                            </w:tcPr>
                            <w:p w14:paraId="3FC6A3FA"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hint="eastAsia"/>
                                  <w:color w:val="000000"/>
                                  <w:sz w:val="20"/>
                                </w:rPr>
                                <w:t>8</w:t>
                              </w:r>
                              <w:r>
                                <w:rPr>
                                  <w:rFonts w:ascii="標楷體" w:eastAsia="標楷體" w:hAnsi="標楷體" w:hint="eastAsia"/>
                                  <w:color w:val="000000"/>
                                  <w:sz w:val="20"/>
                                </w:rPr>
                                <w:t>4</w:t>
                              </w:r>
                            </w:p>
                          </w:tc>
                          <w:tc>
                            <w:tcPr>
                              <w:tcW w:w="948" w:type="dxa"/>
                              <w:shd w:val="clear" w:color="auto" w:fill="auto"/>
                              <w:vAlign w:val="center"/>
                            </w:tcPr>
                            <w:p w14:paraId="428D8E54"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color w:val="000000"/>
                                  <w:sz w:val="20"/>
                                </w:rPr>
                                <w:t>55</w:t>
                              </w:r>
                              <w:r>
                                <w:rPr>
                                  <w:rFonts w:ascii="標楷體" w:eastAsia="標楷體" w:hAnsi="標楷體" w:hint="eastAsia"/>
                                  <w:color w:val="000000"/>
                                  <w:sz w:val="20"/>
                                </w:rPr>
                                <w:t>3</w:t>
                              </w:r>
                              <w:r w:rsidRPr="008445D4">
                                <w:rPr>
                                  <w:rFonts w:ascii="標楷體" w:eastAsia="標楷體" w:hAnsi="標楷體" w:hint="eastAsia"/>
                                  <w:color w:val="000000"/>
                                  <w:sz w:val="20"/>
                                </w:rPr>
                                <w:t>,</w:t>
                              </w:r>
                              <w:r>
                                <w:rPr>
                                  <w:rFonts w:ascii="標楷體" w:eastAsia="標楷體" w:hAnsi="標楷體" w:hint="eastAsia"/>
                                  <w:color w:val="000000"/>
                                  <w:sz w:val="20"/>
                                </w:rPr>
                                <w:t>042</w:t>
                              </w:r>
                            </w:p>
                          </w:tc>
                        </w:tr>
                        <w:tr w:rsidR="00CE57F9" w14:paraId="7DA8E3A0" w14:textId="77777777" w:rsidTr="007F07D7">
                          <w:trPr>
                            <w:jc w:val="center"/>
                          </w:trPr>
                          <w:tc>
                            <w:tcPr>
                              <w:tcW w:w="426" w:type="dxa"/>
                              <w:shd w:val="clear" w:color="auto" w:fill="auto"/>
                              <w:vAlign w:val="center"/>
                            </w:tcPr>
                            <w:p w14:paraId="6EADA5D5" w14:textId="77777777" w:rsidR="00CE57F9" w:rsidRPr="008445D4" w:rsidRDefault="00CE57F9" w:rsidP="000628B7">
                              <w:pPr>
                                <w:overflowPunct w:val="0"/>
                                <w:snapToGrid w:val="0"/>
                                <w:spacing w:line="300" w:lineRule="exact"/>
                                <w:jc w:val="center"/>
                                <w:rPr>
                                  <w:rFonts w:ascii="標楷體" w:eastAsia="標楷體" w:hAnsi="標楷體"/>
                                  <w:color w:val="000000"/>
                                  <w:sz w:val="20"/>
                                </w:rPr>
                              </w:pPr>
                              <w:r w:rsidRPr="008445D4">
                                <w:rPr>
                                  <w:rFonts w:ascii="標楷體" w:eastAsia="標楷體" w:hAnsi="標楷體" w:hint="eastAsia"/>
                                  <w:color w:val="000000"/>
                                  <w:sz w:val="20"/>
                                </w:rPr>
                                <w:t>2</w:t>
                              </w:r>
                            </w:p>
                          </w:tc>
                          <w:tc>
                            <w:tcPr>
                              <w:tcW w:w="850" w:type="dxa"/>
                              <w:shd w:val="clear" w:color="auto" w:fill="auto"/>
                              <w:vAlign w:val="center"/>
                            </w:tcPr>
                            <w:p w14:paraId="16BFCBF3" w14:textId="77777777" w:rsidR="00CE57F9" w:rsidRPr="008445D4" w:rsidRDefault="00CE57F9" w:rsidP="000628B7">
                              <w:pPr>
                                <w:overflowPunct w:val="0"/>
                                <w:snapToGrid w:val="0"/>
                                <w:spacing w:line="300" w:lineRule="exact"/>
                                <w:ind w:leftChars="-45" w:rightChars="-45" w:right="-108" w:hangingChars="54" w:hanging="108"/>
                                <w:jc w:val="center"/>
                                <w:rPr>
                                  <w:rFonts w:ascii="標楷體" w:eastAsia="標楷體" w:hAnsi="標楷體"/>
                                  <w:color w:val="000000"/>
                                  <w:sz w:val="20"/>
                                </w:rPr>
                              </w:pPr>
                              <w:r>
                                <w:rPr>
                                  <w:rFonts w:ascii="標楷體" w:eastAsia="標楷體" w:hAnsi="標楷體" w:hint="eastAsia"/>
                                  <w:color w:val="000000"/>
                                  <w:sz w:val="20"/>
                                </w:rPr>
                                <w:t>（</w:t>
                              </w:r>
                              <w:r w:rsidRPr="008445D4">
                                <w:rPr>
                                  <w:rFonts w:ascii="標楷體" w:eastAsia="標楷體" w:hAnsi="標楷體" w:hint="eastAsia"/>
                                  <w:color w:val="000000"/>
                                  <w:sz w:val="20"/>
                                </w:rPr>
                                <w:t>二十</w:t>
                              </w:r>
                              <w:r>
                                <w:rPr>
                                  <w:rFonts w:ascii="標楷體" w:eastAsia="標楷體" w:hAnsi="標楷體" w:hint="eastAsia"/>
                                  <w:color w:val="000000"/>
                                  <w:sz w:val="20"/>
                                </w:rPr>
                                <w:t>）</w:t>
                              </w:r>
                            </w:p>
                          </w:tc>
                          <w:tc>
                            <w:tcPr>
                              <w:tcW w:w="3544" w:type="dxa"/>
                              <w:shd w:val="clear" w:color="auto" w:fill="auto"/>
                            </w:tcPr>
                            <w:p w14:paraId="56FFEE96" w14:textId="77777777" w:rsidR="00CE57F9" w:rsidRPr="008445D4" w:rsidRDefault="00CE57F9" w:rsidP="00B410F1">
                              <w:pPr>
                                <w:overflowPunct w:val="0"/>
                                <w:snapToGrid w:val="0"/>
                                <w:spacing w:line="240" w:lineRule="exact"/>
                                <w:jc w:val="both"/>
                                <w:rPr>
                                  <w:rFonts w:ascii="標楷體" w:eastAsia="標楷體" w:hAnsi="標楷體"/>
                                  <w:color w:val="000000"/>
                                  <w:sz w:val="20"/>
                                </w:rPr>
                              </w:pPr>
                              <w:r w:rsidRPr="008445D4">
                                <w:rPr>
                                  <w:rFonts w:ascii="標楷體" w:eastAsia="標楷體" w:hAnsi="標楷體" w:hint="eastAsia"/>
                                  <w:color w:val="000000"/>
                                  <w:sz w:val="20"/>
                                </w:rPr>
                                <w:t>投標時須檢附原廠製造證明、原廠代理證明、原廠願意供應證明、原廠品質保證書。</w:t>
                              </w:r>
                            </w:p>
                          </w:tc>
                          <w:tc>
                            <w:tcPr>
                              <w:tcW w:w="607" w:type="dxa"/>
                              <w:shd w:val="clear" w:color="auto" w:fill="auto"/>
                              <w:vAlign w:val="center"/>
                            </w:tcPr>
                            <w:p w14:paraId="3370CB02"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hint="eastAsia"/>
                                  <w:color w:val="000000"/>
                                  <w:sz w:val="20"/>
                                </w:rPr>
                                <w:t>31</w:t>
                              </w:r>
                            </w:p>
                          </w:tc>
                          <w:tc>
                            <w:tcPr>
                              <w:tcW w:w="948" w:type="dxa"/>
                              <w:shd w:val="clear" w:color="auto" w:fill="auto"/>
                              <w:vAlign w:val="center"/>
                            </w:tcPr>
                            <w:p w14:paraId="0928CF64"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color w:val="000000"/>
                                  <w:sz w:val="20"/>
                                </w:rPr>
                                <w:t>134</w:t>
                              </w:r>
                              <w:r w:rsidRPr="008445D4">
                                <w:rPr>
                                  <w:rFonts w:ascii="標楷體" w:eastAsia="標楷體" w:hAnsi="標楷體" w:hint="eastAsia"/>
                                  <w:color w:val="000000"/>
                                  <w:sz w:val="20"/>
                                </w:rPr>
                                <w:t>,</w:t>
                              </w:r>
                              <w:r w:rsidRPr="008445D4">
                                <w:rPr>
                                  <w:rFonts w:ascii="標楷體" w:eastAsia="標楷體" w:hAnsi="標楷體"/>
                                  <w:color w:val="000000"/>
                                  <w:sz w:val="20"/>
                                </w:rPr>
                                <w:t>478</w:t>
                              </w:r>
                            </w:p>
                          </w:tc>
                        </w:tr>
                        <w:tr w:rsidR="00CE57F9" w14:paraId="77268760" w14:textId="77777777" w:rsidTr="007F07D7">
                          <w:trPr>
                            <w:jc w:val="center"/>
                          </w:trPr>
                          <w:tc>
                            <w:tcPr>
                              <w:tcW w:w="426" w:type="dxa"/>
                              <w:shd w:val="clear" w:color="auto" w:fill="auto"/>
                              <w:vAlign w:val="center"/>
                            </w:tcPr>
                            <w:p w14:paraId="53316916" w14:textId="77777777" w:rsidR="00CE57F9" w:rsidRPr="008445D4" w:rsidRDefault="00CE57F9" w:rsidP="000628B7">
                              <w:pPr>
                                <w:overflowPunct w:val="0"/>
                                <w:snapToGrid w:val="0"/>
                                <w:spacing w:line="300" w:lineRule="exact"/>
                                <w:jc w:val="center"/>
                                <w:rPr>
                                  <w:rFonts w:ascii="標楷體" w:eastAsia="標楷體" w:hAnsi="標楷體"/>
                                  <w:color w:val="000000"/>
                                  <w:sz w:val="20"/>
                                </w:rPr>
                              </w:pPr>
                              <w:r w:rsidRPr="008445D4">
                                <w:rPr>
                                  <w:rFonts w:ascii="標楷體" w:eastAsia="標楷體" w:hAnsi="標楷體" w:hint="eastAsia"/>
                                  <w:color w:val="000000"/>
                                  <w:sz w:val="20"/>
                                </w:rPr>
                                <w:t>3</w:t>
                              </w:r>
                            </w:p>
                          </w:tc>
                          <w:tc>
                            <w:tcPr>
                              <w:tcW w:w="850" w:type="dxa"/>
                              <w:shd w:val="clear" w:color="auto" w:fill="auto"/>
                              <w:vAlign w:val="center"/>
                            </w:tcPr>
                            <w:p w14:paraId="2999437D" w14:textId="77777777" w:rsidR="00CE57F9" w:rsidRPr="008445D4" w:rsidRDefault="00CE57F9" w:rsidP="000628B7">
                              <w:pPr>
                                <w:overflowPunct w:val="0"/>
                                <w:snapToGrid w:val="0"/>
                                <w:spacing w:line="300" w:lineRule="exact"/>
                                <w:ind w:leftChars="-45" w:rightChars="-45" w:right="-108" w:hangingChars="54" w:hanging="108"/>
                                <w:jc w:val="center"/>
                                <w:rPr>
                                  <w:rFonts w:ascii="標楷體" w:eastAsia="標楷體" w:hAnsi="標楷體"/>
                                  <w:color w:val="000000"/>
                                  <w:sz w:val="20"/>
                                </w:rPr>
                              </w:pPr>
                              <w:r>
                                <w:rPr>
                                  <w:rFonts w:ascii="標楷體" w:eastAsia="標楷體" w:hAnsi="標楷體" w:hint="eastAsia"/>
                                  <w:color w:val="000000"/>
                                  <w:sz w:val="20"/>
                                </w:rPr>
                                <w:t>（</w:t>
                              </w:r>
                              <w:r w:rsidRPr="008445D4">
                                <w:rPr>
                                  <w:rFonts w:ascii="標楷體" w:eastAsia="標楷體" w:hAnsi="標楷體" w:hint="eastAsia"/>
                                  <w:color w:val="000000"/>
                                  <w:sz w:val="20"/>
                                </w:rPr>
                                <w:t>六</w:t>
                              </w:r>
                              <w:r>
                                <w:rPr>
                                  <w:rFonts w:ascii="標楷體" w:eastAsia="標楷體" w:hAnsi="標楷體" w:hint="eastAsia"/>
                                  <w:color w:val="000000"/>
                                  <w:sz w:val="20"/>
                                </w:rPr>
                                <w:t>）</w:t>
                              </w:r>
                            </w:p>
                          </w:tc>
                          <w:tc>
                            <w:tcPr>
                              <w:tcW w:w="3544" w:type="dxa"/>
                              <w:shd w:val="clear" w:color="auto" w:fill="auto"/>
                            </w:tcPr>
                            <w:p w14:paraId="77BEEBB9" w14:textId="77777777" w:rsidR="00CE57F9" w:rsidRPr="008445D4" w:rsidRDefault="00CE57F9" w:rsidP="00B410F1">
                              <w:pPr>
                                <w:overflowPunct w:val="0"/>
                                <w:snapToGrid w:val="0"/>
                                <w:spacing w:line="240" w:lineRule="exact"/>
                                <w:jc w:val="both"/>
                                <w:rPr>
                                  <w:rFonts w:ascii="標楷體" w:eastAsia="標楷體" w:hAnsi="標楷體"/>
                                  <w:color w:val="000000"/>
                                  <w:sz w:val="20"/>
                                </w:rPr>
                              </w:pPr>
                              <w:r w:rsidRPr="008445D4">
                                <w:rPr>
                                  <w:rFonts w:ascii="標楷體" w:eastAsia="標楷體" w:hAnsi="標楷體" w:hint="eastAsia"/>
                                  <w:color w:val="000000"/>
                                  <w:sz w:val="20"/>
                                </w:rPr>
                                <w:t>限公部門</w:t>
                              </w:r>
                              <w:r>
                                <w:rPr>
                                  <w:rFonts w:ascii="標楷體" w:eastAsia="標楷體" w:hAnsi="標楷體"/>
                                  <w:color w:val="000000"/>
                                  <w:sz w:val="20"/>
                                </w:rPr>
                                <w:t>（</w:t>
                              </w:r>
                              <w:r w:rsidRPr="008445D4">
                                <w:rPr>
                                  <w:rFonts w:ascii="標楷體" w:eastAsia="標楷體" w:hAnsi="標楷體" w:hint="eastAsia"/>
                                  <w:color w:val="000000"/>
                                  <w:sz w:val="20"/>
                                </w:rPr>
                                <w:t>政府機關、公營事業、公立學校</w:t>
                              </w:r>
                              <w:r>
                                <w:rPr>
                                  <w:rFonts w:ascii="標楷體" w:eastAsia="標楷體" w:hAnsi="標楷體"/>
                                  <w:color w:val="000000"/>
                                  <w:sz w:val="20"/>
                                </w:rPr>
                                <w:t>）</w:t>
                              </w:r>
                              <w:r w:rsidRPr="008445D4">
                                <w:rPr>
                                  <w:rFonts w:ascii="標楷體" w:eastAsia="標楷體" w:hAnsi="標楷體" w:hint="eastAsia"/>
                                  <w:color w:val="000000"/>
                                  <w:sz w:val="20"/>
                                </w:rPr>
                                <w:t>之實績。</w:t>
                              </w:r>
                            </w:p>
                          </w:tc>
                          <w:tc>
                            <w:tcPr>
                              <w:tcW w:w="607" w:type="dxa"/>
                              <w:shd w:val="clear" w:color="auto" w:fill="auto"/>
                              <w:vAlign w:val="center"/>
                            </w:tcPr>
                            <w:p w14:paraId="726605D3"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hint="eastAsia"/>
                                  <w:color w:val="000000"/>
                                  <w:sz w:val="20"/>
                                </w:rPr>
                                <w:t>10</w:t>
                              </w:r>
                            </w:p>
                          </w:tc>
                          <w:tc>
                            <w:tcPr>
                              <w:tcW w:w="948" w:type="dxa"/>
                              <w:shd w:val="clear" w:color="auto" w:fill="auto"/>
                              <w:vAlign w:val="center"/>
                            </w:tcPr>
                            <w:p w14:paraId="4EFA65F7"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color w:val="000000"/>
                                  <w:sz w:val="20"/>
                                </w:rPr>
                                <w:t>103</w:t>
                              </w:r>
                              <w:r w:rsidRPr="008445D4">
                                <w:rPr>
                                  <w:rFonts w:ascii="標楷體" w:eastAsia="標楷體" w:hAnsi="標楷體" w:hint="eastAsia"/>
                                  <w:color w:val="000000"/>
                                  <w:sz w:val="20"/>
                                </w:rPr>
                                <w:t>,</w:t>
                              </w:r>
                              <w:r w:rsidRPr="008445D4">
                                <w:rPr>
                                  <w:rFonts w:ascii="標楷體" w:eastAsia="標楷體" w:hAnsi="標楷體"/>
                                  <w:color w:val="000000"/>
                                  <w:sz w:val="20"/>
                                </w:rPr>
                                <w:t>546</w:t>
                              </w:r>
                            </w:p>
                          </w:tc>
                        </w:tr>
                        <w:tr w:rsidR="00CE57F9" w14:paraId="71C13469" w14:textId="77777777" w:rsidTr="007F07D7">
                          <w:trPr>
                            <w:jc w:val="center"/>
                          </w:trPr>
                          <w:tc>
                            <w:tcPr>
                              <w:tcW w:w="426" w:type="dxa"/>
                              <w:shd w:val="clear" w:color="auto" w:fill="auto"/>
                              <w:vAlign w:val="center"/>
                            </w:tcPr>
                            <w:p w14:paraId="1C245521" w14:textId="77777777" w:rsidR="00CE57F9" w:rsidRPr="008445D4" w:rsidRDefault="00CE57F9" w:rsidP="000628B7">
                              <w:pPr>
                                <w:overflowPunct w:val="0"/>
                                <w:snapToGrid w:val="0"/>
                                <w:spacing w:line="300" w:lineRule="exact"/>
                                <w:jc w:val="center"/>
                                <w:rPr>
                                  <w:rFonts w:ascii="標楷體" w:eastAsia="標楷體" w:hAnsi="標楷體"/>
                                  <w:color w:val="000000"/>
                                  <w:sz w:val="20"/>
                                </w:rPr>
                              </w:pPr>
                              <w:r w:rsidRPr="008445D4">
                                <w:rPr>
                                  <w:rFonts w:ascii="標楷體" w:eastAsia="標楷體" w:hAnsi="標楷體" w:hint="eastAsia"/>
                                  <w:color w:val="000000"/>
                                  <w:sz w:val="20"/>
                                </w:rPr>
                                <w:t>4</w:t>
                              </w:r>
                            </w:p>
                          </w:tc>
                          <w:tc>
                            <w:tcPr>
                              <w:tcW w:w="850" w:type="dxa"/>
                              <w:shd w:val="clear" w:color="auto" w:fill="auto"/>
                              <w:vAlign w:val="center"/>
                            </w:tcPr>
                            <w:p w14:paraId="38E29227" w14:textId="77777777" w:rsidR="00CE57F9" w:rsidRPr="008445D4" w:rsidRDefault="00CE57F9" w:rsidP="000628B7">
                              <w:pPr>
                                <w:overflowPunct w:val="0"/>
                                <w:snapToGrid w:val="0"/>
                                <w:spacing w:line="300" w:lineRule="exact"/>
                                <w:ind w:leftChars="-45" w:rightChars="-45" w:right="-108" w:hangingChars="54" w:hanging="108"/>
                                <w:jc w:val="center"/>
                                <w:rPr>
                                  <w:rFonts w:ascii="標楷體" w:eastAsia="標楷體" w:hAnsi="標楷體"/>
                                  <w:color w:val="000000"/>
                                  <w:sz w:val="20"/>
                                </w:rPr>
                              </w:pPr>
                              <w:r>
                                <w:rPr>
                                  <w:rFonts w:ascii="標楷體" w:eastAsia="標楷體" w:hAnsi="標楷體" w:hint="eastAsia"/>
                                  <w:color w:val="000000"/>
                                  <w:sz w:val="20"/>
                                </w:rPr>
                                <w:t>（</w:t>
                              </w:r>
                              <w:r w:rsidRPr="008445D4">
                                <w:rPr>
                                  <w:rFonts w:ascii="標楷體" w:eastAsia="標楷體" w:hAnsi="標楷體" w:hint="eastAsia"/>
                                  <w:color w:val="000000"/>
                                  <w:sz w:val="20"/>
                                </w:rPr>
                                <w:t>二</w:t>
                              </w:r>
                              <w:r>
                                <w:rPr>
                                  <w:rFonts w:ascii="標楷體" w:eastAsia="標楷體" w:hAnsi="標楷體" w:hint="eastAsia"/>
                                  <w:color w:val="000000"/>
                                  <w:sz w:val="20"/>
                                </w:rPr>
                                <w:t>）</w:t>
                              </w:r>
                            </w:p>
                          </w:tc>
                          <w:tc>
                            <w:tcPr>
                              <w:tcW w:w="3544" w:type="dxa"/>
                              <w:shd w:val="clear" w:color="auto" w:fill="auto"/>
                            </w:tcPr>
                            <w:p w14:paraId="670DC0BA" w14:textId="77777777" w:rsidR="00CE57F9" w:rsidRPr="008445D4" w:rsidRDefault="00CE57F9" w:rsidP="00B410F1">
                              <w:pPr>
                                <w:overflowPunct w:val="0"/>
                                <w:snapToGrid w:val="0"/>
                                <w:spacing w:line="240" w:lineRule="exact"/>
                                <w:jc w:val="both"/>
                                <w:rPr>
                                  <w:rFonts w:ascii="標楷體" w:eastAsia="標楷體" w:hAnsi="標楷體"/>
                                  <w:color w:val="000000"/>
                                  <w:sz w:val="20"/>
                                </w:rPr>
                              </w:pPr>
                              <w:r w:rsidRPr="008445D4">
                                <w:rPr>
                                  <w:rFonts w:ascii="標楷體" w:eastAsia="標楷體" w:hAnsi="標楷體" w:hint="eastAsia"/>
                                  <w:color w:val="000000"/>
                                  <w:sz w:val="20"/>
                                </w:rPr>
                                <w:t>非特殊或巨額採購卻規定特定資格。</w:t>
                              </w:r>
                            </w:p>
                          </w:tc>
                          <w:tc>
                            <w:tcPr>
                              <w:tcW w:w="607" w:type="dxa"/>
                              <w:shd w:val="clear" w:color="auto" w:fill="auto"/>
                              <w:vAlign w:val="center"/>
                            </w:tcPr>
                            <w:p w14:paraId="15A78241"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hint="eastAsia"/>
                                  <w:color w:val="000000"/>
                                  <w:sz w:val="20"/>
                                </w:rPr>
                                <w:t>7</w:t>
                              </w:r>
                            </w:p>
                          </w:tc>
                          <w:tc>
                            <w:tcPr>
                              <w:tcW w:w="948" w:type="dxa"/>
                              <w:shd w:val="clear" w:color="auto" w:fill="auto"/>
                              <w:vAlign w:val="center"/>
                            </w:tcPr>
                            <w:p w14:paraId="563CB38E"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color w:val="000000"/>
                                  <w:sz w:val="20"/>
                                </w:rPr>
                                <w:t>30</w:t>
                              </w:r>
                              <w:r w:rsidRPr="008445D4">
                                <w:rPr>
                                  <w:rFonts w:ascii="標楷體" w:eastAsia="標楷體" w:hAnsi="標楷體" w:hint="eastAsia"/>
                                  <w:color w:val="000000"/>
                                  <w:sz w:val="20"/>
                                </w:rPr>
                                <w:t>,</w:t>
                              </w:r>
                              <w:r w:rsidRPr="008445D4">
                                <w:rPr>
                                  <w:rFonts w:ascii="標楷體" w:eastAsia="標楷體" w:hAnsi="標楷體"/>
                                  <w:color w:val="000000"/>
                                  <w:sz w:val="20"/>
                                </w:rPr>
                                <w:t>934</w:t>
                              </w:r>
                            </w:p>
                          </w:tc>
                        </w:tr>
                        <w:tr w:rsidR="00CE57F9" w14:paraId="6BF305FE" w14:textId="77777777" w:rsidTr="007F07D7">
                          <w:trPr>
                            <w:jc w:val="center"/>
                          </w:trPr>
                          <w:tc>
                            <w:tcPr>
                              <w:tcW w:w="426" w:type="dxa"/>
                              <w:shd w:val="clear" w:color="auto" w:fill="auto"/>
                              <w:vAlign w:val="center"/>
                            </w:tcPr>
                            <w:p w14:paraId="1C049A94" w14:textId="77777777" w:rsidR="00CE57F9" w:rsidRPr="008445D4" w:rsidRDefault="00CE57F9" w:rsidP="000628B7">
                              <w:pPr>
                                <w:overflowPunct w:val="0"/>
                                <w:snapToGrid w:val="0"/>
                                <w:spacing w:line="300" w:lineRule="exact"/>
                                <w:jc w:val="center"/>
                                <w:rPr>
                                  <w:rFonts w:ascii="標楷體" w:eastAsia="標楷體" w:hAnsi="標楷體"/>
                                  <w:color w:val="000000"/>
                                  <w:sz w:val="20"/>
                                </w:rPr>
                              </w:pPr>
                              <w:r w:rsidRPr="008445D4">
                                <w:rPr>
                                  <w:rFonts w:ascii="標楷體" w:eastAsia="標楷體" w:hAnsi="標楷體" w:hint="eastAsia"/>
                                  <w:color w:val="000000"/>
                                  <w:sz w:val="20"/>
                                </w:rPr>
                                <w:t>5</w:t>
                              </w:r>
                            </w:p>
                          </w:tc>
                          <w:tc>
                            <w:tcPr>
                              <w:tcW w:w="850" w:type="dxa"/>
                              <w:shd w:val="clear" w:color="auto" w:fill="auto"/>
                              <w:vAlign w:val="center"/>
                            </w:tcPr>
                            <w:p w14:paraId="77AAF21C" w14:textId="77777777" w:rsidR="00CE57F9" w:rsidRPr="008445D4" w:rsidRDefault="00CE57F9" w:rsidP="000628B7">
                              <w:pPr>
                                <w:overflowPunct w:val="0"/>
                                <w:snapToGrid w:val="0"/>
                                <w:spacing w:line="300" w:lineRule="exact"/>
                                <w:ind w:leftChars="-45" w:rightChars="-45" w:right="-108" w:hangingChars="54" w:hanging="108"/>
                                <w:jc w:val="center"/>
                                <w:rPr>
                                  <w:rFonts w:ascii="標楷體" w:eastAsia="標楷體" w:hAnsi="標楷體"/>
                                  <w:color w:val="000000"/>
                                  <w:sz w:val="20"/>
                                </w:rPr>
                              </w:pPr>
                              <w:r>
                                <w:rPr>
                                  <w:rFonts w:ascii="標楷體" w:eastAsia="標楷體" w:hAnsi="標楷體" w:hint="eastAsia"/>
                                  <w:color w:val="000000"/>
                                  <w:sz w:val="20"/>
                                </w:rPr>
                                <w:t>（</w:t>
                              </w:r>
                              <w:r w:rsidRPr="008445D4">
                                <w:rPr>
                                  <w:rFonts w:ascii="標楷體" w:eastAsia="標楷體" w:hAnsi="標楷體" w:hint="eastAsia"/>
                                  <w:color w:val="000000"/>
                                  <w:sz w:val="20"/>
                                </w:rPr>
                                <w:t>一</w:t>
                              </w:r>
                              <w:r>
                                <w:rPr>
                                  <w:rFonts w:ascii="標楷體" w:eastAsia="標楷體" w:hAnsi="標楷體" w:hint="eastAsia"/>
                                  <w:color w:val="000000"/>
                                  <w:sz w:val="20"/>
                                </w:rPr>
                                <w:t>）</w:t>
                              </w:r>
                            </w:p>
                          </w:tc>
                          <w:tc>
                            <w:tcPr>
                              <w:tcW w:w="3544" w:type="dxa"/>
                              <w:shd w:val="clear" w:color="auto" w:fill="auto"/>
                            </w:tcPr>
                            <w:p w14:paraId="74170DE9" w14:textId="77777777" w:rsidR="00CE57F9" w:rsidRPr="008445D4" w:rsidRDefault="00CE57F9" w:rsidP="00B410F1">
                              <w:pPr>
                                <w:overflowPunct w:val="0"/>
                                <w:snapToGrid w:val="0"/>
                                <w:spacing w:line="240" w:lineRule="exact"/>
                                <w:jc w:val="both"/>
                                <w:rPr>
                                  <w:rFonts w:ascii="標楷體" w:eastAsia="標楷體" w:hAnsi="標楷體"/>
                                  <w:color w:val="000000"/>
                                  <w:sz w:val="20"/>
                                </w:rPr>
                              </w:pPr>
                              <w:r w:rsidRPr="008445D4">
                                <w:rPr>
                                  <w:rFonts w:ascii="標楷體" w:eastAsia="標楷體" w:hAnsi="標楷體" w:hint="eastAsia"/>
                                  <w:color w:val="000000"/>
                                  <w:sz w:val="20"/>
                                </w:rPr>
                                <w:t>訂定之廠商資格為特殊或巨額採購認定標</w:t>
                              </w:r>
                              <w:r w:rsidRPr="00B410F1">
                                <w:rPr>
                                  <w:rFonts w:ascii="標楷體" w:eastAsia="標楷體" w:hAnsi="標楷體" w:hint="eastAsia"/>
                                  <w:color w:val="000000"/>
                                  <w:spacing w:val="4"/>
                                  <w:sz w:val="20"/>
                                </w:rPr>
                                <w:t>準所無或違反或較該標準更嚴格之規定。</w:t>
                              </w:r>
                            </w:p>
                          </w:tc>
                          <w:tc>
                            <w:tcPr>
                              <w:tcW w:w="607" w:type="dxa"/>
                              <w:shd w:val="clear" w:color="auto" w:fill="auto"/>
                              <w:vAlign w:val="center"/>
                            </w:tcPr>
                            <w:p w14:paraId="337D99A8"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hint="eastAsia"/>
                                  <w:color w:val="000000"/>
                                  <w:sz w:val="20"/>
                                </w:rPr>
                                <w:t>2</w:t>
                              </w:r>
                            </w:p>
                          </w:tc>
                          <w:tc>
                            <w:tcPr>
                              <w:tcW w:w="948" w:type="dxa"/>
                              <w:shd w:val="clear" w:color="auto" w:fill="auto"/>
                              <w:vAlign w:val="center"/>
                            </w:tcPr>
                            <w:p w14:paraId="747C9F2A"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color w:val="000000"/>
                                  <w:sz w:val="20"/>
                                </w:rPr>
                                <w:t>2</w:t>
                              </w:r>
                              <w:r w:rsidRPr="008445D4">
                                <w:rPr>
                                  <w:rFonts w:ascii="標楷體" w:eastAsia="標楷體" w:hAnsi="標楷體" w:hint="eastAsia"/>
                                  <w:color w:val="000000"/>
                                  <w:sz w:val="20"/>
                                </w:rPr>
                                <w:t>,</w:t>
                              </w:r>
                              <w:r w:rsidRPr="008445D4">
                                <w:rPr>
                                  <w:rFonts w:ascii="標楷體" w:eastAsia="標楷體" w:hAnsi="標楷體"/>
                                  <w:color w:val="000000"/>
                                  <w:sz w:val="20"/>
                                </w:rPr>
                                <w:t>890</w:t>
                              </w:r>
                            </w:p>
                          </w:tc>
                        </w:tr>
                        <w:tr w:rsidR="00CE57F9" w14:paraId="5D6EB147" w14:textId="77777777" w:rsidTr="007F07D7">
                          <w:trPr>
                            <w:jc w:val="center"/>
                          </w:trPr>
                          <w:tc>
                            <w:tcPr>
                              <w:tcW w:w="426" w:type="dxa"/>
                              <w:shd w:val="clear" w:color="auto" w:fill="auto"/>
                              <w:vAlign w:val="center"/>
                            </w:tcPr>
                            <w:p w14:paraId="6539C54D" w14:textId="77777777" w:rsidR="00CE57F9" w:rsidRPr="008445D4" w:rsidRDefault="00CE57F9" w:rsidP="000628B7">
                              <w:pPr>
                                <w:overflowPunct w:val="0"/>
                                <w:snapToGrid w:val="0"/>
                                <w:spacing w:line="300" w:lineRule="exact"/>
                                <w:jc w:val="center"/>
                                <w:rPr>
                                  <w:rFonts w:ascii="標楷體" w:eastAsia="標楷體" w:hAnsi="標楷體"/>
                                  <w:color w:val="000000"/>
                                  <w:sz w:val="20"/>
                                </w:rPr>
                              </w:pPr>
                              <w:r w:rsidRPr="008445D4">
                                <w:rPr>
                                  <w:rFonts w:ascii="標楷體" w:eastAsia="標楷體" w:hAnsi="標楷體" w:hint="eastAsia"/>
                                  <w:color w:val="000000"/>
                                  <w:sz w:val="20"/>
                                </w:rPr>
                                <w:t>6</w:t>
                              </w:r>
                            </w:p>
                          </w:tc>
                          <w:tc>
                            <w:tcPr>
                              <w:tcW w:w="850" w:type="dxa"/>
                              <w:shd w:val="clear" w:color="auto" w:fill="auto"/>
                              <w:vAlign w:val="center"/>
                            </w:tcPr>
                            <w:p w14:paraId="745307B1" w14:textId="77777777" w:rsidR="00CE57F9" w:rsidRPr="008445D4" w:rsidRDefault="00CE57F9" w:rsidP="000628B7">
                              <w:pPr>
                                <w:overflowPunct w:val="0"/>
                                <w:snapToGrid w:val="0"/>
                                <w:spacing w:line="300" w:lineRule="exact"/>
                                <w:ind w:leftChars="-45" w:rightChars="-45" w:right="-108" w:hangingChars="54" w:hanging="108"/>
                                <w:jc w:val="center"/>
                                <w:rPr>
                                  <w:rFonts w:ascii="標楷體" w:eastAsia="標楷體" w:hAnsi="標楷體"/>
                                  <w:color w:val="000000"/>
                                  <w:sz w:val="20"/>
                                </w:rPr>
                              </w:pPr>
                              <w:r>
                                <w:rPr>
                                  <w:rFonts w:ascii="標楷體" w:eastAsia="標楷體" w:hAnsi="標楷體" w:hint="eastAsia"/>
                                  <w:color w:val="000000"/>
                                  <w:sz w:val="20"/>
                                </w:rPr>
                                <w:t>（</w:t>
                              </w:r>
                              <w:r w:rsidRPr="008445D4">
                                <w:rPr>
                                  <w:rFonts w:ascii="標楷體" w:eastAsia="標楷體" w:hAnsi="標楷體" w:hint="eastAsia"/>
                                  <w:color w:val="000000"/>
                                  <w:sz w:val="20"/>
                                </w:rPr>
                                <w:t>十四</w:t>
                              </w:r>
                              <w:r>
                                <w:rPr>
                                  <w:rFonts w:ascii="標楷體" w:eastAsia="標楷體" w:hAnsi="標楷體" w:hint="eastAsia"/>
                                  <w:color w:val="000000"/>
                                  <w:sz w:val="20"/>
                                </w:rPr>
                                <w:t>）</w:t>
                              </w:r>
                            </w:p>
                          </w:tc>
                          <w:tc>
                            <w:tcPr>
                              <w:tcW w:w="3544" w:type="dxa"/>
                              <w:shd w:val="clear" w:color="auto" w:fill="auto"/>
                            </w:tcPr>
                            <w:p w14:paraId="305B00A5" w14:textId="77777777" w:rsidR="00CE57F9" w:rsidRPr="008445D4" w:rsidRDefault="00CE57F9" w:rsidP="00B410F1">
                              <w:pPr>
                                <w:overflowPunct w:val="0"/>
                                <w:snapToGrid w:val="0"/>
                                <w:spacing w:line="240" w:lineRule="exact"/>
                                <w:jc w:val="both"/>
                                <w:rPr>
                                  <w:rFonts w:ascii="標楷體" w:eastAsia="標楷體" w:hAnsi="標楷體"/>
                                  <w:color w:val="000000"/>
                                  <w:sz w:val="20"/>
                                </w:rPr>
                              </w:pPr>
                              <w:r w:rsidRPr="008445D4">
                                <w:rPr>
                                  <w:rFonts w:ascii="標楷體" w:eastAsia="標楷體" w:hAnsi="標楷體" w:hint="eastAsia"/>
                                  <w:color w:val="000000"/>
                                  <w:sz w:val="20"/>
                                </w:rPr>
                                <w:t>投標當時即必須於指定地區設有分公司或維護站。</w:t>
                              </w:r>
                            </w:p>
                          </w:tc>
                          <w:tc>
                            <w:tcPr>
                              <w:tcW w:w="607" w:type="dxa"/>
                              <w:shd w:val="clear" w:color="auto" w:fill="auto"/>
                              <w:vAlign w:val="center"/>
                            </w:tcPr>
                            <w:p w14:paraId="2E3490C9"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hint="eastAsia"/>
                                  <w:color w:val="000000"/>
                                  <w:sz w:val="20"/>
                                </w:rPr>
                                <w:t>2</w:t>
                              </w:r>
                            </w:p>
                          </w:tc>
                          <w:tc>
                            <w:tcPr>
                              <w:tcW w:w="948" w:type="dxa"/>
                              <w:shd w:val="clear" w:color="auto" w:fill="auto"/>
                              <w:vAlign w:val="center"/>
                            </w:tcPr>
                            <w:p w14:paraId="31A33681"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color w:val="000000"/>
                                  <w:sz w:val="20"/>
                                </w:rPr>
                                <w:t>3</w:t>
                              </w:r>
                              <w:r w:rsidRPr="008445D4">
                                <w:rPr>
                                  <w:rFonts w:ascii="標楷體" w:eastAsia="標楷體" w:hAnsi="標楷體" w:hint="eastAsia"/>
                                  <w:color w:val="000000"/>
                                  <w:sz w:val="20"/>
                                </w:rPr>
                                <w:t>,</w:t>
                              </w:r>
                              <w:r w:rsidRPr="008445D4">
                                <w:rPr>
                                  <w:rFonts w:ascii="標楷體" w:eastAsia="標楷體" w:hAnsi="標楷體"/>
                                  <w:color w:val="000000"/>
                                  <w:sz w:val="20"/>
                                </w:rPr>
                                <w:t>428</w:t>
                              </w:r>
                            </w:p>
                          </w:tc>
                        </w:tr>
                        <w:tr w:rsidR="00CE57F9" w14:paraId="271CDD7F" w14:textId="77777777" w:rsidTr="007F07D7">
                          <w:trPr>
                            <w:jc w:val="center"/>
                          </w:trPr>
                          <w:tc>
                            <w:tcPr>
                              <w:tcW w:w="426" w:type="dxa"/>
                              <w:shd w:val="clear" w:color="auto" w:fill="auto"/>
                              <w:vAlign w:val="center"/>
                            </w:tcPr>
                            <w:p w14:paraId="7A93D664" w14:textId="77777777" w:rsidR="00CE57F9" w:rsidRPr="008445D4" w:rsidRDefault="00CE57F9" w:rsidP="000628B7">
                              <w:pPr>
                                <w:overflowPunct w:val="0"/>
                                <w:snapToGrid w:val="0"/>
                                <w:spacing w:line="300" w:lineRule="exact"/>
                                <w:jc w:val="center"/>
                                <w:rPr>
                                  <w:rFonts w:ascii="標楷體" w:eastAsia="標楷體" w:hAnsi="標楷體"/>
                                  <w:color w:val="000000"/>
                                  <w:sz w:val="20"/>
                                </w:rPr>
                              </w:pPr>
                              <w:r w:rsidRPr="008445D4">
                                <w:rPr>
                                  <w:rFonts w:ascii="標楷體" w:eastAsia="標楷體" w:hAnsi="標楷體" w:hint="eastAsia"/>
                                  <w:color w:val="000000"/>
                                  <w:sz w:val="20"/>
                                </w:rPr>
                                <w:t>7</w:t>
                              </w:r>
                            </w:p>
                          </w:tc>
                          <w:tc>
                            <w:tcPr>
                              <w:tcW w:w="850" w:type="dxa"/>
                              <w:shd w:val="clear" w:color="auto" w:fill="auto"/>
                              <w:vAlign w:val="center"/>
                            </w:tcPr>
                            <w:p w14:paraId="1494C639" w14:textId="77777777" w:rsidR="00CE57F9" w:rsidRPr="008445D4" w:rsidRDefault="00CE57F9" w:rsidP="000628B7">
                              <w:pPr>
                                <w:overflowPunct w:val="0"/>
                                <w:snapToGrid w:val="0"/>
                                <w:spacing w:line="300" w:lineRule="exact"/>
                                <w:ind w:leftChars="-45" w:rightChars="-45" w:right="-108" w:hangingChars="54" w:hanging="108"/>
                                <w:jc w:val="center"/>
                                <w:rPr>
                                  <w:rFonts w:ascii="標楷體" w:eastAsia="標楷體" w:hAnsi="標楷體"/>
                                  <w:color w:val="000000"/>
                                  <w:sz w:val="20"/>
                                </w:rPr>
                              </w:pPr>
                              <w:r>
                                <w:rPr>
                                  <w:rFonts w:ascii="標楷體" w:eastAsia="標楷體" w:hAnsi="標楷體" w:hint="eastAsia"/>
                                  <w:color w:val="000000"/>
                                  <w:sz w:val="20"/>
                                </w:rPr>
                                <w:t>（</w:t>
                              </w:r>
                              <w:r w:rsidRPr="008445D4">
                                <w:rPr>
                                  <w:rFonts w:ascii="標楷體" w:eastAsia="標楷體" w:hAnsi="標楷體" w:hint="eastAsia"/>
                                  <w:color w:val="000000"/>
                                  <w:sz w:val="20"/>
                                </w:rPr>
                                <w:t>十三</w:t>
                              </w:r>
                              <w:r>
                                <w:rPr>
                                  <w:rFonts w:ascii="標楷體" w:eastAsia="標楷體" w:hAnsi="標楷體" w:hint="eastAsia"/>
                                  <w:color w:val="000000"/>
                                  <w:sz w:val="20"/>
                                </w:rPr>
                                <w:t>）</w:t>
                              </w:r>
                            </w:p>
                          </w:tc>
                          <w:tc>
                            <w:tcPr>
                              <w:tcW w:w="3544" w:type="dxa"/>
                              <w:shd w:val="clear" w:color="auto" w:fill="auto"/>
                            </w:tcPr>
                            <w:p w14:paraId="2A8530FB" w14:textId="77777777" w:rsidR="00CE57F9" w:rsidRPr="008445D4" w:rsidRDefault="00CE57F9" w:rsidP="00B410F1">
                              <w:pPr>
                                <w:overflowPunct w:val="0"/>
                                <w:snapToGrid w:val="0"/>
                                <w:spacing w:line="240" w:lineRule="exact"/>
                                <w:jc w:val="both"/>
                                <w:rPr>
                                  <w:rFonts w:ascii="標楷體" w:eastAsia="標楷體" w:hAnsi="標楷體"/>
                                  <w:color w:val="000000"/>
                                  <w:sz w:val="20"/>
                                </w:rPr>
                              </w:pPr>
                              <w:r w:rsidRPr="008445D4">
                                <w:rPr>
                                  <w:rFonts w:ascii="標楷體" w:eastAsia="標楷體" w:hAnsi="標楷體" w:hint="eastAsia"/>
                                  <w:color w:val="000000"/>
                                  <w:sz w:val="20"/>
                                </w:rPr>
                                <w:t>非屬特殊或巨額採購，限取得ISO9000系列驗證者。</w:t>
                              </w:r>
                            </w:p>
                          </w:tc>
                          <w:tc>
                            <w:tcPr>
                              <w:tcW w:w="607" w:type="dxa"/>
                              <w:shd w:val="clear" w:color="auto" w:fill="auto"/>
                              <w:vAlign w:val="center"/>
                            </w:tcPr>
                            <w:p w14:paraId="52B4D078"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hint="eastAsia"/>
                                  <w:color w:val="000000"/>
                                  <w:sz w:val="20"/>
                                </w:rPr>
                                <w:t>1</w:t>
                              </w:r>
                            </w:p>
                          </w:tc>
                          <w:tc>
                            <w:tcPr>
                              <w:tcW w:w="948" w:type="dxa"/>
                              <w:shd w:val="clear" w:color="auto" w:fill="auto"/>
                              <w:vAlign w:val="center"/>
                            </w:tcPr>
                            <w:p w14:paraId="7DAE69C6" w14:textId="77777777" w:rsidR="00CE57F9" w:rsidRPr="008445D4" w:rsidRDefault="00CE57F9" w:rsidP="000628B7">
                              <w:pPr>
                                <w:overflowPunct w:val="0"/>
                                <w:snapToGrid w:val="0"/>
                                <w:spacing w:line="300" w:lineRule="exact"/>
                                <w:jc w:val="right"/>
                                <w:rPr>
                                  <w:rFonts w:ascii="標楷體" w:eastAsia="標楷體" w:hAnsi="標楷體"/>
                                  <w:color w:val="000000"/>
                                  <w:sz w:val="20"/>
                                </w:rPr>
                              </w:pPr>
                              <w:r w:rsidRPr="008445D4">
                                <w:rPr>
                                  <w:rFonts w:ascii="標楷體" w:eastAsia="標楷體" w:hAnsi="標楷體"/>
                                  <w:color w:val="000000"/>
                                  <w:sz w:val="20"/>
                                </w:rPr>
                                <w:t>1</w:t>
                              </w:r>
                              <w:r w:rsidRPr="008445D4">
                                <w:rPr>
                                  <w:rFonts w:ascii="標楷體" w:eastAsia="標楷體" w:hAnsi="標楷體" w:hint="eastAsia"/>
                                  <w:color w:val="000000"/>
                                  <w:sz w:val="20"/>
                                </w:rPr>
                                <w:t>,</w:t>
                              </w:r>
                              <w:r w:rsidRPr="008445D4">
                                <w:rPr>
                                  <w:rFonts w:ascii="標楷體" w:eastAsia="標楷體" w:hAnsi="標楷體"/>
                                  <w:color w:val="000000"/>
                                  <w:sz w:val="20"/>
                                </w:rPr>
                                <w:t>310</w:t>
                              </w:r>
                            </w:p>
                          </w:tc>
                        </w:tr>
                      </w:tbl>
                      <w:p w14:paraId="196A21B0" w14:textId="77777777" w:rsidR="00CE57F9" w:rsidRPr="008920EB" w:rsidRDefault="00CE57F9" w:rsidP="007F07D7">
                        <w:pPr>
                          <w:snapToGrid w:val="0"/>
                          <w:spacing w:line="240" w:lineRule="exact"/>
                          <w:ind w:leftChars="10" w:left="852" w:hangingChars="460" w:hanging="828"/>
                          <w:jc w:val="both"/>
                          <w:rPr>
                            <w:rFonts w:ascii="標楷體" w:eastAsia="標楷體" w:hAnsi="標楷體"/>
                            <w:bCs/>
                            <w:snapToGrid w:val="0"/>
                            <w:sz w:val="18"/>
                            <w:szCs w:val="18"/>
                          </w:rPr>
                        </w:pPr>
                        <w:r w:rsidRPr="00F71D74">
                          <w:rPr>
                            <w:rFonts w:ascii="標楷體" w:eastAsia="標楷體" w:hAnsi="標楷體"/>
                            <w:bCs/>
                            <w:snapToGrid w:val="0"/>
                            <w:sz w:val="18"/>
                            <w:szCs w:val="18"/>
                          </w:rPr>
                          <w:t>資料來源：</w:t>
                        </w:r>
                        <w:r>
                          <w:rPr>
                            <w:rFonts w:ascii="標楷體" w:eastAsia="標楷體" w:hAnsi="標楷體" w:hint="eastAsia"/>
                            <w:bCs/>
                            <w:snapToGrid w:val="0"/>
                            <w:sz w:val="18"/>
                            <w:szCs w:val="18"/>
                          </w:rPr>
                          <w:t>整理自1</w:t>
                        </w:r>
                        <w:r>
                          <w:rPr>
                            <w:rFonts w:ascii="標楷體" w:eastAsia="標楷體" w:hAnsi="標楷體"/>
                            <w:bCs/>
                            <w:snapToGrid w:val="0"/>
                            <w:sz w:val="18"/>
                            <w:szCs w:val="18"/>
                          </w:rPr>
                          <w:t>09年9月14日修正發布之政府採</w:t>
                        </w:r>
                        <w:r w:rsidRPr="004742FF">
                          <w:rPr>
                            <w:rFonts w:ascii="標楷體" w:eastAsia="標楷體" w:hAnsi="標楷體"/>
                            <w:bCs/>
                            <w:snapToGrid w:val="0"/>
                            <w:spacing w:val="4"/>
                            <w:sz w:val="18"/>
                            <w:szCs w:val="18"/>
                          </w:rPr>
                          <w:t>購</w:t>
                        </w:r>
                        <w:r w:rsidRPr="004742FF">
                          <w:rPr>
                            <w:rFonts w:ascii="標楷體" w:eastAsia="標楷體" w:hAnsi="標楷體" w:hint="eastAsia"/>
                            <w:bCs/>
                            <w:snapToGrid w:val="0"/>
                            <w:spacing w:val="4"/>
                            <w:sz w:val="18"/>
                            <w:szCs w:val="18"/>
                          </w:rPr>
                          <w:t>錯誤</w:t>
                        </w:r>
                        <w:r w:rsidRPr="004742FF">
                          <w:rPr>
                            <w:rFonts w:ascii="標楷體" w:eastAsia="標楷體" w:hAnsi="標楷體"/>
                            <w:bCs/>
                            <w:snapToGrid w:val="0"/>
                            <w:spacing w:val="4"/>
                            <w:sz w:val="18"/>
                            <w:szCs w:val="18"/>
                          </w:rPr>
                          <w:t>行為態樣及本部調查結果。</w:t>
                        </w:r>
                      </w:p>
                    </w:txbxContent>
                  </v:textbox>
                </v:shape>
                <w10:wrap type="square"/>
              </v:group>
            </w:pict>
          </mc:Fallback>
        </mc:AlternateContent>
      </w:r>
      <w:r w:rsidRPr="00E8164A">
        <w:rPr>
          <w:rFonts w:ascii="標楷體" w:eastAsia="標楷體" w:hAnsi="標楷體" w:hint="eastAsia"/>
          <w:bCs/>
          <w:snapToGrid w:val="0"/>
          <w:color w:val="000000"/>
          <w:szCs w:val="24"/>
        </w:rPr>
        <w:t>別隸屬於司法院等14個中央</w:t>
      </w:r>
      <w:r w:rsidRPr="00DA2751">
        <w:rPr>
          <w:rFonts w:ascii="標楷體" w:eastAsia="標楷體" w:hAnsi="標楷體" w:hint="eastAsia"/>
          <w:bCs/>
          <w:snapToGrid w:val="0"/>
          <w:color w:val="000000"/>
          <w:spacing w:val="-2"/>
          <w:szCs w:val="24"/>
        </w:rPr>
        <w:t>主管機關；屬地方機關辦理者，計</w:t>
      </w:r>
      <w:r w:rsidRPr="00DA2751">
        <w:rPr>
          <w:rFonts w:ascii="標楷體" w:eastAsia="標楷體" w:hAnsi="標楷體"/>
          <w:bCs/>
          <w:snapToGrid w:val="0"/>
          <w:color w:val="000000"/>
          <w:spacing w:val="-2"/>
          <w:szCs w:val="24"/>
        </w:rPr>
        <w:t>38個機關共53件採購案，總</w:t>
      </w:r>
      <w:r w:rsidRPr="00DA2751">
        <w:rPr>
          <w:rFonts w:ascii="標楷體" w:eastAsia="標楷體" w:hAnsi="標楷體" w:hint="eastAsia"/>
          <w:bCs/>
          <w:snapToGrid w:val="0"/>
          <w:color w:val="000000"/>
          <w:spacing w:val="-2"/>
          <w:szCs w:val="24"/>
        </w:rPr>
        <w:t>決標金額</w:t>
      </w:r>
      <w:r w:rsidRPr="00DA2751">
        <w:rPr>
          <w:rFonts w:ascii="標楷體" w:eastAsia="標楷體" w:hAnsi="標楷體"/>
          <w:bCs/>
          <w:snapToGrid w:val="0"/>
          <w:color w:val="000000"/>
          <w:spacing w:val="-2"/>
          <w:szCs w:val="24"/>
        </w:rPr>
        <w:t>1億2,</w:t>
      </w:r>
      <w:r w:rsidRPr="00346BDD">
        <w:rPr>
          <w:rFonts w:ascii="標楷體" w:eastAsia="標楷體" w:hAnsi="標楷體"/>
          <w:bCs/>
          <w:snapToGrid w:val="0"/>
          <w:color w:val="000000"/>
          <w:spacing w:val="-2"/>
          <w:szCs w:val="24"/>
        </w:rPr>
        <w:t>554</w:t>
      </w:r>
      <w:r w:rsidRPr="00346BDD">
        <w:rPr>
          <w:rFonts w:ascii="標楷體" w:eastAsia="標楷體" w:hAnsi="標楷體" w:hint="eastAsia"/>
          <w:bCs/>
          <w:snapToGrid w:val="0"/>
          <w:color w:val="000000"/>
          <w:spacing w:val="-2"/>
          <w:szCs w:val="24"/>
        </w:rPr>
        <w:t>萬餘元，分別隸屬於臺北市等</w:t>
      </w:r>
      <w:r w:rsidRPr="00346BDD">
        <w:rPr>
          <w:rFonts w:ascii="標楷體" w:eastAsia="標楷體" w:hAnsi="標楷體"/>
          <w:bCs/>
          <w:snapToGrid w:val="0"/>
          <w:color w:val="000000"/>
          <w:spacing w:val="-2"/>
          <w:szCs w:val="24"/>
        </w:rPr>
        <w:t>14個地方主管機關（</w:t>
      </w:r>
      <w:r w:rsidRPr="00346BDD">
        <w:rPr>
          <w:rFonts w:ascii="標楷體" w:eastAsia="標楷體" w:hAnsi="標楷體" w:hint="eastAsia"/>
          <w:bCs/>
          <w:snapToGrid w:val="0"/>
          <w:color w:val="000000"/>
          <w:spacing w:val="-2"/>
          <w:szCs w:val="24"/>
        </w:rPr>
        <w:t>表</w:t>
      </w:r>
      <w:r w:rsidR="005A1944" w:rsidRPr="00346BDD">
        <w:rPr>
          <w:rFonts w:ascii="標楷體" w:eastAsia="標楷體" w:hAnsi="標楷體"/>
          <w:bCs/>
          <w:snapToGrid w:val="0"/>
          <w:color w:val="000000"/>
          <w:spacing w:val="-2"/>
          <w:szCs w:val="24"/>
        </w:rPr>
        <w:t>2</w:t>
      </w:r>
      <w:r w:rsidR="00B729E6" w:rsidRPr="00346BDD">
        <w:rPr>
          <w:rFonts w:ascii="標楷體" w:eastAsia="標楷體" w:hAnsi="標楷體"/>
          <w:bCs/>
          <w:snapToGrid w:val="0"/>
          <w:color w:val="000000"/>
          <w:spacing w:val="-2"/>
          <w:szCs w:val="24"/>
        </w:rPr>
        <w:t>6</w:t>
      </w:r>
      <w:r w:rsidRPr="00346BDD">
        <w:rPr>
          <w:rFonts w:ascii="標楷體" w:eastAsia="標楷體" w:hAnsi="標楷體" w:hint="eastAsia"/>
          <w:bCs/>
          <w:snapToGrid w:val="0"/>
          <w:color w:val="000000"/>
          <w:spacing w:val="-2"/>
          <w:szCs w:val="24"/>
        </w:rPr>
        <w:t>）。</w:t>
      </w:r>
      <w:r w:rsidRPr="00346BDD">
        <w:rPr>
          <w:rFonts w:ascii="標楷體" w:eastAsia="標楷體" w:hAnsi="標楷體" w:hint="eastAsia"/>
          <w:color w:val="000000"/>
          <w:spacing w:val="-2"/>
          <w:szCs w:val="24"/>
        </w:rPr>
        <w:t>相關錯誤行為態樣，舉如：「限非屬法規規定之團體之會員方可投標」者計</w:t>
      </w:r>
      <w:r w:rsidRPr="00346BDD">
        <w:rPr>
          <w:rFonts w:ascii="標楷體" w:eastAsia="標楷體" w:hAnsi="標楷體"/>
          <w:color w:val="000000"/>
          <w:spacing w:val="-2"/>
          <w:szCs w:val="24"/>
        </w:rPr>
        <w:t>84件</w:t>
      </w:r>
      <w:r w:rsidRPr="00DA2751">
        <w:rPr>
          <w:rFonts w:ascii="標楷體" w:eastAsia="標楷體" w:hAnsi="標楷體"/>
          <w:color w:val="000000"/>
          <w:spacing w:val="-2"/>
          <w:szCs w:val="24"/>
        </w:rPr>
        <w:t>；「投標時須檢附原廠製造證明、原廠代理證明、原廠願意供應證明、原廠品質保證書」者</w:t>
      </w:r>
      <w:r w:rsidRPr="00E8164A">
        <w:rPr>
          <w:rFonts w:ascii="標楷體" w:eastAsia="標楷體" w:hAnsi="標楷體" w:hint="eastAsia"/>
          <w:color w:val="000000"/>
          <w:szCs w:val="24"/>
        </w:rPr>
        <w:t>，計31</w:t>
      </w:r>
      <w:r w:rsidRPr="00A11AB9">
        <w:rPr>
          <w:rFonts w:ascii="標楷體" w:eastAsia="標楷體" w:hAnsi="標楷體" w:hint="eastAsia"/>
          <w:color w:val="000000"/>
          <w:szCs w:val="24"/>
        </w:rPr>
        <w:t>件</w:t>
      </w:r>
      <w:r w:rsidRPr="00E8164A">
        <w:rPr>
          <w:rFonts w:ascii="標楷體" w:eastAsia="標楷體" w:hAnsi="標楷體" w:hint="eastAsia"/>
          <w:color w:val="000000"/>
          <w:szCs w:val="24"/>
        </w:rPr>
        <w:t>等</w:t>
      </w:r>
      <w:r w:rsidRPr="00346BDD">
        <w:rPr>
          <w:rFonts w:ascii="標楷體" w:eastAsia="標楷體" w:hAnsi="標楷體" w:hint="eastAsia"/>
          <w:bCs/>
          <w:snapToGrid w:val="0"/>
          <w:color w:val="000000"/>
          <w:szCs w:val="24"/>
        </w:rPr>
        <w:t>（表</w:t>
      </w:r>
      <w:r w:rsidRPr="00346BDD">
        <w:rPr>
          <w:rFonts w:ascii="標楷體" w:eastAsia="標楷體" w:hAnsi="標楷體"/>
          <w:bCs/>
          <w:snapToGrid w:val="0"/>
          <w:color w:val="000000"/>
          <w:szCs w:val="24"/>
        </w:rPr>
        <w:t>2</w:t>
      </w:r>
      <w:r w:rsidR="00B729E6" w:rsidRPr="00346BDD">
        <w:rPr>
          <w:rFonts w:ascii="標楷體" w:eastAsia="標楷體" w:hAnsi="標楷體"/>
          <w:bCs/>
          <w:snapToGrid w:val="0"/>
          <w:color w:val="000000"/>
          <w:szCs w:val="24"/>
        </w:rPr>
        <w:t>7</w:t>
      </w:r>
      <w:r w:rsidRPr="00346BDD">
        <w:rPr>
          <w:rFonts w:ascii="標楷體" w:eastAsia="標楷體" w:hAnsi="標楷體" w:hint="eastAsia"/>
          <w:bCs/>
          <w:snapToGrid w:val="0"/>
          <w:color w:val="000000"/>
          <w:szCs w:val="24"/>
        </w:rPr>
        <w:t>）</w:t>
      </w:r>
      <w:r w:rsidRPr="00A11AB9">
        <w:rPr>
          <w:rFonts w:ascii="標楷體" w:eastAsia="標楷體" w:hAnsi="標楷體" w:hint="eastAsia"/>
          <w:bCs/>
          <w:snapToGrid w:val="0"/>
          <w:color w:val="000000"/>
          <w:szCs w:val="24"/>
        </w:rPr>
        <w:t>，</w:t>
      </w:r>
      <w:r w:rsidRPr="00A11AB9">
        <w:rPr>
          <w:rFonts w:ascii="標楷體" w:eastAsia="標楷體" w:hAnsi="標楷體" w:hint="eastAsia"/>
          <w:color w:val="000000"/>
          <w:szCs w:val="24"/>
        </w:rPr>
        <w:t>均</w:t>
      </w:r>
      <w:r w:rsidRPr="00DA2751">
        <w:rPr>
          <w:rFonts w:ascii="標楷體" w:eastAsia="標楷體" w:hAnsi="標楷體" w:hint="eastAsia"/>
          <w:color w:val="000000"/>
          <w:szCs w:val="24"/>
        </w:rPr>
        <w:t>有限制競爭情事，並</w:t>
      </w:r>
      <w:r w:rsidRPr="00E8164A">
        <w:rPr>
          <w:rFonts w:ascii="標楷體" w:eastAsia="標楷體" w:hAnsi="標楷體" w:hint="eastAsia"/>
          <w:color w:val="000000"/>
          <w:szCs w:val="24"/>
        </w:rPr>
        <w:t>衍生</w:t>
      </w:r>
      <w:r w:rsidRPr="00A11AB9">
        <w:rPr>
          <w:rFonts w:ascii="標楷體" w:eastAsia="標楷體" w:hAnsi="標楷體" w:hint="eastAsia"/>
          <w:color w:val="000000"/>
          <w:szCs w:val="24"/>
        </w:rPr>
        <w:t>投標廠商家數不足而多次流標等情，影響採購公平性，經函請</w:t>
      </w:r>
      <w:r w:rsidR="00271BE5" w:rsidRPr="00334B6E">
        <w:rPr>
          <w:rFonts w:ascii="標楷體" w:eastAsia="標楷體" w:hAnsi="標楷體" w:hint="eastAsia"/>
          <w:color w:val="000000"/>
          <w:szCs w:val="24"/>
        </w:rPr>
        <w:t>工程會</w:t>
      </w:r>
      <w:r w:rsidRPr="00334B6E">
        <w:rPr>
          <w:rFonts w:ascii="標楷體" w:eastAsia="標楷體" w:hAnsi="標楷體" w:hint="eastAsia"/>
          <w:color w:val="000000"/>
          <w:szCs w:val="24"/>
        </w:rPr>
        <w:t>檢討改善。據復</w:t>
      </w:r>
      <w:r w:rsidRPr="00A11AB9">
        <w:rPr>
          <w:rFonts w:ascii="標楷體" w:eastAsia="標楷體" w:hAnsi="標楷體" w:hint="eastAsia"/>
          <w:color w:val="000000"/>
          <w:szCs w:val="24"/>
        </w:rPr>
        <w:t>：已</w:t>
      </w:r>
      <w:r w:rsidRPr="00A11AB9">
        <w:rPr>
          <w:rFonts w:ascii="標楷體" w:eastAsia="標楷體" w:hAnsi="標楷體" w:cs="標楷體" w:hint="eastAsia"/>
          <w:kern w:val="32"/>
          <w:szCs w:val="24"/>
          <w:lang w:val="zh-TW"/>
        </w:rPr>
        <w:t>研議於「政府電子採購網」新增投</w:t>
      </w:r>
      <w:r w:rsidRPr="00DA2751">
        <w:rPr>
          <w:rFonts w:ascii="標楷體" w:eastAsia="標楷體" w:hAnsi="標楷體" w:cs="標楷體" w:hint="eastAsia"/>
          <w:spacing w:val="-2"/>
          <w:kern w:val="32"/>
          <w:szCs w:val="24"/>
          <w:lang w:val="zh-TW"/>
        </w:rPr>
        <w:t>標廠商資格檢核警示防範錯誤功能；並於</w:t>
      </w:r>
      <w:r w:rsidRPr="00DA2751">
        <w:rPr>
          <w:rFonts w:ascii="標楷體" w:eastAsia="標楷體" w:hAnsi="標楷體" w:cs="標楷體"/>
          <w:spacing w:val="-2"/>
          <w:kern w:val="32"/>
          <w:szCs w:val="24"/>
          <w:lang w:val="zh-TW"/>
        </w:rPr>
        <w:t>112年4月12日函請各中央及地方採購稽核小組就所管監督範圍之採購案件</w:t>
      </w:r>
      <w:r w:rsidRPr="00DA2751">
        <w:rPr>
          <w:rFonts w:ascii="標楷體" w:eastAsia="標楷體" w:hAnsi="標楷體" w:cs="標楷體" w:hint="eastAsia"/>
          <w:spacing w:val="-2"/>
          <w:kern w:val="32"/>
          <w:szCs w:val="24"/>
          <w:lang w:val="zh-TW"/>
        </w:rPr>
        <w:t>，加強稽核監督投標廠商資格訂定，並留意機關辦理涉有資格限制競爭之採購案，其由某特定廠商得標之可能異常情形</w:t>
      </w:r>
      <w:r w:rsidRPr="00DA2751">
        <w:rPr>
          <w:rFonts w:ascii="標楷體" w:eastAsia="標楷體" w:hAnsi="標楷體" w:hint="eastAsia"/>
          <w:color w:val="000000"/>
          <w:spacing w:val="-2"/>
          <w:szCs w:val="24"/>
        </w:rPr>
        <w:t>。</w:t>
      </w:r>
    </w:p>
    <w:p w14:paraId="3D1EF27C" w14:textId="009B26AD" w:rsidR="00B2453C" w:rsidRPr="00DA2751" w:rsidRDefault="00B2453C" w:rsidP="00DA2751">
      <w:pPr>
        <w:pStyle w:val="2"/>
        <w:spacing w:beforeLines="20" w:before="72" w:afterLines="20" w:after="72" w:line="460" w:lineRule="exact"/>
        <w:ind w:left="0" w:firstLineChars="200" w:firstLine="641"/>
        <w:rPr>
          <w:b/>
        </w:rPr>
      </w:pPr>
      <w:r w:rsidRPr="00DA2751">
        <w:rPr>
          <w:rFonts w:hint="eastAsia"/>
          <w:b/>
        </w:rPr>
        <w:lastRenderedPageBreak/>
        <w:t>（三十八）</w:t>
      </w:r>
      <w:r w:rsidR="001D28C2" w:rsidRPr="00997791">
        <w:rPr>
          <w:rFonts w:hAnsi="標楷體" w:hint="eastAsia"/>
          <w:b/>
          <w:sz w:val="28"/>
        </w:rPr>
        <w:t xml:space="preserve">　</w:t>
      </w:r>
      <w:r w:rsidR="00334B6E" w:rsidRPr="00346BDD">
        <w:rPr>
          <w:rFonts w:hAnsi="標楷體" w:hint="eastAsia"/>
          <w:b/>
          <w:sz w:val="28"/>
        </w:rPr>
        <w:t>行政院公共工程委員會為利機關依政府採購法第</w:t>
      </w:r>
      <w:r w:rsidR="00334B6E" w:rsidRPr="00346BDD">
        <w:rPr>
          <w:rFonts w:hAnsi="標楷體"/>
          <w:b/>
          <w:sz w:val="28"/>
        </w:rPr>
        <w:t>58條規定處理總標價低於底價80％之採購案件，已訂定相關執行程序，惟其內容仍未臻明確，不利機關遵循辦理，亟待研謀改善</w:t>
      </w:r>
      <w:r w:rsidRPr="00346BDD">
        <w:rPr>
          <w:b/>
        </w:rPr>
        <w:t>。</w:t>
      </w:r>
    </w:p>
    <w:p w14:paraId="622C8CFE" w14:textId="32791B31" w:rsidR="00B2453C" w:rsidRPr="00DA2751" w:rsidRDefault="00D66F89" w:rsidP="00DA2751">
      <w:pPr>
        <w:widowControl/>
        <w:overflowPunct w:val="0"/>
        <w:spacing w:line="450" w:lineRule="exact"/>
        <w:ind w:firstLineChars="200" w:firstLine="480"/>
        <w:jc w:val="both"/>
        <w:rPr>
          <w:rFonts w:hAnsi="標楷體"/>
          <w:b/>
          <w:sz w:val="28"/>
        </w:rPr>
      </w:pPr>
      <w:r w:rsidRPr="00DA2751">
        <w:rPr>
          <w:rFonts w:ascii="標楷體" w:eastAsia="標楷體" w:hAnsi="標楷體"/>
          <w:bCs/>
          <w:noProof/>
          <w:spacing w:val="-4"/>
          <w:kern w:val="0"/>
          <w:szCs w:val="24"/>
        </w:rPr>
        <mc:AlternateContent>
          <mc:Choice Requires="wps">
            <w:drawing>
              <wp:anchor distT="45720" distB="45720" distL="114300" distR="114300" simplePos="0" relativeHeight="251645440" behindDoc="0" locked="0" layoutInCell="1" allowOverlap="1" wp14:anchorId="00287941" wp14:editId="6A06EFA6">
                <wp:simplePos x="0" y="0"/>
                <wp:positionH relativeFrom="margin">
                  <wp:posOffset>-15875</wp:posOffset>
                </wp:positionH>
                <wp:positionV relativeFrom="paragraph">
                  <wp:posOffset>4458970</wp:posOffset>
                </wp:positionV>
                <wp:extent cx="6323330" cy="3387090"/>
                <wp:effectExtent l="0" t="0" r="1270" b="3810"/>
                <wp:wrapSquare wrapText="bothSides"/>
                <wp:docPr id="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3330" cy="3387090"/>
                        </a:xfrm>
                        <a:prstGeom prst="rect">
                          <a:avLst/>
                        </a:prstGeom>
                        <a:solidFill>
                          <a:srgbClr val="FFFFFF"/>
                        </a:solidFill>
                        <a:ln w="9525">
                          <a:noFill/>
                          <a:miter lim="800000"/>
                          <a:headEnd/>
                          <a:tailEnd/>
                        </a:ln>
                      </wps:spPr>
                      <wps:txbx>
                        <w:txbxContent>
                          <w:p w14:paraId="49AF6E45" w14:textId="72412862" w:rsidR="00CE57F9" w:rsidRDefault="00CE57F9" w:rsidP="00B2453C">
                            <w:pPr>
                              <w:spacing w:line="320" w:lineRule="exact"/>
                              <w:ind w:left="769" w:hangingChars="320" w:hanging="769"/>
                              <w:jc w:val="center"/>
                            </w:pPr>
                            <w:r w:rsidRPr="00DA2751">
                              <w:rPr>
                                <w:rFonts w:ascii="標楷體" w:eastAsia="標楷體" w:hAnsi="標楷體" w:hint="eastAsia"/>
                                <w:b/>
                                <w:kern w:val="0"/>
                                <w:szCs w:val="24"/>
                              </w:rPr>
                              <w:t>表</w:t>
                            </w:r>
                            <w:r w:rsidRPr="00DA2751">
                              <w:rPr>
                                <w:rFonts w:ascii="標楷體" w:eastAsia="標楷體" w:hAnsi="標楷體" w:cs="細明體"/>
                                <w:b/>
                                <w:kern w:val="0"/>
                                <w:szCs w:val="24"/>
                              </w:rPr>
                              <w:t>2</w:t>
                            </w:r>
                            <w:r>
                              <w:rPr>
                                <w:rFonts w:ascii="標楷體" w:eastAsia="標楷體" w:hAnsi="標楷體" w:cs="細明體"/>
                                <w:b/>
                                <w:kern w:val="0"/>
                                <w:szCs w:val="24"/>
                              </w:rPr>
                              <w:t>8</w:t>
                            </w:r>
                            <w:r w:rsidRPr="00DA2751">
                              <w:rPr>
                                <w:rFonts w:ascii="標楷體" w:eastAsia="標楷體" w:hAnsi="標楷體" w:hint="eastAsia"/>
                                <w:b/>
                                <w:kern w:val="0"/>
                                <w:szCs w:val="24"/>
                              </w:rPr>
                              <w:t xml:space="preserve">　依政府採購法第</w:t>
                            </w:r>
                            <w:r w:rsidRPr="00DA2751">
                              <w:rPr>
                                <w:rFonts w:ascii="標楷體" w:eastAsia="標楷體" w:hAnsi="標楷體"/>
                                <w:b/>
                                <w:kern w:val="0"/>
                                <w:szCs w:val="24"/>
                              </w:rPr>
                              <w:t>58條規定採次低標決標案件辦理情形缺失態樣</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7796"/>
                            </w:tblGrid>
                            <w:tr w:rsidR="00CE57F9" w:rsidRPr="004029EC" w14:paraId="38032DCA" w14:textId="77777777" w:rsidTr="009F1BF7">
                              <w:trPr>
                                <w:trHeight w:val="245"/>
                              </w:trPr>
                              <w:tc>
                                <w:tcPr>
                                  <w:tcW w:w="2093" w:type="dxa"/>
                                  <w:shd w:val="clear" w:color="auto" w:fill="auto"/>
                                  <w:vAlign w:val="center"/>
                                </w:tcPr>
                                <w:p w14:paraId="6A263417" w14:textId="77777777" w:rsidR="00CE57F9" w:rsidRPr="004029EC" w:rsidRDefault="00CE57F9" w:rsidP="009010DE">
                                  <w:pPr>
                                    <w:widowControl/>
                                    <w:adjustRightInd w:val="0"/>
                                    <w:snapToGrid w:val="0"/>
                                    <w:jc w:val="center"/>
                                    <w:rPr>
                                      <w:rFonts w:ascii="標楷體" w:eastAsia="標楷體" w:hAnsi="Calibri"/>
                                      <w:kern w:val="0"/>
                                      <w:sz w:val="20"/>
                                    </w:rPr>
                                  </w:pPr>
                                  <w:r w:rsidRPr="004029EC">
                                    <w:rPr>
                                      <w:rFonts w:ascii="標楷體" w:eastAsia="標楷體" w:hAnsi="Calibri" w:hint="eastAsia"/>
                                      <w:kern w:val="0"/>
                                      <w:sz w:val="20"/>
                                    </w:rPr>
                                    <w:t>辦理階段</w:t>
                                  </w:r>
                                </w:p>
                              </w:tc>
                              <w:tc>
                                <w:tcPr>
                                  <w:tcW w:w="7796" w:type="dxa"/>
                                  <w:vAlign w:val="center"/>
                                </w:tcPr>
                                <w:p w14:paraId="56A94D31" w14:textId="77777777" w:rsidR="00CE57F9" w:rsidRPr="004029EC" w:rsidRDefault="00CE57F9" w:rsidP="009010DE">
                                  <w:pPr>
                                    <w:widowControl/>
                                    <w:adjustRightInd w:val="0"/>
                                    <w:snapToGrid w:val="0"/>
                                    <w:jc w:val="center"/>
                                    <w:rPr>
                                      <w:rFonts w:ascii="標楷體" w:eastAsia="標楷體" w:hAnsi="標楷體"/>
                                      <w:kern w:val="0"/>
                                      <w:sz w:val="20"/>
                                    </w:rPr>
                                  </w:pPr>
                                  <w:r w:rsidRPr="004029EC">
                                    <w:rPr>
                                      <w:rFonts w:ascii="標楷體" w:eastAsia="標楷體" w:hAnsi="標楷體" w:hint="eastAsia"/>
                                      <w:kern w:val="0"/>
                                      <w:sz w:val="20"/>
                                    </w:rPr>
                                    <w:t>缺失態樣</w:t>
                                  </w:r>
                                </w:p>
                              </w:tc>
                            </w:tr>
                            <w:tr w:rsidR="00CE57F9" w:rsidRPr="004029EC" w14:paraId="473E5965" w14:textId="77777777" w:rsidTr="009F1BF7">
                              <w:trPr>
                                <w:trHeight w:val="281"/>
                              </w:trPr>
                              <w:tc>
                                <w:tcPr>
                                  <w:tcW w:w="2093" w:type="dxa"/>
                                  <w:vMerge w:val="restart"/>
                                  <w:shd w:val="clear" w:color="auto" w:fill="auto"/>
                                  <w:vAlign w:val="center"/>
                                </w:tcPr>
                                <w:p w14:paraId="6D0061D1" w14:textId="77777777" w:rsidR="00CE57F9" w:rsidRPr="004029EC" w:rsidRDefault="00CE57F9" w:rsidP="009010DE">
                                  <w:pPr>
                                    <w:widowControl/>
                                    <w:adjustRightInd w:val="0"/>
                                    <w:snapToGrid w:val="0"/>
                                    <w:rPr>
                                      <w:rFonts w:ascii="標楷體" w:eastAsia="標楷體" w:hAnsi="Calibri"/>
                                      <w:kern w:val="0"/>
                                      <w:sz w:val="20"/>
                                    </w:rPr>
                                  </w:pPr>
                                  <w:r w:rsidRPr="004029EC">
                                    <w:rPr>
                                      <w:rFonts w:ascii="標楷體" w:eastAsia="標楷體" w:hAnsi="Calibri" w:hint="eastAsia"/>
                                      <w:kern w:val="0"/>
                                      <w:sz w:val="20"/>
                                    </w:rPr>
                                    <w:t>底價訂定及次低標廠商總標價是否合理之檢討</w:t>
                                  </w:r>
                                </w:p>
                              </w:tc>
                              <w:tc>
                                <w:tcPr>
                                  <w:tcW w:w="7796" w:type="dxa"/>
                                  <w:vAlign w:val="center"/>
                                </w:tcPr>
                                <w:p w14:paraId="42B57B0C" w14:textId="77777777" w:rsidR="00CE57F9" w:rsidRPr="004029EC" w:rsidRDefault="00CE57F9" w:rsidP="009010DE">
                                  <w:pPr>
                                    <w:widowControl/>
                                    <w:adjustRightInd w:val="0"/>
                                    <w:snapToGrid w:val="0"/>
                                    <w:ind w:rightChars="-23" w:right="-55"/>
                                    <w:jc w:val="both"/>
                                    <w:rPr>
                                      <w:rFonts w:ascii="標楷體" w:eastAsia="標楷體" w:hAnsi="標楷體"/>
                                      <w:kern w:val="0"/>
                                      <w:sz w:val="20"/>
                                    </w:rPr>
                                  </w:pPr>
                                  <w:r w:rsidRPr="004029EC">
                                    <w:rPr>
                                      <w:rFonts w:ascii="標楷體" w:eastAsia="標楷體" w:hAnsi="標楷體" w:hint="eastAsia"/>
                                      <w:kern w:val="0"/>
                                      <w:sz w:val="20"/>
                                    </w:rPr>
                                    <w:t>機關未先行檢討底價訂定是否合理，以及最低標廠商之總標價是否顯不合理，有降低品質、不能誠信履約之虞或其他特殊情形，即逕行通知最低標廠商提出說明。</w:t>
                                  </w:r>
                                </w:p>
                              </w:tc>
                            </w:tr>
                            <w:tr w:rsidR="00CE57F9" w:rsidRPr="004029EC" w14:paraId="42AF48F4" w14:textId="77777777" w:rsidTr="009F1BF7">
                              <w:trPr>
                                <w:trHeight w:val="281"/>
                              </w:trPr>
                              <w:tc>
                                <w:tcPr>
                                  <w:tcW w:w="2093" w:type="dxa"/>
                                  <w:vMerge/>
                                  <w:shd w:val="clear" w:color="auto" w:fill="auto"/>
                                  <w:vAlign w:val="center"/>
                                </w:tcPr>
                                <w:p w14:paraId="3DF84FF5" w14:textId="77777777" w:rsidR="00CE57F9" w:rsidRPr="004029EC" w:rsidRDefault="00CE57F9" w:rsidP="009010DE">
                                  <w:pPr>
                                    <w:widowControl/>
                                    <w:adjustRightInd w:val="0"/>
                                    <w:snapToGrid w:val="0"/>
                                    <w:rPr>
                                      <w:rFonts w:ascii="標楷體" w:eastAsia="標楷體" w:hAnsi="Calibri"/>
                                      <w:kern w:val="0"/>
                                      <w:sz w:val="20"/>
                                    </w:rPr>
                                  </w:pPr>
                                </w:p>
                              </w:tc>
                              <w:tc>
                                <w:tcPr>
                                  <w:tcW w:w="7796" w:type="dxa"/>
                                  <w:vAlign w:val="center"/>
                                </w:tcPr>
                                <w:p w14:paraId="7A2042CA" w14:textId="77777777" w:rsidR="00CE57F9" w:rsidRPr="004029EC" w:rsidRDefault="00CE57F9" w:rsidP="009010DE">
                                  <w:pPr>
                                    <w:widowControl/>
                                    <w:adjustRightInd w:val="0"/>
                                    <w:snapToGrid w:val="0"/>
                                    <w:ind w:rightChars="-23" w:right="-55"/>
                                    <w:jc w:val="both"/>
                                    <w:rPr>
                                      <w:rFonts w:ascii="標楷體" w:eastAsia="標楷體" w:hAnsi="標楷體"/>
                                      <w:kern w:val="0"/>
                                      <w:sz w:val="20"/>
                                    </w:rPr>
                                  </w:pPr>
                                  <w:r w:rsidRPr="004029EC">
                                    <w:rPr>
                                      <w:rFonts w:ascii="標楷體" w:eastAsia="標楷體" w:hAnsi="標楷體" w:hint="eastAsia"/>
                                      <w:kern w:val="0"/>
                                      <w:sz w:val="20"/>
                                    </w:rPr>
                                    <w:t>機關在缺乏底價訂定是否偏高及最低標廠商報價是否合理等相關檢討評估佐證資料下，即於開標當日片面認定底價訂定無偏高，並逕請最低標廠商提出說明。</w:t>
                                  </w:r>
                                </w:p>
                              </w:tc>
                            </w:tr>
                            <w:tr w:rsidR="00CE57F9" w:rsidRPr="004029EC" w14:paraId="1A2BD2E1" w14:textId="77777777" w:rsidTr="009F1BF7">
                              <w:trPr>
                                <w:trHeight w:val="281"/>
                              </w:trPr>
                              <w:tc>
                                <w:tcPr>
                                  <w:tcW w:w="2093" w:type="dxa"/>
                                  <w:vMerge w:val="restart"/>
                                  <w:shd w:val="clear" w:color="auto" w:fill="auto"/>
                                  <w:vAlign w:val="center"/>
                                </w:tcPr>
                                <w:p w14:paraId="598E7EFF" w14:textId="77777777" w:rsidR="00CE57F9" w:rsidRPr="004029EC" w:rsidRDefault="00CE57F9" w:rsidP="009010DE">
                                  <w:pPr>
                                    <w:widowControl/>
                                    <w:adjustRightInd w:val="0"/>
                                    <w:snapToGrid w:val="0"/>
                                    <w:rPr>
                                      <w:rFonts w:ascii="標楷體" w:eastAsia="標楷體" w:hAnsi="Calibri"/>
                                      <w:kern w:val="0"/>
                                      <w:sz w:val="20"/>
                                    </w:rPr>
                                  </w:pPr>
                                  <w:r w:rsidRPr="004029EC">
                                    <w:rPr>
                                      <w:rFonts w:ascii="標楷體" w:eastAsia="標楷體" w:hAnsi="Calibri" w:hint="eastAsia"/>
                                      <w:kern w:val="0"/>
                                      <w:sz w:val="20"/>
                                    </w:rPr>
                                    <w:t>通知最低標廠商提出說明</w:t>
                                  </w:r>
                                </w:p>
                              </w:tc>
                              <w:tc>
                                <w:tcPr>
                                  <w:tcW w:w="7796" w:type="dxa"/>
                                  <w:vAlign w:val="center"/>
                                </w:tcPr>
                                <w:p w14:paraId="4AAAEBFB" w14:textId="77777777" w:rsidR="00CE57F9" w:rsidRPr="004029EC" w:rsidRDefault="00CE57F9" w:rsidP="009010DE">
                                  <w:pPr>
                                    <w:widowControl/>
                                    <w:adjustRightInd w:val="0"/>
                                    <w:snapToGrid w:val="0"/>
                                    <w:ind w:rightChars="-23" w:right="-55"/>
                                    <w:jc w:val="both"/>
                                    <w:rPr>
                                      <w:rFonts w:ascii="標楷體" w:eastAsia="標楷體" w:hAnsi="標楷體"/>
                                      <w:kern w:val="0"/>
                                      <w:sz w:val="20"/>
                                    </w:rPr>
                                  </w:pPr>
                                  <w:r w:rsidRPr="004029EC">
                                    <w:rPr>
                                      <w:rFonts w:ascii="標楷體" w:eastAsia="標楷體" w:hAnsi="標楷體" w:hint="eastAsia"/>
                                      <w:kern w:val="0"/>
                                      <w:sz w:val="20"/>
                                    </w:rPr>
                                    <w:t>機關在最低標廠商未函復說明情形前，即於通知廠商說明函文中，指出如未於期限內辦理，將不決標予最低標廠商。</w:t>
                                  </w:r>
                                </w:p>
                              </w:tc>
                            </w:tr>
                            <w:tr w:rsidR="00CE57F9" w:rsidRPr="004029EC" w14:paraId="3CA9F134" w14:textId="77777777" w:rsidTr="009F1BF7">
                              <w:trPr>
                                <w:trHeight w:val="281"/>
                              </w:trPr>
                              <w:tc>
                                <w:tcPr>
                                  <w:tcW w:w="2093" w:type="dxa"/>
                                  <w:vMerge/>
                                  <w:shd w:val="clear" w:color="auto" w:fill="auto"/>
                                  <w:vAlign w:val="center"/>
                                </w:tcPr>
                                <w:p w14:paraId="1E45BB49" w14:textId="77777777" w:rsidR="00CE57F9" w:rsidRPr="004029EC" w:rsidRDefault="00CE57F9" w:rsidP="009010DE">
                                  <w:pPr>
                                    <w:widowControl/>
                                    <w:adjustRightInd w:val="0"/>
                                    <w:snapToGrid w:val="0"/>
                                    <w:rPr>
                                      <w:rFonts w:ascii="標楷體" w:eastAsia="標楷體" w:hAnsi="Calibri"/>
                                      <w:kern w:val="0"/>
                                      <w:sz w:val="20"/>
                                    </w:rPr>
                                  </w:pPr>
                                </w:p>
                              </w:tc>
                              <w:tc>
                                <w:tcPr>
                                  <w:tcW w:w="7796" w:type="dxa"/>
                                  <w:vAlign w:val="center"/>
                                </w:tcPr>
                                <w:p w14:paraId="742EA62D" w14:textId="77777777" w:rsidR="00CE57F9" w:rsidRPr="004029EC" w:rsidRDefault="00CE57F9" w:rsidP="009010DE">
                                  <w:pPr>
                                    <w:widowControl/>
                                    <w:adjustRightInd w:val="0"/>
                                    <w:snapToGrid w:val="0"/>
                                    <w:ind w:rightChars="-23" w:right="-55"/>
                                    <w:jc w:val="both"/>
                                    <w:rPr>
                                      <w:rFonts w:ascii="標楷體" w:eastAsia="標楷體" w:hAnsi="標楷體"/>
                                      <w:kern w:val="0"/>
                                      <w:sz w:val="20"/>
                                    </w:rPr>
                                  </w:pPr>
                                  <w:r w:rsidRPr="004029EC">
                                    <w:rPr>
                                      <w:rFonts w:ascii="標楷體" w:eastAsia="標楷體" w:hAnsi="標楷體" w:hint="eastAsia"/>
                                      <w:kern w:val="0"/>
                                      <w:sz w:val="20"/>
                                    </w:rPr>
                                    <w:t>機關通知廠商提出說明所訂期限過長，易衍生最低標廠商與次低標廠商合意獲取利差之機會。</w:t>
                                  </w:r>
                                </w:p>
                              </w:tc>
                            </w:tr>
                            <w:tr w:rsidR="00CE57F9" w:rsidRPr="004029EC" w14:paraId="7C431C1F" w14:textId="77777777" w:rsidTr="009F1BF7">
                              <w:trPr>
                                <w:trHeight w:val="281"/>
                              </w:trPr>
                              <w:tc>
                                <w:tcPr>
                                  <w:tcW w:w="2093" w:type="dxa"/>
                                  <w:vMerge/>
                                  <w:shd w:val="clear" w:color="auto" w:fill="auto"/>
                                  <w:vAlign w:val="center"/>
                                </w:tcPr>
                                <w:p w14:paraId="5E971E3F" w14:textId="77777777" w:rsidR="00CE57F9" w:rsidRPr="004029EC" w:rsidRDefault="00CE57F9" w:rsidP="009010DE">
                                  <w:pPr>
                                    <w:widowControl/>
                                    <w:adjustRightInd w:val="0"/>
                                    <w:snapToGrid w:val="0"/>
                                    <w:rPr>
                                      <w:rFonts w:ascii="標楷體" w:eastAsia="標楷體" w:hAnsi="Calibri"/>
                                      <w:kern w:val="0"/>
                                      <w:sz w:val="20"/>
                                    </w:rPr>
                                  </w:pPr>
                                </w:p>
                              </w:tc>
                              <w:tc>
                                <w:tcPr>
                                  <w:tcW w:w="7796" w:type="dxa"/>
                                  <w:vAlign w:val="center"/>
                                </w:tcPr>
                                <w:p w14:paraId="6670463A" w14:textId="77777777" w:rsidR="00CE57F9" w:rsidRPr="004029EC" w:rsidRDefault="00CE57F9" w:rsidP="009010DE">
                                  <w:pPr>
                                    <w:widowControl/>
                                    <w:adjustRightInd w:val="0"/>
                                    <w:snapToGrid w:val="0"/>
                                    <w:ind w:rightChars="-23" w:right="-55"/>
                                    <w:jc w:val="both"/>
                                    <w:rPr>
                                      <w:rFonts w:ascii="標楷體" w:eastAsia="標楷體" w:hAnsi="標楷體"/>
                                      <w:kern w:val="0"/>
                                      <w:sz w:val="20"/>
                                    </w:rPr>
                                  </w:pPr>
                                  <w:r w:rsidRPr="004029EC">
                                    <w:rPr>
                                      <w:rFonts w:ascii="標楷體" w:eastAsia="標楷體" w:hAnsi="標楷體" w:hint="eastAsia"/>
                                      <w:kern w:val="0"/>
                                      <w:sz w:val="20"/>
                                    </w:rPr>
                                    <w:t>機關未審慎考量請最低標廠商提出說明時間僅2日，卻要求</w:t>
                                  </w:r>
                                  <w:r w:rsidRPr="009010DE">
                                    <w:rPr>
                                      <w:rFonts w:ascii="標楷體" w:eastAsia="標楷體" w:hAnsi="標楷體" w:hint="eastAsia"/>
                                      <w:spacing w:val="-4"/>
                                      <w:kern w:val="0"/>
                                      <w:sz w:val="20"/>
                                    </w:rPr>
                                    <w:t>其提出非</w:t>
                                  </w:r>
                                  <w:r>
                                    <w:rPr>
                                      <w:rFonts w:ascii="標楷體" w:eastAsia="標楷體" w:hAnsi="標楷體" w:hint="eastAsia"/>
                                      <w:spacing w:val="-4"/>
                                      <w:kern w:val="0"/>
                                      <w:sz w:val="20"/>
                                    </w:rPr>
                                    <w:t>政府</w:t>
                                  </w:r>
                                  <w:r w:rsidRPr="009010DE">
                                    <w:rPr>
                                      <w:rFonts w:ascii="標楷體" w:eastAsia="標楷體" w:hAnsi="標楷體" w:hint="eastAsia"/>
                                      <w:spacing w:val="-4"/>
                                      <w:kern w:val="0"/>
                                      <w:sz w:val="20"/>
                                    </w:rPr>
                                    <w:t>採購法第58條執行程序所列舉之成本效益分析說明。</w:t>
                                  </w:r>
                                </w:p>
                              </w:tc>
                            </w:tr>
                            <w:tr w:rsidR="00CE57F9" w:rsidRPr="004029EC" w14:paraId="38185F74" w14:textId="77777777" w:rsidTr="009F1BF7">
                              <w:trPr>
                                <w:trHeight w:val="281"/>
                              </w:trPr>
                              <w:tc>
                                <w:tcPr>
                                  <w:tcW w:w="2093" w:type="dxa"/>
                                  <w:vMerge w:val="restart"/>
                                  <w:shd w:val="clear" w:color="auto" w:fill="auto"/>
                                  <w:vAlign w:val="center"/>
                                </w:tcPr>
                                <w:p w14:paraId="359AD789" w14:textId="77777777" w:rsidR="00CE57F9" w:rsidRPr="004029EC" w:rsidRDefault="00CE57F9" w:rsidP="009010DE">
                                  <w:pPr>
                                    <w:widowControl/>
                                    <w:adjustRightInd w:val="0"/>
                                    <w:snapToGrid w:val="0"/>
                                    <w:rPr>
                                      <w:rFonts w:ascii="標楷體" w:eastAsia="標楷體" w:hAnsi="Calibri"/>
                                      <w:kern w:val="0"/>
                                      <w:sz w:val="20"/>
                                    </w:rPr>
                                  </w:pPr>
                                  <w:r w:rsidRPr="004029EC">
                                    <w:rPr>
                                      <w:rFonts w:ascii="標楷體" w:eastAsia="標楷體" w:hAnsi="Calibri" w:hint="eastAsia"/>
                                      <w:kern w:val="0"/>
                                      <w:sz w:val="20"/>
                                    </w:rPr>
                                    <w:t>最低標廠商函復說明是否合理之評估</w:t>
                                  </w:r>
                                </w:p>
                              </w:tc>
                              <w:tc>
                                <w:tcPr>
                                  <w:tcW w:w="7796" w:type="dxa"/>
                                  <w:vAlign w:val="center"/>
                                </w:tcPr>
                                <w:p w14:paraId="104B696E" w14:textId="51751C18" w:rsidR="00CE57F9" w:rsidRPr="00346BDD" w:rsidRDefault="00CE57F9" w:rsidP="009010DE">
                                  <w:pPr>
                                    <w:widowControl/>
                                    <w:adjustRightInd w:val="0"/>
                                    <w:snapToGrid w:val="0"/>
                                    <w:ind w:rightChars="-23" w:right="-55"/>
                                    <w:jc w:val="both"/>
                                    <w:rPr>
                                      <w:rFonts w:ascii="標楷體" w:eastAsia="標楷體" w:hAnsi="標楷體"/>
                                      <w:kern w:val="0"/>
                                      <w:sz w:val="20"/>
                                    </w:rPr>
                                  </w:pPr>
                                  <w:r w:rsidRPr="00346BDD">
                                    <w:rPr>
                                      <w:rFonts w:ascii="標楷體" w:eastAsia="標楷體" w:hAnsi="標楷體" w:hint="eastAsia"/>
                                      <w:kern w:val="0"/>
                                      <w:sz w:val="20"/>
                                    </w:rPr>
                                    <w:t>機關未針對最低標廠商之說明是否合理進行評估，即逕行決定不決標予最低標廠商，影響廠商權益。</w:t>
                                  </w:r>
                                </w:p>
                              </w:tc>
                            </w:tr>
                            <w:tr w:rsidR="00CE57F9" w:rsidRPr="004029EC" w14:paraId="2DC06F99" w14:textId="77777777" w:rsidTr="009F1BF7">
                              <w:trPr>
                                <w:trHeight w:val="281"/>
                              </w:trPr>
                              <w:tc>
                                <w:tcPr>
                                  <w:tcW w:w="2093" w:type="dxa"/>
                                  <w:vMerge/>
                                  <w:shd w:val="clear" w:color="auto" w:fill="auto"/>
                                  <w:vAlign w:val="center"/>
                                </w:tcPr>
                                <w:p w14:paraId="1A12AB5A" w14:textId="77777777" w:rsidR="00CE57F9" w:rsidRPr="004029EC" w:rsidRDefault="00CE57F9" w:rsidP="009010DE">
                                  <w:pPr>
                                    <w:widowControl/>
                                    <w:adjustRightInd w:val="0"/>
                                    <w:snapToGrid w:val="0"/>
                                    <w:rPr>
                                      <w:rFonts w:ascii="標楷體" w:eastAsia="標楷體" w:hAnsi="Calibri"/>
                                      <w:kern w:val="0"/>
                                      <w:sz w:val="20"/>
                                    </w:rPr>
                                  </w:pPr>
                                </w:p>
                              </w:tc>
                              <w:tc>
                                <w:tcPr>
                                  <w:tcW w:w="7796" w:type="dxa"/>
                                  <w:vAlign w:val="center"/>
                                </w:tcPr>
                                <w:p w14:paraId="594456BD" w14:textId="35338ADF" w:rsidR="00CE57F9" w:rsidRPr="00346BDD" w:rsidRDefault="00CE57F9" w:rsidP="009010DE">
                                  <w:pPr>
                                    <w:widowControl/>
                                    <w:adjustRightInd w:val="0"/>
                                    <w:snapToGrid w:val="0"/>
                                    <w:ind w:rightChars="-23" w:right="-55"/>
                                    <w:jc w:val="both"/>
                                    <w:rPr>
                                      <w:rFonts w:ascii="標楷體" w:eastAsia="標楷體" w:hAnsi="標楷體"/>
                                      <w:kern w:val="0"/>
                                      <w:sz w:val="20"/>
                                    </w:rPr>
                                  </w:pPr>
                                  <w:r w:rsidRPr="00346BDD">
                                    <w:rPr>
                                      <w:rFonts w:ascii="標楷體" w:eastAsia="標楷體" w:hAnsi="標楷體" w:hint="eastAsia"/>
                                      <w:kern w:val="0"/>
                                      <w:sz w:val="20"/>
                                    </w:rPr>
                                    <w:t>機關未審慎綜合評估最低標廠商之說明，是否有降低品質或不能誠信履約之疑慮，卻片面扭曲機關申購單位意見，逕行決定不決標予最低標廠商，影響廠商權益。</w:t>
                                  </w:r>
                                </w:p>
                              </w:tc>
                            </w:tr>
                            <w:tr w:rsidR="00CE57F9" w:rsidRPr="004029EC" w14:paraId="35E89DE4" w14:textId="77777777" w:rsidTr="009F1BF7">
                              <w:trPr>
                                <w:trHeight w:val="281"/>
                              </w:trPr>
                              <w:tc>
                                <w:tcPr>
                                  <w:tcW w:w="2093" w:type="dxa"/>
                                  <w:shd w:val="clear" w:color="auto" w:fill="auto"/>
                                  <w:vAlign w:val="center"/>
                                </w:tcPr>
                                <w:p w14:paraId="4A85F961" w14:textId="77777777" w:rsidR="00CE57F9" w:rsidRPr="004029EC" w:rsidRDefault="00CE57F9" w:rsidP="009010DE">
                                  <w:pPr>
                                    <w:widowControl/>
                                    <w:adjustRightInd w:val="0"/>
                                    <w:snapToGrid w:val="0"/>
                                    <w:rPr>
                                      <w:rFonts w:ascii="標楷體" w:eastAsia="標楷體" w:hAnsi="Calibri"/>
                                      <w:kern w:val="0"/>
                                      <w:sz w:val="20"/>
                                    </w:rPr>
                                  </w:pPr>
                                  <w:r w:rsidRPr="004029EC">
                                    <w:rPr>
                                      <w:rFonts w:ascii="標楷體" w:eastAsia="標楷體" w:hAnsi="Calibri" w:hint="eastAsia"/>
                                      <w:kern w:val="0"/>
                                      <w:sz w:val="20"/>
                                    </w:rPr>
                                    <w:t>其他</w:t>
                                  </w:r>
                                </w:p>
                              </w:tc>
                              <w:tc>
                                <w:tcPr>
                                  <w:tcW w:w="7796" w:type="dxa"/>
                                  <w:vAlign w:val="center"/>
                                </w:tcPr>
                                <w:p w14:paraId="10BCCBF1" w14:textId="77777777" w:rsidR="00CE57F9" w:rsidRPr="004029EC" w:rsidRDefault="00CE57F9" w:rsidP="009010DE">
                                  <w:pPr>
                                    <w:widowControl/>
                                    <w:adjustRightInd w:val="0"/>
                                    <w:snapToGrid w:val="0"/>
                                    <w:ind w:rightChars="-23" w:right="-55"/>
                                    <w:jc w:val="both"/>
                                    <w:rPr>
                                      <w:rFonts w:ascii="標楷體" w:eastAsia="標楷體" w:hAnsi="標楷體"/>
                                      <w:kern w:val="0"/>
                                      <w:sz w:val="20"/>
                                    </w:rPr>
                                  </w:pPr>
                                  <w:r w:rsidRPr="004029EC">
                                    <w:rPr>
                                      <w:rFonts w:ascii="標楷體" w:eastAsia="標楷體" w:hAnsi="標楷體" w:hint="eastAsia"/>
                                      <w:kern w:val="0"/>
                                      <w:sz w:val="20"/>
                                    </w:rPr>
                                    <w:t>最低標廠商於機關通知說明期間，疑涉有與次低標廠商私下合意獲取利差之異常情事，惟機關並未察覺而決標予次低標廠商，影響機關權益。</w:t>
                                  </w:r>
                                </w:p>
                              </w:tc>
                            </w:tr>
                          </w:tbl>
                          <w:p w14:paraId="37FDF64A" w14:textId="0AA86E37" w:rsidR="00CE57F9" w:rsidRPr="009010DE" w:rsidRDefault="00CE57F9" w:rsidP="00B2453C">
                            <w:pPr>
                              <w:rPr>
                                <w:rFonts w:ascii="標楷體" w:eastAsia="標楷體" w:hAnsi="標楷體"/>
                                <w:sz w:val="18"/>
                                <w:szCs w:val="18"/>
                              </w:rPr>
                            </w:pPr>
                            <w:r w:rsidRPr="009010DE">
                              <w:rPr>
                                <w:rFonts w:ascii="標楷體" w:eastAsia="標楷體" w:hAnsi="標楷體" w:hint="eastAsia"/>
                                <w:sz w:val="18"/>
                                <w:szCs w:val="18"/>
                              </w:rPr>
                              <w:t>資料來源：整理自本部調查</w:t>
                            </w:r>
                            <w:r w:rsidRPr="00346BDD">
                              <w:rPr>
                                <w:rFonts w:ascii="標楷體" w:eastAsia="標楷體" w:hAnsi="標楷體"/>
                                <w:sz w:val="18"/>
                                <w:szCs w:val="18"/>
                              </w:rPr>
                              <w:t>108年1月至111年6月決標之採購</w:t>
                            </w:r>
                            <w:r w:rsidRPr="00346BDD">
                              <w:rPr>
                                <w:rFonts w:ascii="標楷體" w:eastAsia="標楷體" w:hAnsi="標楷體" w:hint="eastAsia"/>
                                <w:sz w:val="18"/>
                                <w:szCs w:val="18"/>
                              </w:rPr>
                              <w:t>案件</w:t>
                            </w:r>
                            <w:r w:rsidRPr="009010DE">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287941" id="_x0000_s1160" type="#_x0000_t202" style="position:absolute;left:0;text-align:left;margin-left:-1.25pt;margin-top:351.1pt;width:497.9pt;height:266.7pt;z-index:251645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" stroked="f">
                <v:textbox>
                  <w:txbxContent>
                    <w:p w14:paraId="49AF6E45" w14:textId="72412862" w:rsidR="00CE57F9" w:rsidRDefault="00CE57F9" w:rsidP="00B2453C">
                      <w:pPr>
                        <w:spacing w:line="320" w:lineRule="exact"/>
                        <w:ind w:left="769" w:hangingChars="320" w:hanging="769"/>
                        <w:jc w:val="center"/>
                      </w:pPr>
                      <w:r w:rsidRPr="00DA2751">
                        <w:rPr>
                          <w:rFonts w:ascii="標楷體" w:eastAsia="標楷體" w:hAnsi="標楷體" w:hint="eastAsia"/>
                          <w:b/>
                          <w:kern w:val="0"/>
                          <w:szCs w:val="24"/>
                        </w:rPr>
                        <w:t>表</w:t>
                      </w:r>
                      <w:r w:rsidRPr="00DA2751">
                        <w:rPr>
                          <w:rFonts w:ascii="標楷體" w:eastAsia="標楷體" w:hAnsi="標楷體" w:cs="細明體"/>
                          <w:b/>
                          <w:kern w:val="0"/>
                          <w:szCs w:val="24"/>
                        </w:rPr>
                        <w:t>2</w:t>
                      </w:r>
                      <w:r>
                        <w:rPr>
                          <w:rFonts w:ascii="標楷體" w:eastAsia="標楷體" w:hAnsi="標楷體" w:cs="細明體"/>
                          <w:b/>
                          <w:kern w:val="0"/>
                          <w:szCs w:val="24"/>
                        </w:rPr>
                        <w:t>8</w:t>
                      </w:r>
                      <w:r w:rsidRPr="00DA2751">
                        <w:rPr>
                          <w:rFonts w:ascii="標楷體" w:eastAsia="標楷體" w:hAnsi="標楷體" w:hint="eastAsia"/>
                          <w:b/>
                          <w:kern w:val="0"/>
                          <w:szCs w:val="24"/>
                        </w:rPr>
                        <w:t xml:space="preserve">　依政府採購法第</w:t>
                      </w:r>
                      <w:r w:rsidRPr="00DA2751">
                        <w:rPr>
                          <w:rFonts w:ascii="標楷體" w:eastAsia="標楷體" w:hAnsi="標楷體"/>
                          <w:b/>
                          <w:kern w:val="0"/>
                          <w:szCs w:val="24"/>
                        </w:rPr>
                        <w:t>58條規定採次低標決標案件辦理情形缺失態樣</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7796"/>
                      </w:tblGrid>
                      <w:tr w:rsidR="00CE57F9" w:rsidRPr="004029EC" w14:paraId="38032DCA" w14:textId="77777777" w:rsidTr="009F1BF7">
                        <w:trPr>
                          <w:trHeight w:val="245"/>
                        </w:trPr>
                        <w:tc>
                          <w:tcPr>
                            <w:tcW w:w="2093" w:type="dxa"/>
                            <w:shd w:val="clear" w:color="auto" w:fill="auto"/>
                            <w:vAlign w:val="center"/>
                          </w:tcPr>
                          <w:p w14:paraId="6A263417" w14:textId="77777777" w:rsidR="00CE57F9" w:rsidRPr="004029EC" w:rsidRDefault="00CE57F9" w:rsidP="009010DE">
                            <w:pPr>
                              <w:widowControl/>
                              <w:adjustRightInd w:val="0"/>
                              <w:snapToGrid w:val="0"/>
                              <w:jc w:val="center"/>
                              <w:rPr>
                                <w:rFonts w:ascii="標楷體" w:eastAsia="標楷體" w:hAnsi="Calibri"/>
                                <w:kern w:val="0"/>
                                <w:sz w:val="20"/>
                              </w:rPr>
                            </w:pPr>
                            <w:r w:rsidRPr="004029EC">
                              <w:rPr>
                                <w:rFonts w:ascii="標楷體" w:eastAsia="標楷體" w:hAnsi="Calibri" w:hint="eastAsia"/>
                                <w:kern w:val="0"/>
                                <w:sz w:val="20"/>
                              </w:rPr>
                              <w:t>辦理階段</w:t>
                            </w:r>
                          </w:p>
                        </w:tc>
                        <w:tc>
                          <w:tcPr>
                            <w:tcW w:w="7796" w:type="dxa"/>
                            <w:vAlign w:val="center"/>
                          </w:tcPr>
                          <w:p w14:paraId="56A94D31" w14:textId="77777777" w:rsidR="00CE57F9" w:rsidRPr="004029EC" w:rsidRDefault="00CE57F9" w:rsidP="009010DE">
                            <w:pPr>
                              <w:widowControl/>
                              <w:adjustRightInd w:val="0"/>
                              <w:snapToGrid w:val="0"/>
                              <w:jc w:val="center"/>
                              <w:rPr>
                                <w:rFonts w:ascii="標楷體" w:eastAsia="標楷體" w:hAnsi="標楷體"/>
                                <w:kern w:val="0"/>
                                <w:sz w:val="20"/>
                              </w:rPr>
                            </w:pPr>
                            <w:r w:rsidRPr="004029EC">
                              <w:rPr>
                                <w:rFonts w:ascii="標楷體" w:eastAsia="標楷體" w:hAnsi="標楷體" w:hint="eastAsia"/>
                                <w:kern w:val="0"/>
                                <w:sz w:val="20"/>
                              </w:rPr>
                              <w:t>缺失態樣</w:t>
                            </w:r>
                          </w:p>
                        </w:tc>
                      </w:tr>
                      <w:tr w:rsidR="00CE57F9" w:rsidRPr="004029EC" w14:paraId="473E5965" w14:textId="77777777" w:rsidTr="009F1BF7">
                        <w:trPr>
                          <w:trHeight w:val="281"/>
                        </w:trPr>
                        <w:tc>
                          <w:tcPr>
                            <w:tcW w:w="2093" w:type="dxa"/>
                            <w:vMerge w:val="restart"/>
                            <w:shd w:val="clear" w:color="auto" w:fill="auto"/>
                            <w:vAlign w:val="center"/>
                          </w:tcPr>
                          <w:p w14:paraId="6D0061D1" w14:textId="77777777" w:rsidR="00CE57F9" w:rsidRPr="004029EC" w:rsidRDefault="00CE57F9" w:rsidP="009010DE">
                            <w:pPr>
                              <w:widowControl/>
                              <w:adjustRightInd w:val="0"/>
                              <w:snapToGrid w:val="0"/>
                              <w:rPr>
                                <w:rFonts w:ascii="標楷體" w:eastAsia="標楷體" w:hAnsi="Calibri"/>
                                <w:kern w:val="0"/>
                                <w:sz w:val="20"/>
                              </w:rPr>
                            </w:pPr>
                            <w:r w:rsidRPr="004029EC">
                              <w:rPr>
                                <w:rFonts w:ascii="標楷體" w:eastAsia="標楷體" w:hAnsi="Calibri" w:hint="eastAsia"/>
                                <w:kern w:val="0"/>
                                <w:sz w:val="20"/>
                              </w:rPr>
                              <w:t>底價訂定及次低標廠商總標價是否合理之檢討</w:t>
                            </w:r>
                          </w:p>
                        </w:tc>
                        <w:tc>
                          <w:tcPr>
                            <w:tcW w:w="7796" w:type="dxa"/>
                            <w:vAlign w:val="center"/>
                          </w:tcPr>
                          <w:p w14:paraId="42B57B0C" w14:textId="77777777" w:rsidR="00CE57F9" w:rsidRPr="004029EC" w:rsidRDefault="00CE57F9" w:rsidP="009010DE">
                            <w:pPr>
                              <w:widowControl/>
                              <w:adjustRightInd w:val="0"/>
                              <w:snapToGrid w:val="0"/>
                              <w:ind w:rightChars="-23" w:right="-55"/>
                              <w:jc w:val="both"/>
                              <w:rPr>
                                <w:rFonts w:ascii="標楷體" w:eastAsia="標楷體" w:hAnsi="標楷體"/>
                                <w:kern w:val="0"/>
                                <w:sz w:val="20"/>
                              </w:rPr>
                            </w:pPr>
                            <w:r w:rsidRPr="004029EC">
                              <w:rPr>
                                <w:rFonts w:ascii="標楷體" w:eastAsia="標楷體" w:hAnsi="標楷體" w:hint="eastAsia"/>
                                <w:kern w:val="0"/>
                                <w:sz w:val="20"/>
                              </w:rPr>
                              <w:t>機關未先行檢討底價訂定是否合理，以及最低標廠商之總標價是否顯不合理，有降低品質、不能誠信履約之虞或其他特殊情形，即逕行通知最低標廠商提出說明。</w:t>
                            </w:r>
                          </w:p>
                        </w:tc>
                      </w:tr>
                      <w:tr w:rsidR="00CE57F9" w:rsidRPr="004029EC" w14:paraId="42AF48F4" w14:textId="77777777" w:rsidTr="009F1BF7">
                        <w:trPr>
                          <w:trHeight w:val="281"/>
                        </w:trPr>
                        <w:tc>
                          <w:tcPr>
                            <w:tcW w:w="2093" w:type="dxa"/>
                            <w:vMerge/>
                            <w:shd w:val="clear" w:color="auto" w:fill="auto"/>
                            <w:vAlign w:val="center"/>
                          </w:tcPr>
                          <w:p w14:paraId="3DF84FF5" w14:textId="77777777" w:rsidR="00CE57F9" w:rsidRPr="004029EC" w:rsidRDefault="00CE57F9" w:rsidP="009010DE">
                            <w:pPr>
                              <w:widowControl/>
                              <w:adjustRightInd w:val="0"/>
                              <w:snapToGrid w:val="0"/>
                              <w:rPr>
                                <w:rFonts w:ascii="標楷體" w:eastAsia="標楷體" w:hAnsi="Calibri"/>
                                <w:kern w:val="0"/>
                                <w:sz w:val="20"/>
                              </w:rPr>
                            </w:pPr>
                          </w:p>
                        </w:tc>
                        <w:tc>
                          <w:tcPr>
                            <w:tcW w:w="7796" w:type="dxa"/>
                            <w:vAlign w:val="center"/>
                          </w:tcPr>
                          <w:p w14:paraId="7A2042CA" w14:textId="77777777" w:rsidR="00CE57F9" w:rsidRPr="004029EC" w:rsidRDefault="00CE57F9" w:rsidP="009010DE">
                            <w:pPr>
                              <w:widowControl/>
                              <w:adjustRightInd w:val="0"/>
                              <w:snapToGrid w:val="0"/>
                              <w:ind w:rightChars="-23" w:right="-55"/>
                              <w:jc w:val="both"/>
                              <w:rPr>
                                <w:rFonts w:ascii="標楷體" w:eastAsia="標楷體" w:hAnsi="標楷體"/>
                                <w:kern w:val="0"/>
                                <w:sz w:val="20"/>
                              </w:rPr>
                            </w:pPr>
                            <w:r w:rsidRPr="004029EC">
                              <w:rPr>
                                <w:rFonts w:ascii="標楷體" w:eastAsia="標楷體" w:hAnsi="標楷體" w:hint="eastAsia"/>
                                <w:kern w:val="0"/>
                                <w:sz w:val="20"/>
                              </w:rPr>
                              <w:t>機關在缺乏底價訂定是否偏高及最低標廠商報價是否合理等相關檢討評估佐證資料下，即於開標當日片面認定底價訂定無偏高，並逕請最低標廠商提出說明。</w:t>
                            </w:r>
                          </w:p>
                        </w:tc>
                      </w:tr>
                      <w:tr w:rsidR="00CE57F9" w:rsidRPr="004029EC" w14:paraId="1A2BD2E1" w14:textId="77777777" w:rsidTr="009F1BF7">
                        <w:trPr>
                          <w:trHeight w:val="281"/>
                        </w:trPr>
                        <w:tc>
                          <w:tcPr>
                            <w:tcW w:w="2093" w:type="dxa"/>
                            <w:vMerge w:val="restart"/>
                            <w:shd w:val="clear" w:color="auto" w:fill="auto"/>
                            <w:vAlign w:val="center"/>
                          </w:tcPr>
                          <w:p w14:paraId="598E7EFF" w14:textId="77777777" w:rsidR="00CE57F9" w:rsidRPr="004029EC" w:rsidRDefault="00CE57F9" w:rsidP="009010DE">
                            <w:pPr>
                              <w:widowControl/>
                              <w:adjustRightInd w:val="0"/>
                              <w:snapToGrid w:val="0"/>
                              <w:rPr>
                                <w:rFonts w:ascii="標楷體" w:eastAsia="標楷體" w:hAnsi="Calibri"/>
                                <w:kern w:val="0"/>
                                <w:sz w:val="20"/>
                              </w:rPr>
                            </w:pPr>
                            <w:r w:rsidRPr="004029EC">
                              <w:rPr>
                                <w:rFonts w:ascii="標楷體" w:eastAsia="標楷體" w:hAnsi="Calibri" w:hint="eastAsia"/>
                                <w:kern w:val="0"/>
                                <w:sz w:val="20"/>
                              </w:rPr>
                              <w:t>通知最低標廠商提出說明</w:t>
                            </w:r>
                          </w:p>
                        </w:tc>
                        <w:tc>
                          <w:tcPr>
                            <w:tcW w:w="7796" w:type="dxa"/>
                            <w:vAlign w:val="center"/>
                          </w:tcPr>
                          <w:p w14:paraId="4AAAEBFB" w14:textId="77777777" w:rsidR="00CE57F9" w:rsidRPr="004029EC" w:rsidRDefault="00CE57F9" w:rsidP="009010DE">
                            <w:pPr>
                              <w:widowControl/>
                              <w:adjustRightInd w:val="0"/>
                              <w:snapToGrid w:val="0"/>
                              <w:ind w:rightChars="-23" w:right="-55"/>
                              <w:jc w:val="both"/>
                              <w:rPr>
                                <w:rFonts w:ascii="標楷體" w:eastAsia="標楷體" w:hAnsi="標楷體"/>
                                <w:kern w:val="0"/>
                                <w:sz w:val="20"/>
                              </w:rPr>
                            </w:pPr>
                            <w:r w:rsidRPr="004029EC">
                              <w:rPr>
                                <w:rFonts w:ascii="標楷體" w:eastAsia="標楷體" w:hAnsi="標楷體" w:hint="eastAsia"/>
                                <w:kern w:val="0"/>
                                <w:sz w:val="20"/>
                              </w:rPr>
                              <w:t>機關在最低標廠商未函復說明情形前，即於通知廠商說明函文中，指出如未於期限內辦理，將不決標予最低標廠商。</w:t>
                            </w:r>
                          </w:p>
                        </w:tc>
                      </w:tr>
                      <w:tr w:rsidR="00CE57F9" w:rsidRPr="004029EC" w14:paraId="3CA9F134" w14:textId="77777777" w:rsidTr="009F1BF7">
                        <w:trPr>
                          <w:trHeight w:val="281"/>
                        </w:trPr>
                        <w:tc>
                          <w:tcPr>
                            <w:tcW w:w="2093" w:type="dxa"/>
                            <w:vMerge/>
                            <w:shd w:val="clear" w:color="auto" w:fill="auto"/>
                            <w:vAlign w:val="center"/>
                          </w:tcPr>
                          <w:p w14:paraId="1E45BB49" w14:textId="77777777" w:rsidR="00CE57F9" w:rsidRPr="004029EC" w:rsidRDefault="00CE57F9" w:rsidP="009010DE">
                            <w:pPr>
                              <w:widowControl/>
                              <w:adjustRightInd w:val="0"/>
                              <w:snapToGrid w:val="0"/>
                              <w:rPr>
                                <w:rFonts w:ascii="標楷體" w:eastAsia="標楷體" w:hAnsi="Calibri"/>
                                <w:kern w:val="0"/>
                                <w:sz w:val="20"/>
                              </w:rPr>
                            </w:pPr>
                          </w:p>
                        </w:tc>
                        <w:tc>
                          <w:tcPr>
                            <w:tcW w:w="7796" w:type="dxa"/>
                            <w:vAlign w:val="center"/>
                          </w:tcPr>
                          <w:p w14:paraId="742EA62D" w14:textId="77777777" w:rsidR="00CE57F9" w:rsidRPr="004029EC" w:rsidRDefault="00CE57F9" w:rsidP="009010DE">
                            <w:pPr>
                              <w:widowControl/>
                              <w:adjustRightInd w:val="0"/>
                              <w:snapToGrid w:val="0"/>
                              <w:ind w:rightChars="-23" w:right="-55"/>
                              <w:jc w:val="both"/>
                              <w:rPr>
                                <w:rFonts w:ascii="標楷體" w:eastAsia="標楷體" w:hAnsi="標楷體"/>
                                <w:kern w:val="0"/>
                                <w:sz w:val="20"/>
                              </w:rPr>
                            </w:pPr>
                            <w:r w:rsidRPr="004029EC">
                              <w:rPr>
                                <w:rFonts w:ascii="標楷體" w:eastAsia="標楷體" w:hAnsi="標楷體" w:hint="eastAsia"/>
                                <w:kern w:val="0"/>
                                <w:sz w:val="20"/>
                              </w:rPr>
                              <w:t>機關通知廠商提出說明所訂期限過長，易衍生最低標廠商與次低標廠商合意獲取利差之機會。</w:t>
                            </w:r>
                          </w:p>
                        </w:tc>
                      </w:tr>
                      <w:tr w:rsidR="00CE57F9" w:rsidRPr="004029EC" w14:paraId="7C431C1F" w14:textId="77777777" w:rsidTr="009F1BF7">
                        <w:trPr>
                          <w:trHeight w:val="281"/>
                        </w:trPr>
                        <w:tc>
                          <w:tcPr>
                            <w:tcW w:w="2093" w:type="dxa"/>
                            <w:vMerge/>
                            <w:shd w:val="clear" w:color="auto" w:fill="auto"/>
                            <w:vAlign w:val="center"/>
                          </w:tcPr>
                          <w:p w14:paraId="5E971E3F" w14:textId="77777777" w:rsidR="00CE57F9" w:rsidRPr="004029EC" w:rsidRDefault="00CE57F9" w:rsidP="009010DE">
                            <w:pPr>
                              <w:widowControl/>
                              <w:adjustRightInd w:val="0"/>
                              <w:snapToGrid w:val="0"/>
                              <w:rPr>
                                <w:rFonts w:ascii="標楷體" w:eastAsia="標楷體" w:hAnsi="Calibri"/>
                                <w:kern w:val="0"/>
                                <w:sz w:val="20"/>
                              </w:rPr>
                            </w:pPr>
                          </w:p>
                        </w:tc>
                        <w:tc>
                          <w:tcPr>
                            <w:tcW w:w="7796" w:type="dxa"/>
                            <w:vAlign w:val="center"/>
                          </w:tcPr>
                          <w:p w14:paraId="6670463A" w14:textId="77777777" w:rsidR="00CE57F9" w:rsidRPr="004029EC" w:rsidRDefault="00CE57F9" w:rsidP="009010DE">
                            <w:pPr>
                              <w:widowControl/>
                              <w:adjustRightInd w:val="0"/>
                              <w:snapToGrid w:val="0"/>
                              <w:ind w:rightChars="-23" w:right="-55"/>
                              <w:jc w:val="both"/>
                              <w:rPr>
                                <w:rFonts w:ascii="標楷體" w:eastAsia="標楷體" w:hAnsi="標楷體"/>
                                <w:kern w:val="0"/>
                                <w:sz w:val="20"/>
                              </w:rPr>
                            </w:pPr>
                            <w:r w:rsidRPr="004029EC">
                              <w:rPr>
                                <w:rFonts w:ascii="標楷體" w:eastAsia="標楷體" w:hAnsi="標楷體" w:hint="eastAsia"/>
                                <w:kern w:val="0"/>
                                <w:sz w:val="20"/>
                              </w:rPr>
                              <w:t>機關未審慎考量請最低標廠商提出說明時間僅2日，卻要求</w:t>
                            </w:r>
                            <w:r w:rsidRPr="009010DE">
                              <w:rPr>
                                <w:rFonts w:ascii="標楷體" w:eastAsia="標楷體" w:hAnsi="標楷體" w:hint="eastAsia"/>
                                <w:spacing w:val="-4"/>
                                <w:kern w:val="0"/>
                                <w:sz w:val="20"/>
                              </w:rPr>
                              <w:t>其提出非</w:t>
                            </w:r>
                            <w:r>
                              <w:rPr>
                                <w:rFonts w:ascii="標楷體" w:eastAsia="標楷體" w:hAnsi="標楷體" w:hint="eastAsia"/>
                                <w:spacing w:val="-4"/>
                                <w:kern w:val="0"/>
                                <w:sz w:val="20"/>
                              </w:rPr>
                              <w:t>政府</w:t>
                            </w:r>
                            <w:r w:rsidRPr="009010DE">
                              <w:rPr>
                                <w:rFonts w:ascii="標楷體" w:eastAsia="標楷體" w:hAnsi="標楷體" w:hint="eastAsia"/>
                                <w:spacing w:val="-4"/>
                                <w:kern w:val="0"/>
                                <w:sz w:val="20"/>
                              </w:rPr>
                              <w:t>採購法第58條執行程序所列舉之成本效益分析說明。</w:t>
                            </w:r>
                          </w:p>
                        </w:tc>
                      </w:tr>
                      <w:tr w:rsidR="00CE57F9" w:rsidRPr="004029EC" w14:paraId="38185F74" w14:textId="77777777" w:rsidTr="009F1BF7">
                        <w:trPr>
                          <w:trHeight w:val="281"/>
                        </w:trPr>
                        <w:tc>
                          <w:tcPr>
                            <w:tcW w:w="2093" w:type="dxa"/>
                            <w:vMerge w:val="restart"/>
                            <w:shd w:val="clear" w:color="auto" w:fill="auto"/>
                            <w:vAlign w:val="center"/>
                          </w:tcPr>
                          <w:p w14:paraId="359AD789" w14:textId="77777777" w:rsidR="00CE57F9" w:rsidRPr="004029EC" w:rsidRDefault="00CE57F9" w:rsidP="009010DE">
                            <w:pPr>
                              <w:widowControl/>
                              <w:adjustRightInd w:val="0"/>
                              <w:snapToGrid w:val="0"/>
                              <w:rPr>
                                <w:rFonts w:ascii="標楷體" w:eastAsia="標楷體" w:hAnsi="Calibri"/>
                                <w:kern w:val="0"/>
                                <w:sz w:val="20"/>
                              </w:rPr>
                            </w:pPr>
                            <w:r w:rsidRPr="004029EC">
                              <w:rPr>
                                <w:rFonts w:ascii="標楷體" w:eastAsia="標楷體" w:hAnsi="Calibri" w:hint="eastAsia"/>
                                <w:kern w:val="0"/>
                                <w:sz w:val="20"/>
                              </w:rPr>
                              <w:t>最低標廠商函復說明是否合理之評估</w:t>
                            </w:r>
                          </w:p>
                        </w:tc>
                        <w:tc>
                          <w:tcPr>
                            <w:tcW w:w="7796" w:type="dxa"/>
                            <w:vAlign w:val="center"/>
                          </w:tcPr>
                          <w:p w14:paraId="104B696E" w14:textId="51751C18" w:rsidR="00CE57F9" w:rsidRPr="00346BDD" w:rsidRDefault="00CE57F9" w:rsidP="009010DE">
                            <w:pPr>
                              <w:widowControl/>
                              <w:adjustRightInd w:val="0"/>
                              <w:snapToGrid w:val="0"/>
                              <w:ind w:rightChars="-23" w:right="-55"/>
                              <w:jc w:val="both"/>
                              <w:rPr>
                                <w:rFonts w:ascii="標楷體" w:eastAsia="標楷體" w:hAnsi="標楷體"/>
                                <w:kern w:val="0"/>
                                <w:sz w:val="20"/>
                              </w:rPr>
                            </w:pPr>
                            <w:r w:rsidRPr="00346BDD">
                              <w:rPr>
                                <w:rFonts w:ascii="標楷體" w:eastAsia="標楷體" w:hAnsi="標楷體" w:hint="eastAsia"/>
                                <w:kern w:val="0"/>
                                <w:sz w:val="20"/>
                              </w:rPr>
                              <w:t>機關未針對最低標廠商之說明是否合理進行評估，即逕行決定不決標予最低標廠商，影響廠商權益。</w:t>
                            </w:r>
                          </w:p>
                        </w:tc>
                      </w:tr>
                      <w:tr w:rsidR="00CE57F9" w:rsidRPr="004029EC" w14:paraId="2DC06F99" w14:textId="77777777" w:rsidTr="009F1BF7">
                        <w:trPr>
                          <w:trHeight w:val="281"/>
                        </w:trPr>
                        <w:tc>
                          <w:tcPr>
                            <w:tcW w:w="2093" w:type="dxa"/>
                            <w:vMerge/>
                            <w:shd w:val="clear" w:color="auto" w:fill="auto"/>
                            <w:vAlign w:val="center"/>
                          </w:tcPr>
                          <w:p w14:paraId="1A12AB5A" w14:textId="77777777" w:rsidR="00CE57F9" w:rsidRPr="004029EC" w:rsidRDefault="00CE57F9" w:rsidP="009010DE">
                            <w:pPr>
                              <w:widowControl/>
                              <w:adjustRightInd w:val="0"/>
                              <w:snapToGrid w:val="0"/>
                              <w:rPr>
                                <w:rFonts w:ascii="標楷體" w:eastAsia="標楷體" w:hAnsi="Calibri"/>
                                <w:kern w:val="0"/>
                                <w:sz w:val="20"/>
                              </w:rPr>
                            </w:pPr>
                          </w:p>
                        </w:tc>
                        <w:tc>
                          <w:tcPr>
                            <w:tcW w:w="7796" w:type="dxa"/>
                            <w:vAlign w:val="center"/>
                          </w:tcPr>
                          <w:p w14:paraId="594456BD" w14:textId="35338ADF" w:rsidR="00CE57F9" w:rsidRPr="00346BDD" w:rsidRDefault="00CE57F9" w:rsidP="009010DE">
                            <w:pPr>
                              <w:widowControl/>
                              <w:adjustRightInd w:val="0"/>
                              <w:snapToGrid w:val="0"/>
                              <w:ind w:rightChars="-23" w:right="-55"/>
                              <w:jc w:val="both"/>
                              <w:rPr>
                                <w:rFonts w:ascii="標楷體" w:eastAsia="標楷體" w:hAnsi="標楷體"/>
                                <w:kern w:val="0"/>
                                <w:sz w:val="20"/>
                              </w:rPr>
                            </w:pPr>
                            <w:r w:rsidRPr="00346BDD">
                              <w:rPr>
                                <w:rFonts w:ascii="標楷體" w:eastAsia="標楷體" w:hAnsi="標楷體" w:hint="eastAsia"/>
                                <w:kern w:val="0"/>
                                <w:sz w:val="20"/>
                              </w:rPr>
                              <w:t>機關未審慎綜合評估最低標廠商之說明，是否有降低品質或不能誠信履約之疑慮，卻片面扭曲機關申購單位意見，逕行決定不決標予最低標廠商，影響廠商權益。</w:t>
                            </w:r>
                          </w:p>
                        </w:tc>
                      </w:tr>
                      <w:tr w:rsidR="00CE57F9" w:rsidRPr="004029EC" w14:paraId="35E89DE4" w14:textId="77777777" w:rsidTr="009F1BF7">
                        <w:trPr>
                          <w:trHeight w:val="281"/>
                        </w:trPr>
                        <w:tc>
                          <w:tcPr>
                            <w:tcW w:w="2093" w:type="dxa"/>
                            <w:shd w:val="clear" w:color="auto" w:fill="auto"/>
                            <w:vAlign w:val="center"/>
                          </w:tcPr>
                          <w:p w14:paraId="4A85F961" w14:textId="77777777" w:rsidR="00CE57F9" w:rsidRPr="004029EC" w:rsidRDefault="00CE57F9" w:rsidP="009010DE">
                            <w:pPr>
                              <w:widowControl/>
                              <w:adjustRightInd w:val="0"/>
                              <w:snapToGrid w:val="0"/>
                              <w:rPr>
                                <w:rFonts w:ascii="標楷體" w:eastAsia="標楷體" w:hAnsi="Calibri"/>
                                <w:kern w:val="0"/>
                                <w:sz w:val="20"/>
                              </w:rPr>
                            </w:pPr>
                            <w:r w:rsidRPr="004029EC">
                              <w:rPr>
                                <w:rFonts w:ascii="標楷體" w:eastAsia="標楷體" w:hAnsi="Calibri" w:hint="eastAsia"/>
                                <w:kern w:val="0"/>
                                <w:sz w:val="20"/>
                              </w:rPr>
                              <w:t>其他</w:t>
                            </w:r>
                          </w:p>
                        </w:tc>
                        <w:tc>
                          <w:tcPr>
                            <w:tcW w:w="7796" w:type="dxa"/>
                            <w:vAlign w:val="center"/>
                          </w:tcPr>
                          <w:p w14:paraId="10BCCBF1" w14:textId="77777777" w:rsidR="00CE57F9" w:rsidRPr="004029EC" w:rsidRDefault="00CE57F9" w:rsidP="009010DE">
                            <w:pPr>
                              <w:widowControl/>
                              <w:adjustRightInd w:val="0"/>
                              <w:snapToGrid w:val="0"/>
                              <w:ind w:rightChars="-23" w:right="-55"/>
                              <w:jc w:val="both"/>
                              <w:rPr>
                                <w:rFonts w:ascii="標楷體" w:eastAsia="標楷體" w:hAnsi="標楷體"/>
                                <w:kern w:val="0"/>
                                <w:sz w:val="20"/>
                              </w:rPr>
                            </w:pPr>
                            <w:r w:rsidRPr="004029EC">
                              <w:rPr>
                                <w:rFonts w:ascii="標楷體" w:eastAsia="標楷體" w:hAnsi="標楷體" w:hint="eastAsia"/>
                                <w:kern w:val="0"/>
                                <w:sz w:val="20"/>
                              </w:rPr>
                              <w:t>最低標廠商於機關通知說明期間，疑涉有與次低標廠商私下合意獲取利差之異常情事，惟機關並未察覺而決標予次低標廠商，影響機關權益。</w:t>
                            </w:r>
                          </w:p>
                        </w:tc>
                      </w:tr>
                    </w:tbl>
                    <w:p w14:paraId="37FDF64A" w14:textId="0AA86E37" w:rsidR="00CE57F9" w:rsidRPr="009010DE" w:rsidRDefault="00CE57F9" w:rsidP="00B2453C">
                      <w:pPr>
                        <w:rPr>
                          <w:rFonts w:ascii="標楷體" w:eastAsia="標楷體" w:hAnsi="標楷體"/>
                          <w:sz w:val="18"/>
                          <w:szCs w:val="18"/>
                        </w:rPr>
                      </w:pPr>
                      <w:r w:rsidRPr="009010DE">
                        <w:rPr>
                          <w:rFonts w:ascii="標楷體" w:eastAsia="標楷體" w:hAnsi="標楷體" w:hint="eastAsia"/>
                          <w:sz w:val="18"/>
                          <w:szCs w:val="18"/>
                        </w:rPr>
                        <w:t>資料來源：整理自本部調查</w:t>
                      </w:r>
                      <w:r w:rsidRPr="00346BDD">
                        <w:rPr>
                          <w:rFonts w:ascii="標楷體" w:eastAsia="標楷體" w:hAnsi="標楷體"/>
                          <w:sz w:val="18"/>
                          <w:szCs w:val="18"/>
                        </w:rPr>
                        <w:t>108年1月至111年6月決標之採購</w:t>
                      </w:r>
                      <w:r w:rsidRPr="00346BDD">
                        <w:rPr>
                          <w:rFonts w:ascii="標楷體" w:eastAsia="標楷體" w:hAnsi="標楷體" w:hint="eastAsia"/>
                          <w:sz w:val="18"/>
                          <w:szCs w:val="18"/>
                        </w:rPr>
                        <w:t>案件</w:t>
                      </w:r>
                      <w:r w:rsidRPr="009010DE">
                        <w:rPr>
                          <w:rFonts w:ascii="標楷體" w:eastAsia="標楷體" w:hAnsi="標楷體" w:hint="eastAsia"/>
                          <w:sz w:val="18"/>
                          <w:szCs w:val="18"/>
                        </w:rPr>
                        <w:t>。</w:t>
                      </w:r>
                    </w:p>
                  </w:txbxContent>
                </v:textbox>
                <w10:wrap type="square" anchorx="margin"/>
              </v:shape>
            </w:pict>
          </mc:Fallback>
        </mc:AlternateContent>
      </w:r>
      <w:r w:rsidR="00B2453C" w:rsidRPr="00DA2751">
        <w:rPr>
          <w:rFonts w:ascii="標楷體" w:eastAsia="標楷體" w:hAnsi="標楷體" w:hint="eastAsia"/>
          <w:kern w:val="0"/>
          <w:szCs w:val="24"/>
        </w:rPr>
        <w:t>機關辦理採購採最低標決標時，為防止廠商低價搶標，影響工作進度及品質，須依政府採購法第</w:t>
      </w:r>
      <w:r w:rsidR="00B2453C" w:rsidRPr="00DA2751">
        <w:rPr>
          <w:rFonts w:ascii="標楷體" w:eastAsia="標楷體" w:hAnsi="標楷體"/>
          <w:kern w:val="0"/>
          <w:szCs w:val="24"/>
        </w:rPr>
        <w:t>58條規定，如認為最低標廠商之總標價或部分標價偏低，顯不合理，有降低品質、不能誠信履約之虞或其他特殊情形，得限期通知該廠商提出說明或擔保；廠商未於機關通知期限內提出合理之說明或擔保者，得不決標予該廠商，並以次低標廠商為最低標廠商。又行政院公共工程委員會</w:t>
      </w:r>
      <w:r w:rsidR="00C35618">
        <w:rPr>
          <w:rFonts w:ascii="標楷體" w:eastAsia="標楷體" w:hAnsi="標楷體" w:hint="eastAsia"/>
          <w:color w:val="000000"/>
          <w:spacing w:val="-2"/>
          <w:szCs w:val="24"/>
        </w:rPr>
        <w:t>（下稱工程會）</w:t>
      </w:r>
      <w:r w:rsidR="00B2453C" w:rsidRPr="00DA2751">
        <w:rPr>
          <w:rFonts w:ascii="標楷體" w:eastAsia="標楷體" w:hAnsi="標楷體"/>
          <w:kern w:val="0"/>
          <w:szCs w:val="24"/>
        </w:rPr>
        <w:t>為利機關依</w:t>
      </w:r>
      <w:r w:rsidR="00B2453C" w:rsidRPr="00DA2751">
        <w:rPr>
          <w:rFonts w:ascii="標楷體" w:eastAsia="標楷體" w:hAnsi="標楷體" w:hint="eastAsia"/>
          <w:bCs/>
          <w:kern w:val="0"/>
          <w:szCs w:val="24"/>
        </w:rPr>
        <w:t>政府</w:t>
      </w:r>
      <w:r w:rsidR="00B2453C" w:rsidRPr="00DA2751">
        <w:rPr>
          <w:rFonts w:ascii="標楷體" w:eastAsia="標楷體" w:hAnsi="標楷體" w:hint="eastAsia"/>
          <w:kern w:val="0"/>
          <w:szCs w:val="24"/>
        </w:rPr>
        <w:t>採購法第</w:t>
      </w:r>
      <w:r w:rsidR="00B2453C" w:rsidRPr="00DA2751">
        <w:rPr>
          <w:rFonts w:ascii="標楷體" w:eastAsia="標楷體" w:hAnsi="標楷體"/>
          <w:kern w:val="0"/>
          <w:szCs w:val="24"/>
        </w:rPr>
        <w:t>58條規定處理總標價低於底價80</w:t>
      </w:r>
      <w:r w:rsidR="00B2453C" w:rsidRPr="00DA2751">
        <w:rPr>
          <w:rFonts w:ascii="標楷體" w:eastAsia="標楷體" w:hAnsi="標楷體" w:hint="eastAsia"/>
          <w:kern w:val="0"/>
          <w:szCs w:val="24"/>
        </w:rPr>
        <w:t>％之採購案件，於</w:t>
      </w:r>
      <w:r w:rsidR="00B2453C" w:rsidRPr="00DA2751">
        <w:rPr>
          <w:rFonts w:ascii="標楷體" w:eastAsia="標楷體" w:hAnsi="標楷體"/>
          <w:kern w:val="0"/>
          <w:szCs w:val="24"/>
        </w:rPr>
        <w:t>100年8月22日修正發布「依政府採購法第58條處理總標價低於底價百分之八十案件之執行程序」（下稱政府採購法第58條執行程序），供各機關遵循。經查</w:t>
      </w:r>
      <w:r w:rsidR="00C35618" w:rsidRPr="00DA2751">
        <w:rPr>
          <w:rFonts w:ascii="標楷體" w:eastAsia="標楷體" w:hAnsi="標楷體"/>
          <w:kern w:val="0"/>
          <w:szCs w:val="24"/>
        </w:rPr>
        <w:t>政府採購法第58條執行程序</w:t>
      </w:r>
      <w:r w:rsidR="00C35618">
        <w:rPr>
          <w:rFonts w:ascii="標楷體" w:eastAsia="標楷體" w:hAnsi="標楷體" w:hint="eastAsia"/>
          <w:kern w:val="0"/>
          <w:szCs w:val="24"/>
        </w:rPr>
        <w:t>，</w:t>
      </w:r>
      <w:r w:rsidR="00B2453C" w:rsidRPr="00346BDD">
        <w:rPr>
          <w:rFonts w:ascii="標楷體" w:eastAsia="標楷體" w:hAnsi="標楷體"/>
          <w:kern w:val="0"/>
          <w:szCs w:val="24"/>
        </w:rPr>
        <w:t>尚未依「檢討底價訂定是否合理」、「評估次低標廠商總標價是否合理」、「通知廠商提出說明」、「評估廠商說明內容是否合理」等總標價低於底價80</w:t>
      </w:r>
      <w:r w:rsidR="00B2453C" w:rsidRPr="00346BDD">
        <w:rPr>
          <w:rFonts w:ascii="標楷體" w:eastAsia="標楷體" w:hAnsi="標楷體" w:hint="eastAsia"/>
          <w:kern w:val="0"/>
          <w:szCs w:val="24"/>
        </w:rPr>
        <w:t>％採購案件之各階段作業，訂定執行作業流程及各階段作業之機關處理應行注意事項，致機關對該執行程序規定未盡熟稔，衍生採次低標決標採購案件之開（決）標過程，</w:t>
      </w:r>
      <w:r w:rsidR="00B2453C" w:rsidRPr="00346BDD">
        <w:rPr>
          <w:rFonts w:ascii="標楷體" w:eastAsia="標楷體" w:hAnsi="標楷體" w:hint="eastAsia"/>
          <w:kern w:val="0"/>
          <w:szCs w:val="32"/>
        </w:rPr>
        <w:t>仍存有機關</w:t>
      </w:r>
      <w:r w:rsidR="001562A1" w:rsidRPr="00346BDD">
        <w:rPr>
          <w:rFonts w:ascii="標楷體" w:eastAsia="標楷體" w:hAnsi="標楷體" w:hint="eastAsia"/>
          <w:kern w:val="0"/>
          <w:szCs w:val="32"/>
        </w:rPr>
        <w:t>未先行檢討底價訂定是否合理，亦未評估最低標廠商之總標價是否顯不合</w:t>
      </w:r>
      <w:r w:rsidR="00B2453C" w:rsidRPr="00346BDD">
        <w:rPr>
          <w:rFonts w:ascii="標楷體" w:eastAsia="標楷體" w:hAnsi="標楷體" w:hint="eastAsia"/>
          <w:kern w:val="0"/>
          <w:szCs w:val="32"/>
        </w:rPr>
        <w:t>理，有降低品質、不能誠信履約之虞等情形，即逕</w:t>
      </w:r>
      <w:r w:rsidR="001562A1" w:rsidRPr="00346BDD">
        <w:rPr>
          <w:rFonts w:ascii="標楷體" w:eastAsia="標楷體" w:hAnsi="標楷體" w:hint="eastAsia"/>
          <w:kern w:val="0"/>
          <w:szCs w:val="32"/>
        </w:rPr>
        <w:t>行</w:t>
      </w:r>
      <w:r w:rsidR="00B2453C" w:rsidRPr="00346BDD">
        <w:rPr>
          <w:rFonts w:ascii="標楷體" w:eastAsia="標楷體" w:hAnsi="標楷體" w:hint="eastAsia"/>
          <w:kern w:val="0"/>
          <w:szCs w:val="32"/>
        </w:rPr>
        <w:t>通知最低標廠商提出說明等情事</w:t>
      </w:r>
      <w:r w:rsidR="00B2453C" w:rsidRPr="00346BDD">
        <w:rPr>
          <w:rFonts w:ascii="標楷體" w:eastAsia="標楷體" w:hAnsi="標楷體" w:hint="eastAsia"/>
          <w:bCs/>
          <w:kern w:val="0"/>
          <w:szCs w:val="48"/>
        </w:rPr>
        <w:t>（</w:t>
      </w:r>
      <w:r w:rsidR="00B2453C" w:rsidRPr="00346BDD">
        <w:rPr>
          <w:rFonts w:ascii="標楷體" w:eastAsia="標楷體" w:hAnsi="標楷體" w:hint="eastAsia"/>
          <w:bCs/>
          <w:kern w:val="0"/>
          <w:szCs w:val="24"/>
        </w:rPr>
        <w:t>表</w:t>
      </w:r>
      <w:r w:rsidR="00B2453C" w:rsidRPr="00346BDD">
        <w:rPr>
          <w:rFonts w:ascii="標楷體" w:eastAsia="標楷體" w:hAnsi="標楷體"/>
          <w:bCs/>
          <w:kern w:val="0"/>
          <w:szCs w:val="24"/>
        </w:rPr>
        <w:t>2</w:t>
      </w:r>
      <w:r w:rsidR="00B729E6" w:rsidRPr="00346BDD">
        <w:rPr>
          <w:rFonts w:ascii="標楷體" w:eastAsia="標楷體" w:hAnsi="標楷體"/>
          <w:kern w:val="0"/>
          <w:szCs w:val="24"/>
        </w:rPr>
        <w:t>8</w:t>
      </w:r>
      <w:r w:rsidR="00B2453C" w:rsidRPr="00346BDD">
        <w:rPr>
          <w:rFonts w:ascii="標楷體" w:eastAsia="標楷體" w:hAnsi="標楷體" w:hint="eastAsia"/>
          <w:bCs/>
          <w:kern w:val="0"/>
          <w:szCs w:val="48"/>
        </w:rPr>
        <w:t>）</w:t>
      </w:r>
      <w:r w:rsidR="00B2453C" w:rsidRPr="00346BDD">
        <w:rPr>
          <w:rFonts w:ascii="標楷體" w:eastAsia="標楷體" w:hAnsi="標楷體" w:hint="eastAsia"/>
          <w:kern w:val="0"/>
          <w:szCs w:val="32"/>
        </w:rPr>
        <w:t>，與政府採購法第</w:t>
      </w:r>
      <w:r w:rsidR="00B2453C" w:rsidRPr="00346BDD">
        <w:rPr>
          <w:rFonts w:ascii="標楷體" w:eastAsia="標楷體" w:hAnsi="標楷體"/>
          <w:kern w:val="0"/>
          <w:szCs w:val="32"/>
        </w:rPr>
        <w:t>58條執行程序不符，未能確保廠商與</w:t>
      </w:r>
      <w:r w:rsidR="00B2453C" w:rsidRPr="00346BDD">
        <w:rPr>
          <w:rFonts w:ascii="標楷體" w:eastAsia="標楷體" w:hAnsi="標楷體" w:hint="eastAsia"/>
          <w:kern w:val="0"/>
          <w:szCs w:val="24"/>
        </w:rPr>
        <w:t>機關權益，經函請工程會檢討改善。據復：</w:t>
      </w:r>
      <w:r w:rsidR="00334B6E" w:rsidRPr="00346BDD">
        <w:rPr>
          <w:rFonts w:ascii="標楷體" w:eastAsia="標楷體" w:hAnsi="標楷體" w:hint="eastAsia"/>
          <w:bCs/>
          <w:kern w:val="0"/>
          <w:szCs w:val="24"/>
        </w:rPr>
        <w:t>已針對政府採購法第</w:t>
      </w:r>
      <w:r w:rsidR="00334B6E" w:rsidRPr="00346BDD">
        <w:rPr>
          <w:rFonts w:ascii="標楷體" w:eastAsia="標楷體" w:hAnsi="標楷體"/>
          <w:bCs/>
          <w:kern w:val="0"/>
          <w:szCs w:val="24"/>
        </w:rPr>
        <w:t>58條執行程序之內容，蒐集資料進行研議</w:t>
      </w:r>
      <w:r w:rsidR="00B2453C" w:rsidRPr="00346BDD">
        <w:rPr>
          <w:rFonts w:ascii="標楷體" w:eastAsia="標楷體" w:hAnsi="標楷體" w:hint="eastAsia"/>
          <w:bCs/>
          <w:kern w:val="0"/>
          <w:szCs w:val="24"/>
        </w:rPr>
        <w:t>。</w:t>
      </w:r>
    </w:p>
    <w:p w14:paraId="3E665B1C" w14:textId="674B57DD" w:rsidR="00030D92" w:rsidRPr="009D11AD" w:rsidRDefault="009711FD" w:rsidP="00DA2751">
      <w:pPr>
        <w:pStyle w:val="2"/>
        <w:overflowPunct w:val="0"/>
        <w:spacing w:beforeLines="20" w:before="72" w:afterLines="20" w:after="72" w:line="460" w:lineRule="exact"/>
        <w:ind w:left="0" w:firstLineChars="200" w:firstLine="561"/>
        <w:rPr>
          <w:rFonts w:hAnsi="標楷體"/>
          <w:b/>
          <w:sz w:val="28"/>
          <w:szCs w:val="32"/>
        </w:rPr>
      </w:pPr>
      <w:r w:rsidRPr="00DA2751">
        <w:rPr>
          <w:rFonts w:hAnsi="標楷體" w:hint="eastAsia"/>
          <w:b/>
          <w:sz w:val="28"/>
        </w:rPr>
        <w:lastRenderedPageBreak/>
        <w:t>（三十</w:t>
      </w:r>
      <w:r w:rsidR="00B2453C" w:rsidRPr="00DA2751">
        <w:rPr>
          <w:rFonts w:hAnsi="標楷體" w:hint="eastAsia"/>
          <w:b/>
          <w:sz w:val="28"/>
        </w:rPr>
        <w:t>九</w:t>
      </w:r>
      <w:r w:rsidRPr="00DA2751">
        <w:rPr>
          <w:rFonts w:hAnsi="標楷體" w:hint="eastAsia"/>
          <w:b/>
          <w:sz w:val="28"/>
        </w:rPr>
        <w:t>）　政府採購法訂有行政管制與裁罰機制，以維持採購秩序，確保採購品質，並避免不良廠商危害機關採購，惟對於政府採購涉及刑事不法資訊之共享與取得、採購機關落實程度之監督與管控、裁處權時效之規範及採購全生命週期所涉法律責任之預警等事項，尚待研</w:t>
      </w:r>
      <w:r w:rsidR="00164AFA">
        <w:rPr>
          <w:rFonts w:hAnsi="標楷體" w:hint="eastAsia"/>
          <w:b/>
          <w:sz w:val="28"/>
        </w:rPr>
        <w:t>謀妥處</w:t>
      </w:r>
      <w:r w:rsidRPr="00DA2751">
        <w:rPr>
          <w:rFonts w:hAnsi="標楷體" w:hint="eastAsia"/>
          <w:b/>
          <w:sz w:val="28"/>
        </w:rPr>
        <w:t>，俾確保機關有效落實執行機制，發揮政府採購法藉由該等機制遏阻違法廠商之立法功能。</w:t>
      </w:r>
    </w:p>
    <w:p w14:paraId="29138E07" w14:textId="68EFB360" w:rsidR="00030D92" w:rsidRPr="009D11AD" w:rsidRDefault="006C4286" w:rsidP="00DA2751">
      <w:pPr>
        <w:widowControl/>
        <w:overflowPunct w:val="0"/>
        <w:spacing w:line="440" w:lineRule="exact"/>
        <w:ind w:firstLineChars="200" w:firstLine="480"/>
        <w:jc w:val="both"/>
        <w:rPr>
          <w:rFonts w:ascii="標楷體" w:eastAsia="標楷體" w:hAnsi="標楷體"/>
        </w:rPr>
      </w:pPr>
      <w:r w:rsidRPr="009D11AD">
        <w:rPr>
          <w:rFonts w:ascii="標楷體" w:eastAsia="標楷體" w:hAnsi="標楷體" w:hint="eastAsia"/>
        </w:rPr>
        <w:t>依據政府採購法</w:t>
      </w:r>
      <w:r w:rsidR="009711FD" w:rsidRPr="009D11AD">
        <w:rPr>
          <w:rFonts w:ascii="標楷體" w:eastAsia="標楷體" w:hAnsi="標楷體" w:hint="eastAsia"/>
        </w:rPr>
        <w:t>第1條規定：「為建立政府採購制度，依公平、公開之採購程序，提升採購效率與功能，確保採購品質，爰制定本法。」又為維持採購秩序，排除廠商以非正當商業行為之不正利益給付，且杜絕不良廠商之「違法」或「重大違約」行為，避免其再危害其他機關等，於同法第31條、第50條、第59條及第101條等條文訂有相關規範。基此，為實踐前開</w:t>
      </w:r>
      <w:r w:rsidRPr="009D11AD">
        <w:rPr>
          <w:rFonts w:ascii="標楷體" w:eastAsia="標楷體" w:hAnsi="標楷體" w:hint="eastAsia"/>
        </w:rPr>
        <w:t>政府</w:t>
      </w:r>
      <w:r w:rsidR="009711FD" w:rsidRPr="009D11AD">
        <w:rPr>
          <w:rFonts w:ascii="標楷體" w:eastAsia="標楷體" w:hAnsi="標楷體" w:hint="eastAsia"/>
        </w:rPr>
        <w:t>採購法制定之目的，採購主辦</w:t>
      </w:r>
      <w:r w:rsidR="0069290D" w:rsidRPr="009D11AD">
        <w:rPr>
          <w:rFonts w:ascii="標楷體" w:eastAsia="標楷體" w:hAnsi="標楷體" w:hint="eastAsia"/>
        </w:rPr>
        <w:t>機關應根據事實狀況，依前開</w:t>
      </w:r>
      <w:r w:rsidRPr="009D11AD">
        <w:rPr>
          <w:rFonts w:ascii="標楷體" w:eastAsia="標楷體" w:hAnsi="標楷體" w:hint="eastAsia"/>
        </w:rPr>
        <w:t>政府</w:t>
      </w:r>
      <w:r w:rsidR="0069290D" w:rsidRPr="009D11AD">
        <w:rPr>
          <w:rFonts w:ascii="標楷體" w:eastAsia="標楷體" w:hAnsi="標楷體" w:hint="eastAsia"/>
        </w:rPr>
        <w:t>採購法、主管機關行政院公共工程委員會</w:t>
      </w:r>
      <w:r w:rsidR="00963271">
        <w:rPr>
          <w:rFonts w:ascii="標楷體" w:eastAsia="標楷體" w:hAnsi="標楷體" w:hint="eastAsia"/>
          <w:color w:val="000000"/>
          <w:spacing w:val="-2"/>
          <w:szCs w:val="24"/>
        </w:rPr>
        <w:t>（下稱工程會）</w:t>
      </w:r>
      <w:r w:rsidR="009711FD" w:rsidRPr="009D11AD">
        <w:rPr>
          <w:rFonts w:ascii="標楷體" w:eastAsia="標楷體" w:hAnsi="標楷體" w:hint="eastAsia"/>
        </w:rPr>
        <w:t>之相關函（令）示，及個別採購契約等相關規定，對於涉及圍標、綁標、行賄、偽造文書、詐欺、傷害及妨礙自由等刑事不法行為之廠商，執行追繳或不予發還押標金、不予發還保證金、追償損失、將不正利益自契約價款中扣除或限期給付、終止或解除契約、刊登拒絕往來廠商等措施（以下併稱政府採購行政管制與裁罰機制）。經查執行情形，核有：1.政府採購刑事不法案件經緩起訴處分之資訊共享機制並未落實，且部分案件係由採購機關主動告發，卻因疏於列管追蹤或與檢調機關未建立溝通管道，致未能落實執行政府採購行政管制與裁罰機制，甚有罹於裁處</w:t>
      </w:r>
      <w:r w:rsidR="009711FD" w:rsidRPr="00E8164A">
        <w:rPr>
          <w:rFonts w:ascii="標楷體" w:eastAsia="標楷體" w:hAnsi="標楷體" w:hint="eastAsia"/>
        </w:rPr>
        <w:t>時效者</w:t>
      </w:r>
      <w:r w:rsidR="00E8164A" w:rsidRPr="00346BDD">
        <w:rPr>
          <w:rFonts w:ascii="標楷體" w:eastAsia="標楷體" w:hAnsi="標楷體" w:hint="eastAsia"/>
        </w:rPr>
        <w:t>，亟待</w:t>
      </w:r>
      <w:r w:rsidR="00963271" w:rsidRPr="00346BDD">
        <w:rPr>
          <w:rFonts w:ascii="標楷體" w:eastAsia="標楷體" w:hAnsi="標楷體" w:hint="eastAsia"/>
        </w:rPr>
        <w:t>工程</w:t>
      </w:r>
      <w:r w:rsidR="00E8164A" w:rsidRPr="00346BDD">
        <w:rPr>
          <w:rFonts w:ascii="標楷體" w:eastAsia="標楷體" w:hAnsi="標楷體" w:hint="eastAsia"/>
        </w:rPr>
        <w:t>會偕同法務部研商加強資訊共享機制，並建立採購機關與檢調機關之有效溝通管道</w:t>
      </w:r>
      <w:r w:rsidR="009711FD" w:rsidRPr="00346BDD">
        <w:rPr>
          <w:rFonts w:ascii="標楷體" w:eastAsia="標楷體" w:hAnsi="標楷體" w:hint="eastAsia"/>
        </w:rPr>
        <w:t>；2.部分機關錯漏執行政府採購行政管制與裁罰機制，致違法廠商未能受到行政管制或裁罰</w:t>
      </w:r>
      <w:r w:rsidR="00E8164A" w:rsidRPr="00346BDD">
        <w:rPr>
          <w:rFonts w:ascii="標楷體" w:eastAsia="標楷體" w:hAnsi="標楷體" w:hint="eastAsia"/>
        </w:rPr>
        <w:t>，亟待工程會研議彙編執行作業手冊，並加強採購人員教育訓練</w:t>
      </w:r>
      <w:r w:rsidR="009711FD" w:rsidRPr="00346BDD">
        <w:rPr>
          <w:rFonts w:ascii="標楷體" w:eastAsia="標楷體" w:hAnsi="標楷體" w:hint="eastAsia"/>
        </w:rPr>
        <w:t>；3.</w:t>
      </w:r>
      <w:r w:rsidR="00271BE5" w:rsidRPr="00346BDD">
        <w:rPr>
          <w:rFonts w:ascii="標楷體" w:eastAsia="標楷體" w:hAnsi="標楷體" w:hint="eastAsia"/>
        </w:rPr>
        <w:t>工程會</w:t>
      </w:r>
      <w:r w:rsidR="009711FD" w:rsidRPr="00346BDD">
        <w:rPr>
          <w:rFonts w:ascii="標楷體" w:eastAsia="標楷體" w:hAnsi="標楷體" w:hint="eastAsia"/>
        </w:rPr>
        <w:t>現行法院判決書系統清查機制之管控範疇，未含括</w:t>
      </w:r>
      <w:r w:rsidRPr="00346BDD">
        <w:rPr>
          <w:rFonts w:ascii="標楷體" w:eastAsia="標楷體" w:hAnsi="標楷體" w:hint="eastAsia"/>
        </w:rPr>
        <w:t>政府</w:t>
      </w:r>
      <w:r w:rsidR="009711FD" w:rsidRPr="00346BDD">
        <w:rPr>
          <w:rFonts w:ascii="標楷體" w:eastAsia="標楷體" w:hAnsi="標楷體" w:hint="eastAsia"/>
        </w:rPr>
        <w:t>採購法第31條、第50條及第59條暨相關契約規定，且系統通報功能尚有不足，或部分採購稽核小組未落實監督，致部分機關仍有漏未執行政府採購行政管制及裁罰機制情形</w:t>
      </w:r>
      <w:r w:rsidR="00E8164A" w:rsidRPr="00346BDD">
        <w:rPr>
          <w:rFonts w:ascii="標楷體" w:eastAsia="標楷體" w:hAnsi="標楷體" w:hint="eastAsia"/>
        </w:rPr>
        <w:t>，亟待強化系統功能及擴充系統清查機制之管控範疇，並督促各級採購稽核小組落實監督並實施定期清查，避免類情再次發生</w:t>
      </w:r>
      <w:r w:rsidR="009711FD" w:rsidRPr="00346BDD">
        <w:rPr>
          <w:rFonts w:ascii="標楷體" w:eastAsia="標楷體" w:hAnsi="標楷體" w:hint="eastAsia"/>
        </w:rPr>
        <w:t>；4.</w:t>
      </w:r>
      <w:r w:rsidRPr="00346BDD">
        <w:rPr>
          <w:rFonts w:ascii="標楷體" w:eastAsia="標楷體" w:hAnsi="標楷體" w:hint="eastAsia"/>
        </w:rPr>
        <w:t>政府</w:t>
      </w:r>
      <w:r w:rsidR="009711FD" w:rsidRPr="00346BDD">
        <w:rPr>
          <w:rFonts w:ascii="標楷體" w:eastAsia="標楷體" w:hAnsi="標楷體" w:hint="eastAsia"/>
        </w:rPr>
        <w:t>採購法第101條第1項各款之裁處權時效及起算點未有特別規定，致部分違法廠商雖經法院判決或檢察官緩起訴處分，卻因機關知悉時已罹於時效，致無法將違法廠商刊登政府採購公報</w:t>
      </w:r>
      <w:r w:rsidR="00E8164A" w:rsidRPr="00346BDD">
        <w:rPr>
          <w:rFonts w:ascii="標楷體" w:eastAsia="標楷體" w:hAnsi="標楷體" w:hint="eastAsia"/>
        </w:rPr>
        <w:t>，亟待工程會檢討研修裁處權時效及起算點相關規範，以落實政府採購法訂定政府採購裁罰機制防止不良廠商參加政府採購之立法意旨</w:t>
      </w:r>
      <w:r w:rsidR="009711FD" w:rsidRPr="00346BDD">
        <w:rPr>
          <w:rFonts w:ascii="標楷體" w:eastAsia="標楷體" w:hAnsi="標楷體" w:hint="eastAsia"/>
        </w:rPr>
        <w:t>；5.主管機關尚未建立廠商及機關人員參與各類型採購全生命週期可能涉及法律責任之應注意事項，難以防止不法情事再生</w:t>
      </w:r>
      <w:r w:rsidR="00E8164A" w:rsidRPr="00346BDD">
        <w:rPr>
          <w:rFonts w:ascii="標楷體" w:eastAsia="標楷體" w:hAnsi="標楷體" w:hint="eastAsia"/>
        </w:rPr>
        <w:t>，亟待健全相關預警機制，供採購機關依循</w:t>
      </w:r>
      <w:r w:rsidR="009711FD" w:rsidRPr="00346BDD">
        <w:rPr>
          <w:rFonts w:ascii="標楷體" w:eastAsia="標楷體" w:hAnsi="標楷體" w:hint="eastAsia"/>
        </w:rPr>
        <w:t>等情事，經函請</w:t>
      </w:r>
      <w:r w:rsidR="00271BE5" w:rsidRPr="00346BDD">
        <w:rPr>
          <w:rFonts w:ascii="標楷體" w:eastAsia="標楷體" w:hAnsi="標楷體" w:hint="eastAsia"/>
        </w:rPr>
        <w:t>工程會</w:t>
      </w:r>
      <w:r w:rsidR="009711FD" w:rsidRPr="00346BDD">
        <w:rPr>
          <w:rFonts w:ascii="標楷體" w:eastAsia="標楷體" w:hAnsi="標楷體" w:hint="eastAsia"/>
        </w:rPr>
        <w:t>研謀妥處。據復：</w:t>
      </w:r>
      <w:r w:rsidR="00E8164A" w:rsidRPr="00346BDD">
        <w:rPr>
          <w:rFonts w:ascii="標楷體" w:eastAsia="標楷體" w:hAnsi="標楷體" w:hint="eastAsia"/>
        </w:rPr>
        <w:t>因涉及各級政府執行政府採購行政管制與裁罰機制之事實認定及法規適用事宜，刻正蒐集實務案例與法院判決等資料，據以研處相關改善措施</w:t>
      </w:r>
      <w:r w:rsidR="009711FD" w:rsidRPr="00346BDD">
        <w:rPr>
          <w:rFonts w:ascii="標楷體" w:eastAsia="標楷體" w:hAnsi="標楷體" w:hint="eastAsia"/>
        </w:rPr>
        <w:t>。</w:t>
      </w:r>
    </w:p>
    <w:p w14:paraId="5E7485FF" w14:textId="6C2CA576" w:rsidR="00A82D4F" w:rsidRPr="00DA2751" w:rsidRDefault="00A82D4F" w:rsidP="00DA2751">
      <w:pPr>
        <w:overflowPunct w:val="0"/>
        <w:snapToGrid w:val="0"/>
        <w:spacing w:beforeLines="20" w:before="72" w:afterLines="20" w:after="72" w:line="460" w:lineRule="exact"/>
        <w:ind w:firstLineChars="200" w:firstLine="561"/>
        <w:jc w:val="both"/>
        <w:rPr>
          <w:rFonts w:ascii="標楷體" w:eastAsia="標楷體" w:hAnsi="標楷體"/>
          <w:b/>
          <w:sz w:val="28"/>
          <w:szCs w:val="28"/>
        </w:rPr>
      </w:pPr>
      <w:r w:rsidRPr="00DA2751">
        <w:rPr>
          <w:rFonts w:ascii="標楷體" w:eastAsia="標楷體" w:hAnsi="標楷體" w:hint="eastAsia"/>
          <w:b/>
          <w:sz w:val="28"/>
          <w:szCs w:val="28"/>
        </w:rPr>
        <w:lastRenderedPageBreak/>
        <w:t>（四十）</w:t>
      </w:r>
      <w:r w:rsidR="00F93D96" w:rsidRPr="00DA2751">
        <w:rPr>
          <w:rFonts w:hAnsi="標楷體" w:hint="eastAsia"/>
          <w:b/>
          <w:sz w:val="28"/>
        </w:rPr>
        <w:t xml:space="preserve">　</w:t>
      </w:r>
      <w:r w:rsidRPr="00DA2751">
        <w:rPr>
          <w:rFonts w:ascii="標楷體" w:eastAsia="標楷體" w:hAnsi="標楷體" w:hint="eastAsia"/>
          <w:b/>
          <w:sz w:val="28"/>
          <w:szCs w:val="28"/>
        </w:rPr>
        <w:t>政府為維護採購秩序，防止廠商圍標行為，已訂定相關課責及預防機制</w:t>
      </w:r>
      <w:r w:rsidRPr="00346BDD">
        <w:rPr>
          <w:rFonts w:ascii="標楷體" w:eastAsia="標楷體" w:hAnsi="標楷體" w:hint="eastAsia"/>
          <w:b/>
          <w:sz w:val="28"/>
          <w:szCs w:val="28"/>
        </w:rPr>
        <w:t>，惟</w:t>
      </w:r>
      <w:r w:rsidR="00781B1E" w:rsidRPr="00346BDD">
        <w:rPr>
          <w:rFonts w:ascii="標楷體" w:eastAsia="標楷體" w:hAnsi="標楷體" w:hint="eastAsia"/>
          <w:b/>
          <w:sz w:val="28"/>
          <w:szCs w:val="28"/>
        </w:rPr>
        <w:t>其</w:t>
      </w:r>
      <w:r w:rsidRPr="00346BDD">
        <w:rPr>
          <w:rFonts w:ascii="標楷體" w:eastAsia="標楷體" w:hAnsi="標楷體" w:hint="eastAsia"/>
          <w:b/>
          <w:sz w:val="28"/>
          <w:szCs w:val="28"/>
        </w:rPr>
        <w:t>機制</w:t>
      </w:r>
      <w:r w:rsidRPr="00DA2751">
        <w:rPr>
          <w:rFonts w:ascii="標楷體" w:eastAsia="標楷體" w:hAnsi="標楷體" w:hint="eastAsia"/>
          <w:b/>
          <w:sz w:val="28"/>
          <w:szCs w:val="28"/>
        </w:rPr>
        <w:t>功能及執行內涵，</w:t>
      </w:r>
      <w:r w:rsidR="00164AFA">
        <w:rPr>
          <w:rFonts w:ascii="標楷體" w:eastAsia="標楷體" w:hAnsi="標楷體" w:hint="eastAsia"/>
          <w:b/>
          <w:sz w:val="28"/>
          <w:szCs w:val="28"/>
        </w:rPr>
        <w:t>尚</w:t>
      </w:r>
      <w:r w:rsidRPr="00DA2751">
        <w:rPr>
          <w:rFonts w:ascii="標楷體" w:eastAsia="標楷體" w:hAnsi="標楷體" w:hint="eastAsia"/>
          <w:b/>
          <w:sz w:val="28"/>
          <w:szCs w:val="28"/>
        </w:rPr>
        <w:t>待研謀</w:t>
      </w:r>
      <w:r w:rsidR="00164AFA">
        <w:rPr>
          <w:rFonts w:ascii="標楷體" w:eastAsia="標楷體" w:hAnsi="標楷體" w:hint="eastAsia"/>
          <w:b/>
          <w:sz w:val="28"/>
          <w:szCs w:val="28"/>
        </w:rPr>
        <w:t>強化</w:t>
      </w:r>
      <w:r w:rsidRPr="00DA2751">
        <w:rPr>
          <w:rFonts w:ascii="標楷體" w:eastAsia="標楷體" w:hAnsi="標楷體" w:hint="eastAsia"/>
          <w:b/>
          <w:sz w:val="28"/>
          <w:szCs w:val="28"/>
        </w:rPr>
        <w:t>。</w:t>
      </w:r>
    </w:p>
    <w:p w14:paraId="4F45F601" w14:textId="0B5D118D" w:rsidR="00C53AA5" w:rsidRPr="009D11AD" w:rsidRDefault="004A7EDA" w:rsidP="004F5959">
      <w:pPr>
        <w:overflowPunct w:val="0"/>
        <w:snapToGrid w:val="0"/>
        <w:spacing w:line="440" w:lineRule="exact"/>
        <w:ind w:firstLineChars="200" w:firstLine="480"/>
        <w:jc w:val="both"/>
        <w:rPr>
          <w:rFonts w:ascii="標楷體" w:eastAsia="標楷體" w:hAnsi="標楷體"/>
          <w:color w:val="FF0000"/>
          <w:kern w:val="0"/>
          <w:szCs w:val="24"/>
        </w:rPr>
      </w:pPr>
      <w:r w:rsidRPr="009D11AD">
        <w:rPr>
          <w:rFonts w:ascii="標楷體" w:eastAsia="標楷體" w:hAnsi="標楷體"/>
          <w:bCs/>
          <w:noProof/>
          <w:szCs w:val="32"/>
        </w:rPr>
        <mc:AlternateContent>
          <mc:Choice Requires="wps">
            <w:drawing>
              <wp:anchor distT="45720" distB="45720" distL="114300" distR="114300" simplePos="0" relativeHeight="251654656" behindDoc="0" locked="0" layoutInCell="1" allowOverlap="1" wp14:anchorId="57B59893" wp14:editId="0F2A2395">
                <wp:simplePos x="0" y="0"/>
                <wp:positionH relativeFrom="column">
                  <wp:posOffset>2402840</wp:posOffset>
                </wp:positionH>
                <wp:positionV relativeFrom="paragraph">
                  <wp:posOffset>119297</wp:posOffset>
                </wp:positionV>
                <wp:extent cx="3880485" cy="3863340"/>
                <wp:effectExtent l="0" t="0" r="5715" b="3810"/>
                <wp:wrapSquare wrapText="bothSides"/>
                <wp:docPr id="6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0485" cy="3863340"/>
                        </a:xfrm>
                        <a:prstGeom prst="rect">
                          <a:avLst/>
                        </a:prstGeom>
                        <a:solidFill>
                          <a:srgbClr val="FFFFFF"/>
                        </a:solidFill>
                        <a:ln w="9525">
                          <a:noFill/>
                          <a:miter lim="800000"/>
                          <a:headEnd/>
                          <a:tailEnd/>
                        </a:ln>
                      </wps:spPr>
                      <wps:txbx>
                        <w:txbxContent>
                          <w:p w14:paraId="664C7F71" w14:textId="379CCEE4" w:rsidR="00CE57F9" w:rsidRDefault="00CE57F9" w:rsidP="00D66F89">
                            <w:pPr>
                              <w:jc w:val="center"/>
                              <w:rPr>
                                <w:rFonts w:ascii="標楷體" w:eastAsia="標楷體" w:hAnsi="標楷體"/>
                                <w:b/>
                              </w:rPr>
                            </w:pPr>
                            <w:r w:rsidRPr="00D15D1C">
                              <w:rPr>
                                <w:rFonts w:ascii="標楷體" w:eastAsia="標楷體" w:hAnsi="標楷體" w:hint="eastAsia"/>
                                <w:b/>
                              </w:rPr>
                              <w:t>表</w:t>
                            </w:r>
                            <w:r>
                              <w:rPr>
                                <w:rFonts w:ascii="標楷體" w:eastAsia="標楷體" w:hAnsi="標楷體"/>
                                <w:b/>
                              </w:rPr>
                              <w:t>29</w:t>
                            </w:r>
                            <w:r w:rsidRPr="00D15D1C">
                              <w:rPr>
                                <w:rFonts w:ascii="標楷體" w:eastAsia="標楷體" w:hAnsi="標楷體" w:hint="eastAsia"/>
                                <w:b/>
                              </w:rPr>
                              <w:t xml:space="preserve">　政府對採購</w:t>
                            </w:r>
                            <w:r w:rsidRPr="00D15D1C">
                              <w:rPr>
                                <w:rFonts w:ascii="標楷體" w:eastAsia="標楷體" w:hAnsi="標楷體"/>
                                <w:b/>
                              </w:rPr>
                              <w:t>圍標</w:t>
                            </w:r>
                            <w:r w:rsidRPr="00D15D1C">
                              <w:rPr>
                                <w:rFonts w:ascii="標楷體" w:eastAsia="標楷體" w:hAnsi="標楷體" w:hint="eastAsia"/>
                                <w:b/>
                              </w:rPr>
                              <w:t>行為相關課責及預防</w:t>
                            </w:r>
                            <w:r w:rsidRPr="00D15D1C">
                              <w:rPr>
                                <w:rFonts w:ascii="標楷體" w:eastAsia="標楷體" w:hAnsi="標楷體"/>
                                <w:b/>
                              </w:rPr>
                              <w:t>機制</w:t>
                            </w:r>
                          </w:p>
                          <w:tbl>
                            <w:tblPr>
                              <w:tblW w:w="6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820"/>
                            </w:tblGrid>
                            <w:tr w:rsidR="00CE57F9" w:rsidRPr="00D15D1C" w14:paraId="05D45A42" w14:textId="77777777" w:rsidTr="00F93D96">
                              <w:trPr>
                                <w:trHeight w:val="245"/>
                              </w:trPr>
                              <w:tc>
                                <w:tcPr>
                                  <w:tcW w:w="1242" w:type="dxa"/>
                                  <w:shd w:val="clear" w:color="auto" w:fill="auto"/>
                                  <w:vAlign w:val="center"/>
                                </w:tcPr>
                                <w:p w14:paraId="1FC212B4" w14:textId="77777777" w:rsidR="00CE57F9" w:rsidRPr="00D15D1C" w:rsidRDefault="00CE57F9" w:rsidP="00160948">
                                  <w:pPr>
                                    <w:adjustRightInd w:val="0"/>
                                    <w:snapToGrid w:val="0"/>
                                    <w:jc w:val="center"/>
                                    <w:rPr>
                                      <w:rFonts w:ascii="標楷體" w:eastAsia="標楷體" w:hAnsi="Calibri"/>
                                      <w:sz w:val="20"/>
                                    </w:rPr>
                                  </w:pPr>
                                  <w:r w:rsidRPr="00D15D1C">
                                    <w:rPr>
                                      <w:rFonts w:ascii="標楷體" w:eastAsia="標楷體" w:hAnsi="Calibri" w:hint="eastAsia"/>
                                      <w:sz w:val="20"/>
                                    </w:rPr>
                                    <w:t>類</w:t>
                                  </w:r>
                                  <w:r w:rsidRPr="00D15D1C">
                                    <w:rPr>
                                      <w:rFonts w:ascii="標楷體" w:eastAsia="標楷體" w:hAnsi="Calibri"/>
                                      <w:sz w:val="20"/>
                                    </w:rPr>
                                    <w:t>別</w:t>
                                  </w:r>
                                </w:p>
                              </w:tc>
                              <w:tc>
                                <w:tcPr>
                                  <w:tcW w:w="4820" w:type="dxa"/>
                                  <w:shd w:val="clear" w:color="auto" w:fill="auto"/>
                                  <w:vAlign w:val="center"/>
                                </w:tcPr>
                                <w:p w14:paraId="73545882" w14:textId="77777777" w:rsidR="00CE57F9" w:rsidRPr="00D15D1C" w:rsidRDefault="00CE57F9" w:rsidP="00160948">
                                  <w:pPr>
                                    <w:adjustRightInd w:val="0"/>
                                    <w:snapToGrid w:val="0"/>
                                    <w:jc w:val="center"/>
                                    <w:rPr>
                                      <w:rFonts w:ascii="標楷體" w:eastAsia="標楷體" w:hAnsi="標楷體"/>
                                      <w:sz w:val="20"/>
                                    </w:rPr>
                                  </w:pPr>
                                  <w:r w:rsidRPr="00D15D1C">
                                    <w:rPr>
                                      <w:rFonts w:ascii="標楷體" w:eastAsia="標楷體" w:hAnsi="標楷體" w:hint="eastAsia"/>
                                      <w:sz w:val="20"/>
                                    </w:rPr>
                                    <w:t>內容摘要</w:t>
                                  </w:r>
                                </w:p>
                              </w:tc>
                            </w:tr>
                            <w:tr w:rsidR="00CE57F9" w:rsidRPr="00D15D1C" w14:paraId="2F7E616C" w14:textId="77777777" w:rsidTr="00F93D96">
                              <w:trPr>
                                <w:trHeight w:val="1694"/>
                              </w:trPr>
                              <w:tc>
                                <w:tcPr>
                                  <w:tcW w:w="1242" w:type="dxa"/>
                                  <w:shd w:val="clear" w:color="auto" w:fill="auto"/>
                                  <w:vAlign w:val="center"/>
                                </w:tcPr>
                                <w:p w14:paraId="4B8548D9" w14:textId="4E6216F4" w:rsidR="00CE57F9" w:rsidRPr="00D15D1C" w:rsidRDefault="00CE57F9" w:rsidP="00F93D96">
                                  <w:pPr>
                                    <w:adjustRightInd w:val="0"/>
                                    <w:snapToGrid w:val="0"/>
                                    <w:rPr>
                                      <w:rFonts w:ascii="標楷體" w:eastAsia="標楷體" w:hAnsi="Calibri"/>
                                      <w:sz w:val="20"/>
                                    </w:rPr>
                                  </w:pPr>
                                  <w:r w:rsidRPr="006C4286">
                                    <w:rPr>
                                      <w:rFonts w:ascii="標楷體" w:eastAsia="標楷體" w:hAnsi="Calibri" w:hint="eastAsia"/>
                                      <w:sz w:val="20"/>
                                    </w:rPr>
                                    <w:t>政府</w:t>
                                  </w:r>
                                  <w:r w:rsidRPr="00D15D1C">
                                    <w:rPr>
                                      <w:rFonts w:ascii="標楷體" w:eastAsia="標楷體" w:hAnsi="Calibri"/>
                                      <w:sz w:val="20"/>
                                    </w:rPr>
                                    <w:t>採購法</w:t>
                                  </w:r>
                                </w:p>
                              </w:tc>
                              <w:tc>
                                <w:tcPr>
                                  <w:tcW w:w="4820" w:type="dxa"/>
                                  <w:shd w:val="clear" w:color="auto" w:fill="auto"/>
                                  <w:vAlign w:val="center"/>
                                </w:tcPr>
                                <w:p w14:paraId="53489282" w14:textId="0D90CD59" w:rsidR="00CE57F9" w:rsidRPr="00D15D1C" w:rsidRDefault="00CE57F9" w:rsidP="00DA2751">
                                  <w:pPr>
                                    <w:adjustRightInd w:val="0"/>
                                    <w:snapToGrid w:val="0"/>
                                    <w:ind w:left="200" w:hangingChars="100" w:hanging="200"/>
                                    <w:jc w:val="both"/>
                                    <w:rPr>
                                      <w:rFonts w:ascii="標楷體" w:eastAsia="標楷體" w:hAnsi="標楷體"/>
                                      <w:sz w:val="20"/>
                                    </w:rPr>
                                  </w:pPr>
                                  <w:r>
                                    <w:rPr>
                                      <w:rFonts w:ascii="標楷體" w:eastAsia="標楷體" w:hAnsi="標楷體" w:hint="eastAsia"/>
                                      <w:sz w:val="20"/>
                                    </w:rPr>
                                    <w:t>1</w:t>
                                  </w:r>
                                  <w:r>
                                    <w:rPr>
                                      <w:rFonts w:ascii="標楷體" w:eastAsia="標楷體" w:hAnsi="標楷體"/>
                                      <w:sz w:val="20"/>
                                    </w:rPr>
                                    <w:t>.</w:t>
                                  </w:r>
                                  <w:r>
                                    <w:rPr>
                                      <w:rFonts w:ascii="標楷體" w:eastAsia="標楷體" w:hAnsi="標楷體" w:hint="eastAsia"/>
                                      <w:sz w:val="20"/>
                                    </w:rPr>
                                    <w:t>政府</w:t>
                                  </w:r>
                                  <w:r w:rsidRPr="00D15D1C">
                                    <w:rPr>
                                      <w:rFonts w:ascii="標楷體" w:eastAsia="標楷體" w:hAnsi="標楷體" w:hint="eastAsia"/>
                                      <w:sz w:val="20"/>
                                    </w:rPr>
                                    <w:t>採購法第87條及第92條，明定圍標罰則規定。</w:t>
                                  </w:r>
                                </w:p>
                                <w:p w14:paraId="222971BA" w14:textId="587E1824" w:rsidR="00CE57F9" w:rsidRPr="00D15D1C" w:rsidRDefault="00CE57F9" w:rsidP="00DA2751">
                                  <w:pPr>
                                    <w:adjustRightInd w:val="0"/>
                                    <w:snapToGrid w:val="0"/>
                                    <w:ind w:left="200" w:hangingChars="100" w:hanging="200"/>
                                    <w:jc w:val="both"/>
                                    <w:rPr>
                                      <w:rFonts w:ascii="標楷體" w:eastAsia="標楷體" w:hAnsi="標楷體"/>
                                      <w:sz w:val="20"/>
                                    </w:rPr>
                                  </w:pPr>
                                  <w:r>
                                    <w:rPr>
                                      <w:rFonts w:ascii="標楷體" w:eastAsia="標楷體" w:hAnsi="標楷體"/>
                                      <w:sz w:val="20"/>
                                    </w:rPr>
                                    <w:t>2.</w:t>
                                  </w:r>
                                  <w:r>
                                    <w:rPr>
                                      <w:rFonts w:ascii="標楷體" w:eastAsia="標楷體" w:hAnsi="標楷體" w:hint="eastAsia"/>
                                      <w:sz w:val="20"/>
                                    </w:rPr>
                                    <w:t>政府</w:t>
                                  </w:r>
                                  <w:r w:rsidRPr="00D15D1C">
                                    <w:rPr>
                                      <w:rFonts w:ascii="標楷體" w:eastAsia="標楷體" w:hAnsi="標楷體" w:hint="eastAsia"/>
                                      <w:sz w:val="20"/>
                                    </w:rPr>
                                    <w:t>採購法第31條，明定押標金不予發還或追繳規定。</w:t>
                                  </w:r>
                                </w:p>
                                <w:p w14:paraId="2AFCA0A6" w14:textId="0FCE7006" w:rsidR="00CE57F9" w:rsidRPr="00D15D1C" w:rsidRDefault="00CE57F9" w:rsidP="00DA2751">
                                  <w:pPr>
                                    <w:adjustRightInd w:val="0"/>
                                    <w:snapToGrid w:val="0"/>
                                    <w:ind w:left="200" w:hangingChars="100" w:hanging="200"/>
                                    <w:jc w:val="both"/>
                                    <w:rPr>
                                      <w:rFonts w:ascii="標楷體" w:eastAsia="標楷體" w:hAnsi="標楷體"/>
                                      <w:sz w:val="20"/>
                                    </w:rPr>
                                  </w:pPr>
                                  <w:r>
                                    <w:rPr>
                                      <w:rFonts w:ascii="標楷體" w:eastAsia="標楷體" w:hAnsi="標楷體"/>
                                      <w:sz w:val="20"/>
                                    </w:rPr>
                                    <w:t>3.</w:t>
                                  </w:r>
                                  <w:r>
                                    <w:rPr>
                                      <w:rFonts w:ascii="標楷體" w:eastAsia="標楷體" w:hAnsi="標楷體" w:hint="eastAsia"/>
                                      <w:sz w:val="20"/>
                                    </w:rPr>
                                    <w:t>政府</w:t>
                                  </w:r>
                                  <w:r w:rsidRPr="00D15D1C">
                                    <w:rPr>
                                      <w:rFonts w:ascii="標楷體" w:eastAsia="標楷體" w:hAnsi="標楷體" w:hint="eastAsia"/>
                                      <w:sz w:val="20"/>
                                    </w:rPr>
                                    <w:t>採購法第50條，明定採購招標過程，如發現投標廠商間之投標文件內容有重大異常關聯情形者，應不予開標規定。</w:t>
                                  </w:r>
                                </w:p>
                                <w:p w14:paraId="38ABBCFF" w14:textId="27095A40" w:rsidR="00CE57F9" w:rsidRPr="00D15D1C" w:rsidRDefault="00CE57F9" w:rsidP="00DA2751">
                                  <w:pPr>
                                    <w:adjustRightInd w:val="0"/>
                                    <w:snapToGrid w:val="0"/>
                                    <w:ind w:left="200" w:hangingChars="100" w:hanging="200"/>
                                    <w:jc w:val="both"/>
                                    <w:rPr>
                                      <w:rFonts w:ascii="標楷體" w:eastAsia="標楷體" w:hAnsi="標楷體"/>
                                      <w:sz w:val="20"/>
                                    </w:rPr>
                                  </w:pPr>
                                  <w:r>
                                    <w:rPr>
                                      <w:rFonts w:ascii="標楷體" w:eastAsia="標楷體" w:hAnsi="標楷體"/>
                                      <w:sz w:val="20"/>
                                    </w:rPr>
                                    <w:t>4.</w:t>
                                  </w:r>
                                  <w:r>
                                    <w:rPr>
                                      <w:rFonts w:ascii="標楷體" w:eastAsia="標楷體" w:hAnsi="標楷體" w:hint="eastAsia"/>
                                      <w:sz w:val="20"/>
                                    </w:rPr>
                                    <w:t>政府</w:t>
                                  </w:r>
                                  <w:r w:rsidRPr="00D15D1C">
                                    <w:rPr>
                                      <w:rFonts w:ascii="標楷體" w:eastAsia="標楷體" w:hAnsi="標楷體" w:hint="eastAsia"/>
                                      <w:sz w:val="20"/>
                                    </w:rPr>
                                    <w:t>採購法第101條至103條，明定將不良廠商刊登政府採購公報且刊登公報期間不得參加投標或作為決標對象或分包廠商規定。</w:t>
                                  </w:r>
                                </w:p>
                              </w:tc>
                            </w:tr>
                            <w:tr w:rsidR="00CE57F9" w:rsidRPr="00D15D1C" w14:paraId="2F6A6AA8" w14:textId="77777777" w:rsidTr="00F93D96">
                              <w:trPr>
                                <w:trHeight w:val="780"/>
                              </w:trPr>
                              <w:tc>
                                <w:tcPr>
                                  <w:tcW w:w="1242" w:type="dxa"/>
                                  <w:shd w:val="clear" w:color="auto" w:fill="auto"/>
                                  <w:vAlign w:val="center"/>
                                </w:tcPr>
                                <w:p w14:paraId="1E6C3D76" w14:textId="77777777" w:rsidR="00CE57F9" w:rsidRPr="00D15D1C" w:rsidRDefault="00CE57F9" w:rsidP="00160948">
                                  <w:pPr>
                                    <w:adjustRightInd w:val="0"/>
                                    <w:snapToGrid w:val="0"/>
                                    <w:rPr>
                                      <w:rFonts w:ascii="標楷體" w:eastAsia="標楷體" w:hAnsi="Calibri"/>
                                      <w:sz w:val="20"/>
                                    </w:rPr>
                                  </w:pPr>
                                  <w:r w:rsidRPr="00D15D1C">
                                    <w:rPr>
                                      <w:rFonts w:ascii="標楷體" w:eastAsia="標楷體" w:hAnsi="Calibri" w:hint="eastAsia"/>
                                      <w:sz w:val="20"/>
                                    </w:rPr>
                                    <w:t>政府電子採購網</w:t>
                                  </w:r>
                                </w:p>
                              </w:tc>
                              <w:tc>
                                <w:tcPr>
                                  <w:tcW w:w="4820" w:type="dxa"/>
                                  <w:shd w:val="clear" w:color="auto" w:fill="auto"/>
                                  <w:vAlign w:val="center"/>
                                </w:tcPr>
                                <w:p w14:paraId="397E8773" w14:textId="172DAD53" w:rsidR="00CE57F9" w:rsidRPr="00D15D1C" w:rsidRDefault="00CE57F9" w:rsidP="00DA2751">
                                  <w:pPr>
                                    <w:adjustRightInd w:val="0"/>
                                    <w:snapToGrid w:val="0"/>
                                    <w:ind w:left="200" w:hangingChars="100" w:hanging="200"/>
                                    <w:jc w:val="both"/>
                                    <w:rPr>
                                      <w:rFonts w:ascii="標楷體" w:eastAsia="標楷體" w:hAnsi="標楷體"/>
                                      <w:sz w:val="20"/>
                                    </w:rPr>
                                  </w:pPr>
                                  <w:r>
                                    <w:rPr>
                                      <w:rFonts w:ascii="標楷體" w:eastAsia="標楷體" w:hAnsi="標楷體" w:hint="eastAsia"/>
                                      <w:sz w:val="20"/>
                                    </w:rPr>
                                    <w:t>1</w:t>
                                  </w:r>
                                  <w:r>
                                    <w:rPr>
                                      <w:rFonts w:ascii="標楷體" w:eastAsia="標楷體" w:hAnsi="標楷體"/>
                                      <w:sz w:val="20"/>
                                    </w:rPr>
                                    <w:t>.</w:t>
                                  </w:r>
                                  <w:r>
                                    <w:rPr>
                                      <w:rFonts w:ascii="標楷體" w:eastAsia="標楷體" w:hAnsi="標楷體" w:hint="eastAsia"/>
                                      <w:sz w:val="20"/>
                                    </w:rPr>
                                    <w:t>行政院公共工程委員會</w:t>
                                  </w:r>
                                  <w:r w:rsidRPr="00D15D1C">
                                    <w:rPr>
                                      <w:rFonts w:ascii="標楷體" w:eastAsia="標楷體" w:hAnsi="標楷體" w:hint="eastAsia"/>
                                      <w:sz w:val="20"/>
                                    </w:rPr>
                                    <w:t>已於政府電子採購網中建置領標資訊查詢功能，供機關查詢電子領標紀錄。</w:t>
                                  </w:r>
                                </w:p>
                                <w:p w14:paraId="461F075E" w14:textId="2E236A42" w:rsidR="00CE57F9" w:rsidRPr="00D15D1C" w:rsidRDefault="00CE57F9" w:rsidP="00DA2751">
                                  <w:pPr>
                                    <w:adjustRightInd w:val="0"/>
                                    <w:snapToGrid w:val="0"/>
                                    <w:ind w:left="200" w:hangingChars="100" w:hanging="200"/>
                                    <w:jc w:val="both"/>
                                    <w:rPr>
                                      <w:rFonts w:ascii="標楷體" w:eastAsia="標楷體" w:hAnsi="標楷體"/>
                                      <w:sz w:val="20"/>
                                    </w:rPr>
                                  </w:pPr>
                                  <w:r>
                                    <w:rPr>
                                      <w:rFonts w:ascii="標楷體" w:eastAsia="標楷體" w:hAnsi="標楷體"/>
                                      <w:sz w:val="20"/>
                                    </w:rPr>
                                    <w:t>2.</w:t>
                                  </w:r>
                                  <w:r>
                                    <w:rPr>
                                      <w:rFonts w:ascii="標楷體" w:eastAsia="標楷體" w:hAnsi="標楷體" w:hint="eastAsia"/>
                                      <w:sz w:val="20"/>
                                    </w:rPr>
                                    <w:t>行政院公共工程委員會</w:t>
                                  </w:r>
                                  <w:r w:rsidRPr="00D15D1C">
                                    <w:rPr>
                                      <w:rFonts w:ascii="標楷體" w:eastAsia="標楷體" w:hAnsi="標楷體" w:hint="eastAsia"/>
                                      <w:sz w:val="20"/>
                                    </w:rPr>
                                    <w:t>已於政府電子採購網中建置警示專區，按月產出異常採購案件警示報表。</w:t>
                                  </w:r>
                                </w:p>
                              </w:tc>
                            </w:tr>
                            <w:tr w:rsidR="00CE57F9" w:rsidRPr="00D15D1C" w14:paraId="5EE1FE56" w14:textId="77777777" w:rsidTr="00F93D96">
                              <w:trPr>
                                <w:trHeight w:val="780"/>
                              </w:trPr>
                              <w:tc>
                                <w:tcPr>
                                  <w:tcW w:w="1242" w:type="dxa"/>
                                  <w:shd w:val="clear" w:color="auto" w:fill="auto"/>
                                  <w:vAlign w:val="center"/>
                                </w:tcPr>
                                <w:p w14:paraId="208A69C7" w14:textId="77777777" w:rsidR="00CE57F9" w:rsidRPr="00D15D1C" w:rsidRDefault="00CE57F9" w:rsidP="00160948">
                                  <w:pPr>
                                    <w:adjustRightInd w:val="0"/>
                                    <w:snapToGrid w:val="0"/>
                                    <w:rPr>
                                      <w:rFonts w:ascii="標楷體" w:eastAsia="標楷體" w:hAnsi="Calibri"/>
                                      <w:sz w:val="20"/>
                                    </w:rPr>
                                  </w:pPr>
                                  <w:r w:rsidRPr="00D15D1C">
                                    <w:rPr>
                                      <w:rFonts w:ascii="標楷體" w:eastAsia="標楷體" w:hAnsi="Calibri" w:hint="eastAsia"/>
                                      <w:sz w:val="20"/>
                                    </w:rPr>
                                    <w:t>內</w:t>
                                  </w:r>
                                  <w:r w:rsidRPr="00D15D1C">
                                    <w:rPr>
                                      <w:rFonts w:ascii="標楷體" w:eastAsia="標楷體" w:hAnsi="Calibri"/>
                                      <w:sz w:val="20"/>
                                    </w:rPr>
                                    <w:t>部</w:t>
                                  </w:r>
                                  <w:r w:rsidRPr="00D15D1C">
                                    <w:rPr>
                                      <w:rFonts w:ascii="標楷體" w:eastAsia="標楷體" w:hAnsi="Calibri" w:hint="eastAsia"/>
                                      <w:sz w:val="20"/>
                                    </w:rPr>
                                    <w:t>控</w:t>
                                  </w:r>
                                  <w:r w:rsidRPr="00D15D1C">
                                    <w:rPr>
                                      <w:rFonts w:ascii="標楷體" w:eastAsia="標楷體" w:hAnsi="Calibri"/>
                                      <w:sz w:val="20"/>
                                    </w:rPr>
                                    <w:t>制</w:t>
                                  </w:r>
                                </w:p>
                              </w:tc>
                              <w:tc>
                                <w:tcPr>
                                  <w:tcW w:w="4820" w:type="dxa"/>
                                  <w:shd w:val="clear" w:color="auto" w:fill="auto"/>
                                  <w:vAlign w:val="center"/>
                                </w:tcPr>
                                <w:p w14:paraId="7908BA5A" w14:textId="77777777" w:rsidR="00CE57F9" w:rsidRPr="00D15D1C" w:rsidRDefault="00CE57F9" w:rsidP="00160948">
                                  <w:pPr>
                                    <w:adjustRightInd w:val="0"/>
                                    <w:snapToGrid w:val="0"/>
                                    <w:ind w:rightChars="-23" w:right="-55"/>
                                    <w:jc w:val="both"/>
                                    <w:rPr>
                                      <w:rFonts w:ascii="標楷體" w:eastAsia="標楷體" w:hAnsi="標楷體"/>
                                      <w:sz w:val="20"/>
                                    </w:rPr>
                                  </w:pPr>
                                  <w:r>
                                    <w:rPr>
                                      <w:rFonts w:ascii="標楷體" w:eastAsia="標楷體" w:hAnsi="標楷體"/>
                                      <w:sz w:val="20"/>
                                    </w:rPr>
                                    <w:t>行政院公共工程委員會</w:t>
                                  </w:r>
                                  <w:r w:rsidRPr="00D15D1C">
                                    <w:rPr>
                                      <w:rFonts w:ascii="標楷體" w:eastAsia="標楷體" w:hAnsi="標楷體" w:hint="eastAsia"/>
                                      <w:sz w:val="20"/>
                                    </w:rPr>
                                    <w:t>已</w:t>
                                  </w:r>
                                  <w:r w:rsidRPr="00D15D1C">
                                    <w:rPr>
                                      <w:rFonts w:ascii="標楷體" w:eastAsia="標楷體" w:hAnsi="標楷體"/>
                                      <w:sz w:val="20"/>
                                    </w:rPr>
                                    <w:t>訂定</w:t>
                                  </w:r>
                                  <w:r w:rsidRPr="00D15D1C">
                                    <w:rPr>
                                      <w:rFonts w:ascii="標楷體" w:eastAsia="標楷體" w:hAnsi="標楷體" w:hint="eastAsia"/>
                                      <w:sz w:val="20"/>
                                    </w:rPr>
                                    <w:t>採購</w:t>
                                  </w:r>
                                  <w:r w:rsidRPr="00D15D1C">
                                    <w:rPr>
                                      <w:rFonts w:ascii="標楷體" w:eastAsia="標楷體" w:hAnsi="標楷體"/>
                                      <w:sz w:val="20"/>
                                    </w:rPr>
                                    <w:t>內部控制制度共通性作業範例</w:t>
                                  </w:r>
                                  <w:r w:rsidRPr="00D15D1C">
                                    <w:rPr>
                                      <w:rFonts w:ascii="標楷體" w:eastAsia="標楷體" w:hAnsi="標楷體" w:hint="eastAsia"/>
                                      <w:sz w:val="20"/>
                                    </w:rPr>
                                    <w:t>，供機關設計採購內部控制制度參考。</w:t>
                                  </w:r>
                                </w:p>
                              </w:tc>
                            </w:tr>
                            <w:tr w:rsidR="00CE57F9" w:rsidRPr="00D15D1C" w14:paraId="5F78CD10" w14:textId="77777777" w:rsidTr="00F93D96">
                              <w:trPr>
                                <w:trHeight w:val="780"/>
                              </w:trPr>
                              <w:tc>
                                <w:tcPr>
                                  <w:tcW w:w="1242" w:type="dxa"/>
                                  <w:shd w:val="clear" w:color="auto" w:fill="auto"/>
                                  <w:vAlign w:val="center"/>
                                </w:tcPr>
                                <w:p w14:paraId="1EE71BF6" w14:textId="77777777" w:rsidR="00CE57F9" w:rsidRPr="00D15D1C" w:rsidRDefault="00CE57F9" w:rsidP="00160948">
                                  <w:pPr>
                                    <w:adjustRightInd w:val="0"/>
                                    <w:snapToGrid w:val="0"/>
                                    <w:rPr>
                                      <w:rFonts w:ascii="標楷體" w:eastAsia="標楷體" w:hAnsi="Calibri"/>
                                      <w:sz w:val="20"/>
                                    </w:rPr>
                                  </w:pPr>
                                  <w:r w:rsidRPr="00D15D1C">
                                    <w:rPr>
                                      <w:rFonts w:ascii="標楷體" w:eastAsia="標楷體" w:hAnsi="Calibri" w:hint="eastAsia"/>
                                      <w:sz w:val="20"/>
                                    </w:rPr>
                                    <w:t>政</w:t>
                                  </w:r>
                                  <w:r w:rsidRPr="00D15D1C">
                                    <w:rPr>
                                      <w:rFonts w:ascii="標楷體" w:eastAsia="標楷體" w:hAnsi="Calibri"/>
                                      <w:sz w:val="20"/>
                                    </w:rPr>
                                    <w:t>府採購</w:t>
                                  </w:r>
                                  <w:r w:rsidRPr="00D15D1C">
                                    <w:rPr>
                                      <w:rFonts w:ascii="標楷體" w:eastAsia="標楷體" w:hAnsi="Calibri" w:hint="eastAsia"/>
                                      <w:sz w:val="20"/>
                                    </w:rPr>
                                    <w:t>錯</w:t>
                                  </w:r>
                                  <w:r w:rsidRPr="00D15D1C">
                                    <w:rPr>
                                      <w:rFonts w:ascii="標楷體" w:eastAsia="標楷體" w:hAnsi="Calibri"/>
                                      <w:sz w:val="20"/>
                                    </w:rPr>
                                    <w:t>誤</w:t>
                                  </w:r>
                                  <w:r w:rsidRPr="00D15D1C">
                                    <w:rPr>
                                      <w:rFonts w:ascii="標楷體" w:eastAsia="標楷體" w:hAnsi="Calibri" w:hint="eastAsia"/>
                                      <w:sz w:val="20"/>
                                    </w:rPr>
                                    <w:t>行為態</w:t>
                                  </w:r>
                                  <w:r w:rsidRPr="00D15D1C">
                                    <w:rPr>
                                      <w:rFonts w:ascii="標楷體" w:eastAsia="標楷體" w:hAnsi="Calibri"/>
                                      <w:sz w:val="20"/>
                                    </w:rPr>
                                    <w:t>樣</w:t>
                                  </w:r>
                                </w:p>
                              </w:tc>
                              <w:tc>
                                <w:tcPr>
                                  <w:tcW w:w="4820" w:type="dxa"/>
                                  <w:shd w:val="clear" w:color="auto" w:fill="auto"/>
                                  <w:vAlign w:val="center"/>
                                </w:tcPr>
                                <w:p w14:paraId="2328635E" w14:textId="77777777" w:rsidR="00CE57F9" w:rsidRPr="00D15D1C" w:rsidRDefault="00CE57F9" w:rsidP="00160948">
                                  <w:pPr>
                                    <w:adjustRightInd w:val="0"/>
                                    <w:snapToGrid w:val="0"/>
                                    <w:ind w:rightChars="-23" w:right="-55"/>
                                    <w:jc w:val="both"/>
                                    <w:rPr>
                                      <w:rFonts w:ascii="標楷體" w:eastAsia="標楷體" w:hAnsi="標楷體"/>
                                      <w:sz w:val="20"/>
                                    </w:rPr>
                                  </w:pPr>
                                  <w:r>
                                    <w:rPr>
                                      <w:rFonts w:ascii="標楷體" w:eastAsia="標楷體" w:hAnsi="標楷體"/>
                                      <w:sz w:val="20"/>
                                    </w:rPr>
                                    <w:t>行政院公共工程委員會</w:t>
                                  </w:r>
                                  <w:r w:rsidRPr="00D15D1C">
                                    <w:rPr>
                                      <w:rFonts w:ascii="標楷體" w:eastAsia="標楷體" w:hAnsi="標楷體" w:hint="eastAsia"/>
                                      <w:sz w:val="20"/>
                                    </w:rPr>
                                    <w:t>已訂定政府採購錯誤行為態樣，於序號十一中明定可能有圍標之嫌或宜注意之現象，提醒機關注意辦理。</w:t>
                                  </w:r>
                                </w:p>
                              </w:tc>
                            </w:tr>
                          </w:tbl>
                          <w:p w14:paraId="385FB654" w14:textId="77777777" w:rsidR="00CE57F9" w:rsidRPr="00160948" w:rsidRDefault="00CE57F9" w:rsidP="00D66F89">
                            <w:r w:rsidRPr="00D15D1C">
                              <w:rPr>
                                <w:rFonts w:ascii="標楷體" w:eastAsia="標楷體" w:hAnsi="標楷體" w:hint="eastAsia"/>
                                <w:sz w:val="18"/>
                                <w:szCs w:val="18"/>
                              </w:rPr>
                              <w:t>資</w:t>
                            </w:r>
                            <w:r w:rsidRPr="00D15D1C">
                              <w:rPr>
                                <w:rFonts w:ascii="標楷體" w:eastAsia="標楷體" w:hAnsi="標楷體"/>
                                <w:sz w:val="18"/>
                                <w:szCs w:val="18"/>
                              </w:rPr>
                              <w:t>料來源</w:t>
                            </w:r>
                            <w:r w:rsidRPr="00D15D1C">
                              <w:rPr>
                                <w:rFonts w:ascii="標楷體" w:eastAsia="標楷體" w:hAnsi="標楷體" w:hint="eastAsia"/>
                                <w:sz w:val="18"/>
                                <w:szCs w:val="18"/>
                              </w:rPr>
                              <w:t>：整理自</w:t>
                            </w:r>
                            <w:r>
                              <w:rPr>
                                <w:rFonts w:ascii="標楷體" w:eastAsia="標楷體" w:hAnsi="標楷體" w:hint="eastAsia"/>
                                <w:sz w:val="18"/>
                                <w:szCs w:val="18"/>
                              </w:rPr>
                              <w:t>政府</w:t>
                            </w:r>
                            <w:r w:rsidRPr="00D15D1C">
                              <w:rPr>
                                <w:rFonts w:ascii="標楷體" w:eastAsia="標楷體" w:hAnsi="標楷體" w:hint="eastAsia"/>
                                <w:sz w:val="18"/>
                                <w:szCs w:val="18"/>
                              </w:rPr>
                              <w:t>採購法及</w:t>
                            </w:r>
                            <w:r>
                              <w:rPr>
                                <w:rFonts w:ascii="標楷體" w:eastAsia="標楷體" w:hAnsi="標楷體" w:hint="eastAsia"/>
                                <w:sz w:val="18"/>
                                <w:szCs w:val="18"/>
                              </w:rPr>
                              <w:t>行政院公共工程委員會</w:t>
                            </w:r>
                            <w:r w:rsidRPr="00D15D1C">
                              <w:rPr>
                                <w:rFonts w:ascii="標楷體" w:eastAsia="標楷體" w:hAnsi="標楷體" w:hint="eastAsia"/>
                                <w:sz w:val="18"/>
                                <w:szCs w:val="18"/>
                              </w:rPr>
                              <w:t>全球資訊網</w:t>
                            </w:r>
                            <w:r w:rsidRPr="00D15D1C">
                              <w:rPr>
                                <w:rFonts w:ascii="標楷體" w:eastAsia="標楷體" w:hAnsi="標楷體"/>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B59893" id="_x0000_s1161" type="#_x0000_t202" style="position:absolute;left:0;text-align:left;margin-left:189.2pt;margin-top:9.4pt;width:305.55pt;height:304.2pt;z-index:251654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" stroked="f">
                <v:textbox>
                  <w:txbxContent>
                    <w:p w14:paraId="664C7F71" w14:textId="379CCEE4" w:rsidR="00CE57F9" w:rsidRDefault="00CE57F9" w:rsidP="00D66F89">
                      <w:pPr>
                        <w:jc w:val="center"/>
                        <w:rPr>
                          <w:rFonts w:ascii="標楷體" w:eastAsia="標楷體" w:hAnsi="標楷體"/>
                          <w:b/>
                        </w:rPr>
                      </w:pPr>
                      <w:r w:rsidRPr="00D15D1C">
                        <w:rPr>
                          <w:rFonts w:ascii="標楷體" w:eastAsia="標楷體" w:hAnsi="標楷體" w:hint="eastAsia"/>
                          <w:b/>
                        </w:rPr>
                        <w:t>表</w:t>
                      </w:r>
                      <w:r>
                        <w:rPr>
                          <w:rFonts w:ascii="標楷體" w:eastAsia="標楷體" w:hAnsi="標楷體"/>
                          <w:b/>
                        </w:rPr>
                        <w:t>29</w:t>
                      </w:r>
                      <w:r w:rsidRPr="00D15D1C">
                        <w:rPr>
                          <w:rFonts w:ascii="標楷體" w:eastAsia="標楷體" w:hAnsi="標楷體" w:hint="eastAsia"/>
                          <w:b/>
                        </w:rPr>
                        <w:t xml:space="preserve">　政府對採購</w:t>
                      </w:r>
                      <w:r w:rsidRPr="00D15D1C">
                        <w:rPr>
                          <w:rFonts w:ascii="標楷體" w:eastAsia="標楷體" w:hAnsi="標楷體"/>
                          <w:b/>
                        </w:rPr>
                        <w:t>圍標</w:t>
                      </w:r>
                      <w:r w:rsidRPr="00D15D1C">
                        <w:rPr>
                          <w:rFonts w:ascii="標楷體" w:eastAsia="標楷體" w:hAnsi="標楷體" w:hint="eastAsia"/>
                          <w:b/>
                        </w:rPr>
                        <w:t>行為相關課責及預防</w:t>
                      </w:r>
                      <w:r w:rsidRPr="00D15D1C">
                        <w:rPr>
                          <w:rFonts w:ascii="標楷體" w:eastAsia="標楷體" w:hAnsi="標楷體"/>
                          <w:b/>
                        </w:rPr>
                        <w:t>機制</w:t>
                      </w:r>
                    </w:p>
                    <w:tbl>
                      <w:tblPr>
                        <w:tblW w:w="6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820"/>
                      </w:tblGrid>
                      <w:tr w:rsidR="00CE57F9" w:rsidRPr="00D15D1C" w14:paraId="05D45A42" w14:textId="77777777" w:rsidTr="00F93D96">
                        <w:trPr>
                          <w:trHeight w:val="245"/>
                        </w:trPr>
                        <w:tc>
                          <w:tcPr>
                            <w:tcW w:w="1242" w:type="dxa"/>
                            <w:shd w:val="clear" w:color="auto" w:fill="auto"/>
                            <w:vAlign w:val="center"/>
                          </w:tcPr>
                          <w:p w14:paraId="1FC212B4" w14:textId="77777777" w:rsidR="00CE57F9" w:rsidRPr="00D15D1C" w:rsidRDefault="00CE57F9" w:rsidP="00160948">
                            <w:pPr>
                              <w:adjustRightInd w:val="0"/>
                              <w:snapToGrid w:val="0"/>
                              <w:jc w:val="center"/>
                              <w:rPr>
                                <w:rFonts w:ascii="標楷體" w:eastAsia="標楷體" w:hAnsi="Calibri"/>
                                <w:sz w:val="20"/>
                              </w:rPr>
                            </w:pPr>
                            <w:r w:rsidRPr="00D15D1C">
                              <w:rPr>
                                <w:rFonts w:ascii="標楷體" w:eastAsia="標楷體" w:hAnsi="Calibri" w:hint="eastAsia"/>
                                <w:sz w:val="20"/>
                              </w:rPr>
                              <w:t>類</w:t>
                            </w:r>
                            <w:r w:rsidRPr="00D15D1C">
                              <w:rPr>
                                <w:rFonts w:ascii="標楷體" w:eastAsia="標楷體" w:hAnsi="Calibri"/>
                                <w:sz w:val="20"/>
                              </w:rPr>
                              <w:t>別</w:t>
                            </w:r>
                          </w:p>
                        </w:tc>
                        <w:tc>
                          <w:tcPr>
                            <w:tcW w:w="4820" w:type="dxa"/>
                            <w:shd w:val="clear" w:color="auto" w:fill="auto"/>
                            <w:vAlign w:val="center"/>
                          </w:tcPr>
                          <w:p w14:paraId="73545882" w14:textId="77777777" w:rsidR="00CE57F9" w:rsidRPr="00D15D1C" w:rsidRDefault="00CE57F9" w:rsidP="00160948">
                            <w:pPr>
                              <w:adjustRightInd w:val="0"/>
                              <w:snapToGrid w:val="0"/>
                              <w:jc w:val="center"/>
                              <w:rPr>
                                <w:rFonts w:ascii="標楷體" w:eastAsia="標楷體" w:hAnsi="標楷體"/>
                                <w:sz w:val="20"/>
                              </w:rPr>
                            </w:pPr>
                            <w:r w:rsidRPr="00D15D1C">
                              <w:rPr>
                                <w:rFonts w:ascii="標楷體" w:eastAsia="標楷體" w:hAnsi="標楷體" w:hint="eastAsia"/>
                                <w:sz w:val="20"/>
                              </w:rPr>
                              <w:t>內容摘要</w:t>
                            </w:r>
                          </w:p>
                        </w:tc>
                      </w:tr>
                      <w:tr w:rsidR="00CE57F9" w:rsidRPr="00D15D1C" w14:paraId="2F7E616C" w14:textId="77777777" w:rsidTr="00F93D96">
                        <w:trPr>
                          <w:trHeight w:val="1694"/>
                        </w:trPr>
                        <w:tc>
                          <w:tcPr>
                            <w:tcW w:w="1242" w:type="dxa"/>
                            <w:shd w:val="clear" w:color="auto" w:fill="auto"/>
                            <w:vAlign w:val="center"/>
                          </w:tcPr>
                          <w:p w14:paraId="4B8548D9" w14:textId="4E6216F4" w:rsidR="00CE57F9" w:rsidRPr="00D15D1C" w:rsidRDefault="00CE57F9" w:rsidP="00F93D96">
                            <w:pPr>
                              <w:adjustRightInd w:val="0"/>
                              <w:snapToGrid w:val="0"/>
                              <w:rPr>
                                <w:rFonts w:ascii="標楷體" w:eastAsia="標楷體" w:hAnsi="Calibri"/>
                                <w:sz w:val="20"/>
                              </w:rPr>
                            </w:pPr>
                            <w:r w:rsidRPr="006C4286">
                              <w:rPr>
                                <w:rFonts w:ascii="標楷體" w:eastAsia="標楷體" w:hAnsi="Calibri" w:hint="eastAsia"/>
                                <w:sz w:val="20"/>
                              </w:rPr>
                              <w:t>政府</w:t>
                            </w:r>
                            <w:r w:rsidRPr="00D15D1C">
                              <w:rPr>
                                <w:rFonts w:ascii="標楷體" w:eastAsia="標楷體" w:hAnsi="Calibri"/>
                                <w:sz w:val="20"/>
                              </w:rPr>
                              <w:t>採購法</w:t>
                            </w:r>
                          </w:p>
                        </w:tc>
                        <w:tc>
                          <w:tcPr>
                            <w:tcW w:w="4820" w:type="dxa"/>
                            <w:shd w:val="clear" w:color="auto" w:fill="auto"/>
                            <w:vAlign w:val="center"/>
                          </w:tcPr>
                          <w:p w14:paraId="53489282" w14:textId="0D90CD59" w:rsidR="00CE57F9" w:rsidRPr="00D15D1C" w:rsidRDefault="00CE57F9" w:rsidP="00DA2751">
                            <w:pPr>
                              <w:adjustRightInd w:val="0"/>
                              <w:snapToGrid w:val="0"/>
                              <w:ind w:left="200" w:hangingChars="100" w:hanging="200"/>
                              <w:jc w:val="both"/>
                              <w:rPr>
                                <w:rFonts w:ascii="標楷體" w:eastAsia="標楷體" w:hAnsi="標楷體"/>
                                <w:sz w:val="20"/>
                              </w:rPr>
                            </w:pPr>
                            <w:r>
                              <w:rPr>
                                <w:rFonts w:ascii="標楷體" w:eastAsia="標楷體" w:hAnsi="標楷體" w:hint="eastAsia"/>
                                <w:sz w:val="20"/>
                              </w:rPr>
                              <w:t>1</w:t>
                            </w:r>
                            <w:r>
                              <w:rPr>
                                <w:rFonts w:ascii="標楷體" w:eastAsia="標楷體" w:hAnsi="標楷體"/>
                                <w:sz w:val="20"/>
                              </w:rPr>
                              <w:t>.</w:t>
                            </w:r>
                            <w:r>
                              <w:rPr>
                                <w:rFonts w:ascii="標楷體" w:eastAsia="標楷體" w:hAnsi="標楷體" w:hint="eastAsia"/>
                                <w:sz w:val="20"/>
                              </w:rPr>
                              <w:t>政府</w:t>
                            </w:r>
                            <w:r w:rsidRPr="00D15D1C">
                              <w:rPr>
                                <w:rFonts w:ascii="標楷體" w:eastAsia="標楷體" w:hAnsi="標楷體" w:hint="eastAsia"/>
                                <w:sz w:val="20"/>
                              </w:rPr>
                              <w:t>採購法第87條及第92條，明定圍標罰則規定。</w:t>
                            </w:r>
                          </w:p>
                          <w:p w14:paraId="222971BA" w14:textId="587E1824" w:rsidR="00CE57F9" w:rsidRPr="00D15D1C" w:rsidRDefault="00CE57F9" w:rsidP="00DA2751">
                            <w:pPr>
                              <w:adjustRightInd w:val="0"/>
                              <w:snapToGrid w:val="0"/>
                              <w:ind w:left="200" w:hangingChars="100" w:hanging="200"/>
                              <w:jc w:val="both"/>
                              <w:rPr>
                                <w:rFonts w:ascii="標楷體" w:eastAsia="標楷體" w:hAnsi="標楷體"/>
                                <w:sz w:val="20"/>
                              </w:rPr>
                            </w:pPr>
                            <w:r>
                              <w:rPr>
                                <w:rFonts w:ascii="標楷體" w:eastAsia="標楷體" w:hAnsi="標楷體"/>
                                <w:sz w:val="20"/>
                              </w:rPr>
                              <w:t>2.</w:t>
                            </w:r>
                            <w:r>
                              <w:rPr>
                                <w:rFonts w:ascii="標楷體" w:eastAsia="標楷體" w:hAnsi="標楷體" w:hint="eastAsia"/>
                                <w:sz w:val="20"/>
                              </w:rPr>
                              <w:t>政府</w:t>
                            </w:r>
                            <w:r w:rsidRPr="00D15D1C">
                              <w:rPr>
                                <w:rFonts w:ascii="標楷體" w:eastAsia="標楷體" w:hAnsi="標楷體" w:hint="eastAsia"/>
                                <w:sz w:val="20"/>
                              </w:rPr>
                              <w:t>採購法第31條，明定押標金不予發還或追繳規定。</w:t>
                            </w:r>
                          </w:p>
                          <w:p w14:paraId="2AFCA0A6" w14:textId="0FCE7006" w:rsidR="00CE57F9" w:rsidRPr="00D15D1C" w:rsidRDefault="00CE57F9" w:rsidP="00DA2751">
                            <w:pPr>
                              <w:adjustRightInd w:val="0"/>
                              <w:snapToGrid w:val="0"/>
                              <w:ind w:left="200" w:hangingChars="100" w:hanging="200"/>
                              <w:jc w:val="both"/>
                              <w:rPr>
                                <w:rFonts w:ascii="標楷體" w:eastAsia="標楷體" w:hAnsi="標楷體"/>
                                <w:sz w:val="20"/>
                              </w:rPr>
                            </w:pPr>
                            <w:r>
                              <w:rPr>
                                <w:rFonts w:ascii="標楷體" w:eastAsia="標楷體" w:hAnsi="標楷體"/>
                                <w:sz w:val="20"/>
                              </w:rPr>
                              <w:t>3.</w:t>
                            </w:r>
                            <w:r>
                              <w:rPr>
                                <w:rFonts w:ascii="標楷體" w:eastAsia="標楷體" w:hAnsi="標楷體" w:hint="eastAsia"/>
                                <w:sz w:val="20"/>
                              </w:rPr>
                              <w:t>政府</w:t>
                            </w:r>
                            <w:r w:rsidRPr="00D15D1C">
                              <w:rPr>
                                <w:rFonts w:ascii="標楷體" w:eastAsia="標楷體" w:hAnsi="標楷體" w:hint="eastAsia"/>
                                <w:sz w:val="20"/>
                              </w:rPr>
                              <w:t>採購法第50條，明定採購招標過程，如發現投標廠商間之投標文件內容有重大異常關聯情形者，應不予開標規定。</w:t>
                            </w:r>
                          </w:p>
                          <w:p w14:paraId="38ABBCFF" w14:textId="27095A40" w:rsidR="00CE57F9" w:rsidRPr="00D15D1C" w:rsidRDefault="00CE57F9" w:rsidP="00DA2751">
                            <w:pPr>
                              <w:adjustRightInd w:val="0"/>
                              <w:snapToGrid w:val="0"/>
                              <w:ind w:left="200" w:hangingChars="100" w:hanging="200"/>
                              <w:jc w:val="both"/>
                              <w:rPr>
                                <w:rFonts w:ascii="標楷體" w:eastAsia="標楷體" w:hAnsi="標楷體"/>
                                <w:sz w:val="20"/>
                              </w:rPr>
                            </w:pPr>
                            <w:r>
                              <w:rPr>
                                <w:rFonts w:ascii="標楷體" w:eastAsia="標楷體" w:hAnsi="標楷體"/>
                                <w:sz w:val="20"/>
                              </w:rPr>
                              <w:t>4.</w:t>
                            </w:r>
                            <w:r>
                              <w:rPr>
                                <w:rFonts w:ascii="標楷體" w:eastAsia="標楷體" w:hAnsi="標楷體" w:hint="eastAsia"/>
                                <w:sz w:val="20"/>
                              </w:rPr>
                              <w:t>政府</w:t>
                            </w:r>
                            <w:r w:rsidRPr="00D15D1C">
                              <w:rPr>
                                <w:rFonts w:ascii="標楷體" w:eastAsia="標楷體" w:hAnsi="標楷體" w:hint="eastAsia"/>
                                <w:sz w:val="20"/>
                              </w:rPr>
                              <w:t>採購法第101條至103條，明定將不良廠商刊登政府採購公報且刊登公報期間不得參加投標或作為決標對象或分包廠商規定。</w:t>
                            </w:r>
                          </w:p>
                        </w:tc>
                      </w:tr>
                      <w:tr w:rsidR="00CE57F9" w:rsidRPr="00D15D1C" w14:paraId="2F6A6AA8" w14:textId="77777777" w:rsidTr="00F93D96">
                        <w:trPr>
                          <w:trHeight w:val="780"/>
                        </w:trPr>
                        <w:tc>
                          <w:tcPr>
                            <w:tcW w:w="1242" w:type="dxa"/>
                            <w:shd w:val="clear" w:color="auto" w:fill="auto"/>
                            <w:vAlign w:val="center"/>
                          </w:tcPr>
                          <w:p w14:paraId="1E6C3D76" w14:textId="77777777" w:rsidR="00CE57F9" w:rsidRPr="00D15D1C" w:rsidRDefault="00CE57F9" w:rsidP="00160948">
                            <w:pPr>
                              <w:adjustRightInd w:val="0"/>
                              <w:snapToGrid w:val="0"/>
                              <w:rPr>
                                <w:rFonts w:ascii="標楷體" w:eastAsia="標楷體" w:hAnsi="Calibri"/>
                                <w:sz w:val="20"/>
                              </w:rPr>
                            </w:pPr>
                            <w:r w:rsidRPr="00D15D1C">
                              <w:rPr>
                                <w:rFonts w:ascii="標楷體" w:eastAsia="標楷體" w:hAnsi="Calibri" w:hint="eastAsia"/>
                                <w:sz w:val="20"/>
                              </w:rPr>
                              <w:t>政府電子採購網</w:t>
                            </w:r>
                          </w:p>
                        </w:tc>
                        <w:tc>
                          <w:tcPr>
                            <w:tcW w:w="4820" w:type="dxa"/>
                            <w:shd w:val="clear" w:color="auto" w:fill="auto"/>
                            <w:vAlign w:val="center"/>
                          </w:tcPr>
                          <w:p w14:paraId="397E8773" w14:textId="172DAD53" w:rsidR="00CE57F9" w:rsidRPr="00D15D1C" w:rsidRDefault="00CE57F9" w:rsidP="00DA2751">
                            <w:pPr>
                              <w:adjustRightInd w:val="0"/>
                              <w:snapToGrid w:val="0"/>
                              <w:ind w:left="200" w:hangingChars="100" w:hanging="200"/>
                              <w:jc w:val="both"/>
                              <w:rPr>
                                <w:rFonts w:ascii="標楷體" w:eastAsia="標楷體" w:hAnsi="標楷體"/>
                                <w:sz w:val="20"/>
                              </w:rPr>
                            </w:pPr>
                            <w:r>
                              <w:rPr>
                                <w:rFonts w:ascii="標楷體" w:eastAsia="標楷體" w:hAnsi="標楷體" w:hint="eastAsia"/>
                                <w:sz w:val="20"/>
                              </w:rPr>
                              <w:t>1</w:t>
                            </w:r>
                            <w:r>
                              <w:rPr>
                                <w:rFonts w:ascii="標楷體" w:eastAsia="標楷體" w:hAnsi="標楷體"/>
                                <w:sz w:val="20"/>
                              </w:rPr>
                              <w:t>.</w:t>
                            </w:r>
                            <w:r>
                              <w:rPr>
                                <w:rFonts w:ascii="標楷體" w:eastAsia="標楷體" w:hAnsi="標楷體" w:hint="eastAsia"/>
                                <w:sz w:val="20"/>
                              </w:rPr>
                              <w:t>行政院公共工程委員會</w:t>
                            </w:r>
                            <w:r w:rsidRPr="00D15D1C">
                              <w:rPr>
                                <w:rFonts w:ascii="標楷體" w:eastAsia="標楷體" w:hAnsi="標楷體" w:hint="eastAsia"/>
                                <w:sz w:val="20"/>
                              </w:rPr>
                              <w:t>已於政府電子採購網中建置領標資訊查詢功能，供機關查詢電子領標紀錄。</w:t>
                            </w:r>
                          </w:p>
                          <w:p w14:paraId="461F075E" w14:textId="2E236A42" w:rsidR="00CE57F9" w:rsidRPr="00D15D1C" w:rsidRDefault="00CE57F9" w:rsidP="00DA2751">
                            <w:pPr>
                              <w:adjustRightInd w:val="0"/>
                              <w:snapToGrid w:val="0"/>
                              <w:ind w:left="200" w:hangingChars="100" w:hanging="200"/>
                              <w:jc w:val="both"/>
                              <w:rPr>
                                <w:rFonts w:ascii="標楷體" w:eastAsia="標楷體" w:hAnsi="標楷體"/>
                                <w:sz w:val="20"/>
                              </w:rPr>
                            </w:pPr>
                            <w:r>
                              <w:rPr>
                                <w:rFonts w:ascii="標楷體" w:eastAsia="標楷體" w:hAnsi="標楷體"/>
                                <w:sz w:val="20"/>
                              </w:rPr>
                              <w:t>2.</w:t>
                            </w:r>
                            <w:r>
                              <w:rPr>
                                <w:rFonts w:ascii="標楷體" w:eastAsia="標楷體" w:hAnsi="標楷體" w:hint="eastAsia"/>
                                <w:sz w:val="20"/>
                              </w:rPr>
                              <w:t>行政院公共工程委員會</w:t>
                            </w:r>
                            <w:r w:rsidRPr="00D15D1C">
                              <w:rPr>
                                <w:rFonts w:ascii="標楷體" w:eastAsia="標楷體" w:hAnsi="標楷體" w:hint="eastAsia"/>
                                <w:sz w:val="20"/>
                              </w:rPr>
                              <w:t>已於政府電子採購網中建置警示專區，按月產出異常採購案件警示報表。</w:t>
                            </w:r>
                          </w:p>
                        </w:tc>
                      </w:tr>
                      <w:tr w:rsidR="00CE57F9" w:rsidRPr="00D15D1C" w14:paraId="5EE1FE56" w14:textId="77777777" w:rsidTr="00F93D96">
                        <w:trPr>
                          <w:trHeight w:val="780"/>
                        </w:trPr>
                        <w:tc>
                          <w:tcPr>
                            <w:tcW w:w="1242" w:type="dxa"/>
                            <w:shd w:val="clear" w:color="auto" w:fill="auto"/>
                            <w:vAlign w:val="center"/>
                          </w:tcPr>
                          <w:p w14:paraId="208A69C7" w14:textId="77777777" w:rsidR="00CE57F9" w:rsidRPr="00D15D1C" w:rsidRDefault="00CE57F9" w:rsidP="00160948">
                            <w:pPr>
                              <w:adjustRightInd w:val="0"/>
                              <w:snapToGrid w:val="0"/>
                              <w:rPr>
                                <w:rFonts w:ascii="標楷體" w:eastAsia="標楷體" w:hAnsi="Calibri"/>
                                <w:sz w:val="20"/>
                              </w:rPr>
                            </w:pPr>
                            <w:r w:rsidRPr="00D15D1C">
                              <w:rPr>
                                <w:rFonts w:ascii="標楷體" w:eastAsia="標楷體" w:hAnsi="Calibri" w:hint="eastAsia"/>
                                <w:sz w:val="20"/>
                              </w:rPr>
                              <w:t>內</w:t>
                            </w:r>
                            <w:r w:rsidRPr="00D15D1C">
                              <w:rPr>
                                <w:rFonts w:ascii="標楷體" w:eastAsia="標楷體" w:hAnsi="Calibri"/>
                                <w:sz w:val="20"/>
                              </w:rPr>
                              <w:t>部</w:t>
                            </w:r>
                            <w:r w:rsidRPr="00D15D1C">
                              <w:rPr>
                                <w:rFonts w:ascii="標楷體" w:eastAsia="標楷體" w:hAnsi="Calibri" w:hint="eastAsia"/>
                                <w:sz w:val="20"/>
                              </w:rPr>
                              <w:t>控</w:t>
                            </w:r>
                            <w:r w:rsidRPr="00D15D1C">
                              <w:rPr>
                                <w:rFonts w:ascii="標楷體" w:eastAsia="標楷體" w:hAnsi="Calibri"/>
                                <w:sz w:val="20"/>
                              </w:rPr>
                              <w:t>制</w:t>
                            </w:r>
                          </w:p>
                        </w:tc>
                        <w:tc>
                          <w:tcPr>
                            <w:tcW w:w="4820" w:type="dxa"/>
                            <w:shd w:val="clear" w:color="auto" w:fill="auto"/>
                            <w:vAlign w:val="center"/>
                          </w:tcPr>
                          <w:p w14:paraId="7908BA5A" w14:textId="77777777" w:rsidR="00CE57F9" w:rsidRPr="00D15D1C" w:rsidRDefault="00CE57F9" w:rsidP="00160948">
                            <w:pPr>
                              <w:adjustRightInd w:val="0"/>
                              <w:snapToGrid w:val="0"/>
                              <w:ind w:rightChars="-23" w:right="-55"/>
                              <w:jc w:val="both"/>
                              <w:rPr>
                                <w:rFonts w:ascii="標楷體" w:eastAsia="標楷體" w:hAnsi="標楷體"/>
                                <w:sz w:val="20"/>
                              </w:rPr>
                            </w:pPr>
                            <w:r>
                              <w:rPr>
                                <w:rFonts w:ascii="標楷體" w:eastAsia="標楷體" w:hAnsi="標楷體"/>
                                <w:sz w:val="20"/>
                              </w:rPr>
                              <w:t>行政院公共工程委員會</w:t>
                            </w:r>
                            <w:r w:rsidRPr="00D15D1C">
                              <w:rPr>
                                <w:rFonts w:ascii="標楷體" w:eastAsia="標楷體" w:hAnsi="標楷體" w:hint="eastAsia"/>
                                <w:sz w:val="20"/>
                              </w:rPr>
                              <w:t>已</w:t>
                            </w:r>
                            <w:r w:rsidRPr="00D15D1C">
                              <w:rPr>
                                <w:rFonts w:ascii="標楷體" w:eastAsia="標楷體" w:hAnsi="標楷體"/>
                                <w:sz w:val="20"/>
                              </w:rPr>
                              <w:t>訂定</w:t>
                            </w:r>
                            <w:r w:rsidRPr="00D15D1C">
                              <w:rPr>
                                <w:rFonts w:ascii="標楷體" w:eastAsia="標楷體" w:hAnsi="標楷體" w:hint="eastAsia"/>
                                <w:sz w:val="20"/>
                              </w:rPr>
                              <w:t>採購</w:t>
                            </w:r>
                            <w:r w:rsidRPr="00D15D1C">
                              <w:rPr>
                                <w:rFonts w:ascii="標楷體" w:eastAsia="標楷體" w:hAnsi="標楷體"/>
                                <w:sz w:val="20"/>
                              </w:rPr>
                              <w:t>內部控制制度共通性作業範例</w:t>
                            </w:r>
                            <w:r w:rsidRPr="00D15D1C">
                              <w:rPr>
                                <w:rFonts w:ascii="標楷體" w:eastAsia="標楷體" w:hAnsi="標楷體" w:hint="eastAsia"/>
                                <w:sz w:val="20"/>
                              </w:rPr>
                              <w:t>，供機關設計採購內部控制制度參考。</w:t>
                            </w:r>
                          </w:p>
                        </w:tc>
                      </w:tr>
                      <w:tr w:rsidR="00CE57F9" w:rsidRPr="00D15D1C" w14:paraId="5F78CD10" w14:textId="77777777" w:rsidTr="00F93D96">
                        <w:trPr>
                          <w:trHeight w:val="780"/>
                        </w:trPr>
                        <w:tc>
                          <w:tcPr>
                            <w:tcW w:w="1242" w:type="dxa"/>
                            <w:shd w:val="clear" w:color="auto" w:fill="auto"/>
                            <w:vAlign w:val="center"/>
                          </w:tcPr>
                          <w:p w14:paraId="1EE71BF6" w14:textId="77777777" w:rsidR="00CE57F9" w:rsidRPr="00D15D1C" w:rsidRDefault="00CE57F9" w:rsidP="00160948">
                            <w:pPr>
                              <w:adjustRightInd w:val="0"/>
                              <w:snapToGrid w:val="0"/>
                              <w:rPr>
                                <w:rFonts w:ascii="標楷體" w:eastAsia="標楷體" w:hAnsi="Calibri"/>
                                <w:sz w:val="20"/>
                              </w:rPr>
                            </w:pPr>
                            <w:r w:rsidRPr="00D15D1C">
                              <w:rPr>
                                <w:rFonts w:ascii="標楷體" w:eastAsia="標楷體" w:hAnsi="Calibri" w:hint="eastAsia"/>
                                <w:sz w:val="20"/>
                              </w:rPr>
                              <w:t>政</w:t>
                            </w:r>
                            <w:r w:rsidRPr="00D15D1C">
                              <w:rPr>
                                <w:rFonts w:ascii="標楷體" w:eastAsia="標楷體" w:hAnsi="Calibri"/>
                                <w:sz w:val="20"/>
                              </w:rPr>
                              <w:t>府採購</w:t>
                            </w:r>
                            <w:r w:rsidRPr="00D15D1C">
                              <w:rPr>
                                <w:rFonts w:ascii="標楷體" w:eastAsia="標楷體" w:hAnsi="Calibri" w:hint="eastAsia"/>
                                <w:sz w:val="20"/>
                              </w:rPr>
                              <w:t>錯</w:t>
                            </w:r>
                            <w:r w:rsidRPr="00D15D1C">
                              <w:rPr>
                                <w:rFonts w:ascii="標楷體" w:eastAsia="標楷體" w:hAnsi="Calibri"/>
                                <w:sz w:val="20"/>
                              </w:rPr>
                              <w:t>誤</w:t>
                            </w:r>
                            <w:r w:rsidRPr="00D15D1C">
                              <w:rPr>
                                <w:rFonts w:ascii="標楷體" w:eastAsia="標楷體" w:hAnsi="Calibri" w:hint="eastAsia"/>
                                <w:sz w:val="20"/>
                              </w:rPr>
                              <w:t>行為態</w:t>
                            </w:r>
                            <w:r w:rsidRPr="00D15D1C">
                              <w:rPr>
                                <w:rFonts w:ascii="標楷體" w:eastAsia="標楷體" w:hAnsi="Calibri"/>
                                <w:sz w:val="20"/>
                              </w:rPr>
                              <w:t>樣</w:t>
                            </w:r>
                          </w:p>
                        </w:tc>
                        <w:tc>
                          <w:tcPr>
                            <w:tcW w:w="4820" w:type="dxa"/>
                            <w:shd w:val="clear" w:color="auto" w:fill="auto"/>
                            <w:vAlign w:val="center"/>
                          </w:tcPr>
                          <w:p w14:paraId="2328635E" w14:textId="77777777" w:rsidR="00CE57F9" w:rsidRPr="00D15D1C" w:rsidRDefault="00CE57F9" w:rsidP="00160948">
                            <w:pPr>
                              <w:adjustRightInd w:val="0"/>
                              <w:snapToGrid w:val="0"/>
                              <w:ind w:rightChars="-23" w:right="-55"/>
                              <w:jc w:val="both"/>
                              <w:rPr>
                                <w:rFonts w:ascii="標楷體" w:eastAsia="標楷體" w:hAnsi="標楷體"/>
                                <w:sz w:val="20"/>
                              </w:rPr>
                            </w:pPr>
                            <w:r>
                              <w:rPr>
                                <w:rFonts w:ascii="標楷體" w:eastAsia="標楷體" w:hAnsi="標楷體"/>
                                <w:sz w:val="20"/>
                              </w:rPr>
                              <w:t>行政院公共工程委員會</w:t>
                            </w:r>
                            <w:r w:rsidRPr="00D15D1C">
                              <w:rPr>
                                <w:rFonts w:ascii="標楷體" w:eastAsia="標楷體" w:hAnsi="標楷體" w:hint="eastAsia"/>
                                <w:sz w:val="20"/>
                              </w:rPr>
                              <w:t>已訂定政府採購錯誤行為態樣，於序號十一中明定可能有圍標之嫌或宜注意之現象，提醒機關注意辦理。</w:t>
                            </w:r>
                          </w:p>
                        </w:tc>
                      </w:tr>
                    </w:tbl>
                    <w:p w14:paraId="385FB654" w14:textId="77777777" w:rsidR="00CE57F9" w:rsidRPr="00160948" w:rsidRDefault="00CE57F9" w:rsidP="00D66F89">
                      <w:r w:rsidRPr="00D15D1C">
                        <w:rPr>
                          <w:rFonts w:ascii="標楷體" w:eastAsia="標楷體" w:hAnsi="標楷體" w:hint="eastAsia"/>
                          <w:sz w:val="18"/>
                          <w:szCs w:val="18"/>
                        </w:rPr>
                        <w:t>資</w:t>
                      </w:r>
                      <w:r w:rsidRPr="00D15D1C">
                        <w:rPr>
                          <w:rFonts w:ascii="標楷體" w:eastAsia="標楷體" w:hAnsi="標楷體"/>
                          <w:sz w:val="18"/>
                          <w:szCs w:val="18"/>
                        </w:rPr>
                        <w:t>料來源</w:t>
                      </w:r>
                      <w:r w:rsidRPr="00D15D1C">
                        <w:rPr>
                          <w:rFonts w:ascii="標楷體" w:eastAsia="標楷體" w:hAnsi="標楷體" w:hint="eastAsia"/>
                          <w:sz w:val="18"/>
                          <w:szCs w:val="18"/>
                        </w:rPr>
                        <w:t>：整理自</w:t>
                      </w:r>
                      <w:r>
                        <w:rPr>
                          <w:rFonts w:ascii="標楷體" w:eastAsia="標楷體" w:hAnsi="標楷體" w:hint="eastAsia"/>
                          <w:sz w:val="18"/>
                          <w:szCs w:val="18"/>
                        </w:rPr>
                        <w:t>政府</w:t>
                      </w:r>
                      <w:r w:rsidRPr="00D15D1C">
                        <w:rPr>
                          <w:rFonts w:ascii="標楷體" w:eastAsia="標楷體" w:hAnsi="標楷體" w:hint="eastAsia"/>
                          <w:sz w:val="18"/>
                          <w:szCs w:val="18"/>
                        </w:rPr>
                        <w:t>採購法及</w:t>
                      </w:r>
                      <w:r>
                        <w:rPr>
                          <w:rFonts w:ascii="標楷體" w:eastAsia="標楷體" w:hAnsi="標楷體" w:hint="eastAsia"/>
                          <w:sz w:val="18"/>
                          <w:szCs w:val="18"/>
                        </w:rPr>
                        <w:t>行政院公共工程委員會</w:t>
                      </w:r>
                      <w:r w:rsidRPr="00D15D1C">
                        <w:rPr>
                          <w:rFonts w:ascii="標楷體" w:eastAsia="標楷體" w:hAnsi="標楷體" w:hint="eastAsia"/>
                          <w:sz w:val="18"/>
                          <w:szCs w:val="18"/>
                        </w:rPr>
                        <w:t>全球資訊網</w:t>
                      </w:r>
                      <w:r w:rsidRPr="00D15D1C">
                        <w:rPr>
                          <w:rFonts w:ascii="標楷體" w:eastAsia="標楷體" w:hAnsi="標楷體"/>
                          <w:sz w:val="18"/>
                          <w:szCs w:val="18"/>
                        </w:rPr>
                        <w:t>。</w:t>
                      </w:r>
                    </w:p>
                  </w:txbxContent>
                </v:textbox>
                <w10:wrap type="square"/>
              </v:shape>
            </w:pict>
          </mc:Fallback>
        </mc:AlternateContent>
      </w:r>
      <w:r w:rsidR="00A82D4F" w:rsidRPr="009D11AD">
        <w:rPr>
          <w:rFonts w:ascii="標楷體" w:eastAsia="標楷體" w:hAnsi="標楷體" w:hint="eastAsia"/>
          <w:bCs/>
          <w:szCs w:val="32"/>
        </w:rPr>
        <w:t>政府為維護採購秩序，避免廠商圍標行為，已訂定相關課責及預防機</w:t>
      </w:r>
      <w:r w:rsidR="00A82D4F" w:rsidRPr="00346BDD">
        <w:rPr>
          <w:rFonts w:ascii="標楷體" w:eastAsia="標楷體" w:hAnsi="標楷體" w:hint="eastAsia"/>
          <w:bCs/>
          <w:szCs w:val="32"/>
        </w:rPr>
        <w:t>制（表</w:t>
      </w:r>
      <w:r w:rsidR="00B729E6" w:rsidRPr="00346BDD">
        <w:rPr>
          <w:rFonts w:ascii="標楷體" w:eastAsia="標楷體" w:hAnsi="標楷體" w:hint="eastAsia"/>
          <w:bCs/>
          <w:szCs w:val="32"/>
        </w:rPr>
        <w:t>29</w:t>
      </w:r>
      <w:r w:rsidR="004F5959" w:rsidRPr="00346BDD">
        <w:rPr>
          <w:rFonts w:ascii="標楷體" w:eastAsia="標楷體" w:hAnsi="標楷體" w:hint="eastAsia"/>
          <w:bCs/>
          <w:szCs w:val="32"/>
        </w:rPr>
        <w:t>），包含</w:t>
      </w:r>
      <w:r w:rsidR="00BC7945" w:rsidRPr="00346BDD">
        <w:rPr>
          <w:rFonts w:ascii="標楷體" w:eastAsia="標楷體" w:hAnsi="標楷體" w:hint="eastAsia"/>
          <w:bCs/>
          <w:szCs w:val="32"/>
        </w:rPr>
        <w:t>於政府採購法</w:t>
      </w:r>
      <w:r w:rsidR="00A82D4F" w:rsidRPr="00346BDD">
        <w:rPr>
          <w:rFonts w:ascii="標楷體" w:eastAsia="標楷體" w:hAnsi="標楷體" w:hint="eastAsia"/>
          <w:bCs/>
          <w:szCs w:val="32"/>
        </w:rPr>
        <w:t>第87條及第92條條文中明定相關罰則，並於第31條、第101條至第103條條文中，明定押標金不予發還或追繳，以及將不良廠商刊登政府採購公報且刊登公報期間不得參加投標或作為決標對象或分包廠商等規定</w:t>
      </w:r>
      <w:r w:rsidR="004F5959" w:rsidRPr="00346BDD">
        <w:rPr>
          <w:rFonts w:ascii="標楷體" w:eastAsia="標楷體" w:hAnsi="標楷體" w:hint="eastAsia"/>
          <w:bCs/>
          <w:szCs w:val="32"/>
        </w:rPr>
        <w:t>；</w:t>
      </w:r>
      <w:r w:rsidR="00A82D4F" w:rsidRPr="00346BDD">
        <w:rPr>
          <w:rFonts w:ascii="標楷體" w:eastAsia="標楷體" w:hAnsi="標楷體" w:hint="eastAsia"/>
          <w:bCs/>
          <w:szCs w:val="32"/>
        </w:rPr>
        <w:t>行政院公共工程委員會</w:t>
      </w:r>
      <w:r w:rsidR="009C0FA1" w:rsidRPr="00346BDD">
        <w:rPr>
          <w:rFonts w:ascii="標楷體" w:eastAsia="標楷體" w:hAnsi="標楷體" w:hint="eastAsia"/>
          <w:color w:val="000000"/>
          <w:spacing w:val="-2"/>
          <w:szCs w:val="24"/>
        </w:rPr>
        <w:t>（下稱工程會）</w:t>
      </w:r>
      <w:r w:rsidR="00A82D4F" w:rsidRPr="00346BDD">
        <w:rPr>
          <w:rFonts w:ascii="標楷體" w:eastAsia="標楷體" w:hAnsi="標楷體" w:hint="eastAsia"/>
          <w:bCs/>
          <w:szCs w:val="32"/>
        </w:rPr>
        <w:t>為防止廠商圍標行為，於政府電子採購網建置領標資訊查詢功能，供機關查</w:t>
      </w:r>
      <w:r w:rsidR="00A82D4F" w:rsidRPr="009D11AD">
        <w:rPr>
          <w:rFonts w:ascii="標楷體" w:eastAsia="標楷體" w:hAnsi="標楷體" w:hint="eastAsia"/>
          <w:bCs/>
          <w:szCs w:val="32"/>
        </w:rPr>
        <w:t>詢採購電子領標紀錄有無異常情形，以及於網站中建置警示專區，按月產出異常案件警示報表</w:t>
      </w:r>
      <w:r w:rsidR="00A82D4F" w:rsidRPr="00346BDD">
        <w:rPr>
          <w:rFonts w:ascii="標楷體" w:eastAsia="標楷體" w:hAnsi="標楷體" w:hint="eastAsia"/>
          <w:bCs/>
          <w:szCs w:val="32"/>
        </w:rPr>
        <w:t>；又</w:t>
      </w:r>
      <w:r w:rsidR="004F5959" w:rsidRPr="00346BDD">
        <w:rPr>
          <w:rFonts w:ascii="標楷體" w:eastAsia="標楷體" w:hAnsi="標楷體" w:hint="eastAsia"/>
          <w:bCs/>
          <w:szCs w:val="32"/>
        </w:rPr>
        <w:t>該</w:t>
      </w:r>
      <w:r w:rsidR="00271BE5" w:rsidRPr="009D11AD">
        <w:rPr>
          <w:rFonts w:ascii="標楷體" w:eastAsia="標楷體" w:hAnsi="標楷體" w:hint="eastAsia"/>
          <w:bCs/>
          <w:szCs w:val="32"/>
        </w:rPr>
        <w:t>會</w:t>
      </w:r>
      <w:r w:rsidR="004F5959">
        <w:rPr>
          <w:rFonts w:ascii="標楷體" w:eastAsia="標楷體" w:hAnsi="標楷體" w:hint="eastAsia"/>
          <w:bCs/>
          <w:szCs w:val="32"/>
        </w:rPr>
        <w:t>為提供機關設計採購內部控制制度參考，</w:t>
      </w:r>
      <w:r w:rsidR="00A82D4F" w:rsidRPr="00F00364">
        <w:rPr>
          <w:rFonts w:ascii="標楷體" w:eastAsia="標楷體" w:hAnsi="標楷體" w:hint="eastAsia"/>
          <w:bCs/>
          <w:szCs w:val="32"/>
        </w:rPr>
        <w:t>訂定採購內部控制制度共通性作業範例，並於相關作業範例中列舉廠商可能圍標情事，提醒機關注意查察；另訂定政府採購錯誤行為態樣，明定可能有圍標之嫌或宜注意之現象，提醒機</w:t>
      </w:r>
      <w:r w:rsidR="00BC7945" w:rsidRPr="00F00364">
        <w:rPr>
          <w:rFonts w:ascii="標楷體" w:eastAsia="標楷體" w:hAnsi="標楷體" w:hint="eastAsia"/>
          <w:bCs/>
          <w:szCs w:val="32"/>
        </w:rPr>
        <w:t>關注意辦理。經查</w:t>
      </w:r>
      <w:r w:rsidR="009C0FA1" w:rsidRPr="00F00364">
        <w:rPr>
          <w:rFonts w:ascii="標楷體" w:eastAsia="標楷體" w:hAnsi="標楷體" w:hint="eastAsia"/>
          <w:bCs/>
          <w:szCs w:val="32"/>
        </w:rPr>
        <w:t>工程</w:t>
      </w:r>
      <w:r w:rsidR="004F5959" w:rsidRPr="00F00364">
        <w:rPr>
          <w:rFonts w:ascii="標楷體" w:eastAsia="標楷體" w:hAnsi="標楷體" w:hint="eastAsia"/>
          <w:bCs/>
          <w:szCs w:val="32"/>
        </w:rPr>
        <w:t>會</w:t>
      </w:r>
      <w:r w:rsidR="00BC7945" w:rsidRPr="009D11AD">
        <w:rPr>
          <w:rFonts w:ascii="標楷體" w:eastAsia="標楷體" w:hAnsi="標楷體" w:hint="eastAsia"/>
          <w:bCs/>
          <w:szCs w:val="32"/>
        </w:rPr>
        <w:t>對</w:t>
      </w:r>
      <w:r w:rsidR="004F5959">
        <w:rPr>
          <w:rFonts w:ascii="標楷體" w:eastAsia="標楷體" w:hAnsi="標楷體" w:hint="eastAsia"/>
          <w:bCs/>
          <w:szCs w:val="32"/>
        </w:rPr>
        <w:t>於</w:t>
      </w:r>
      <w:r w:rsidR="00BC7945" w:rsidRPr="009D11AD">
        <w:rPr>
          <w:rFonts w:ascii="標楷體" w:eastAsia="標楷體" w:hAnsi="標楷體" w:hint="eastAsia"/>
          <w:bCs/>
          <w:szCs w:val="32"/>
        </w:rPr>
        <w:t>採購圍標行為所採行之預防機制，核有：1.</w:t>
      </w:r>
      <w:r w:rsidR="00A82D4F" w:rsidRPr="009D11AD">
        <w:rPr>
          <w:rFonts w:ascii="標楷體" w:eastAsia="標楷體" w:hAnsi="標楷體" w:hint="eastAsia"/>
          <w:bCs/>
          <w:szCs w:val="32"/>
        </w:rPr>
        <w:t>現行政府電子採購網對於不同投標廠商於歷年得標採購案件決標公告登載廠商地址相同，卻共同參與投標之採購案件，尚未</w:t>
      </w:r>
      <w:r w:rsidR="00BC7945" w:rsidRPr="009D11AD">
        <w:rPr>
          <w:rFonts w:ascii="標楷體" w:eastAsia="標楷體" w:hAnsi="標楷體" w:hint="eastAsia"/>
          <w:bCs/>
          <w:szCs w:val="32"/>
        </w:rPr>
        <w:t>於系統中建置廠商地址是否相同等相關查詢功</w:t>
      </w:r>
      <w:r w:rsidR="00BC7945" w:rsidRPr="003F7389">
        <w:rPr>
          <w:rFonts w:ascii="標楷體" w:eastAsia="標楷體" w:hAnsi="標楷體" w:hint="eastAsia"/>
          <w:bCs/>
          <w:szCs w:val="32"/>
        </w:rPr>
        <w:t>能，不利機關審標作業；</w:t>
      </w:r>
      <w:r w:rsidR="00A82D4F" w:rsidRPr="003F7389">
        <w:rPr>
          <w:rFonts w:ascii="標楷體" w:eastAsia="標楷體" w:hAnsi="標楷體"/>
          <w:bCs/>
          <w:szCs w:val="32"/>
        </w:rPr>
        <w:t>2</w:t>
      </w:r>
      <w:r w:rsidR="00BC7945" w:rsidRPr="003F7389">
        <w:rPr>
          <w:rFonts w:ascii="標楷體" w:eastAsia="標楷體" w:hAnsi="標楷體"/>
          <w:bCs/>
          <w:szCs w:val="32"/>
        </w:rPr>
        <w:t>.</w:t>
      </w:r>
      <w:r w:rsidR="00A82D4F" w:rsidRPr="003F7389">
        <w:rPr>
          <w:rFonts w:ascii="標楷體" w:eastAsia="標楷體" w:hAnsi="標楷體" w:hint="eastAsia"/>
          <w:bCs/>
          <w:szCs w:val="32"/>
        </w:rPr>
        <w:t>政府電子採購網已建置領標資訊查詢功能，供機關查詢採購電子領標紀錄，惟機關尚無法透過該查詢功能</w:t>
      </w:r>
      <w:r w:rsidR="00BC7945" w:rsidRPr="003F7389">
        <w:rPr>
          <w:rFonts w:ascii="標楷體" w:eastAsia="標楷體" w:hAnsi="標楷體" w:hint="eastAsia"/>
          <w:bCs/>
          <w:szCs w:val="32"/>
        </w:rPr>
        <w:t>，查詢不同投標廠商是否有利用相同使用者帳號進行領標之異常情事；</w:t>
      </w:r>
      <w:r w:rsidR="00A82D4F" w:rsidRPr="003F7389">
        <w:rPr>
          <w:rFonts w:ascii="標楷體" w:eastAsia="標楷體" w:hAnsi="標楷體"/>
          <w:bCs/>
          <w:szCs w:val="32"/>
        </w:rPr>
        <w:t>3</w:t>
      </w:r>
      <w:r w:rsidR="00BC7945" w:rsidRPr="003F7389">
        <w:rPr>
          <w:rFonts w:ascii="標楷體" w:eastAsia="標楷體" w:hAnsi="標楷體"/>
          <w:bCs/>
          <w:szCs w:val="32"/>
        </w:rPr>
        <w:t>.</w:t>
      </w:r>
      <w:r w:rsidR="004F5959">
        <w:rPr>
          <w:rFonts w:ascii="標楷體" w:eastAsia="標楷體" w:hAnsi="標楷體" w:hint="eastAsia"/>
          <w:bCs/>
          <w:szCs w:val="32"/>
        </w:rPr>
        <w:t>為利機關辦理採購作業及各級政府稽核小組稽核選案參考，</w:t>
      </w:r>
      <w:r w:rsidR="00A82D4F" w:rsidRPr="003F7389">
        <w:rPr>
          <w:rFonts w:ascii="標楷體" w:eastAsia="標楷體" w:hAnsi="標楷體" w:hint="eastAsia"/>
          <w:bCs/>
          <w:szCs w:val="32"/>
        </w:rPr>
        <w:t>於政府電子採購網</w:t>
      </w:r>
      <w:r w:rsidR="00A82D4F" w:rsidRPr="00346BDD">
        <w:rPr>
          <w:rFonts w:ascii="標楷體" w:eastAsia="標楷體" w:hAnsi="標楷體" w:hint="eastAsia"/>
          <w:bCs/>
          <w:szCs w:val="32"/>
        </w:rPr>
        <w:t>中建置警示專區，惟該專區尚未針對廠</w:t>
      </w:r>
      <w:r w:rsidR="00BC7945" w:rsidRPr="00346BDD">
        <w:rPr>
          <w:rFonts w:ascii="標楷體" w:eastAsia="標楷體" w:hAnsi="標楷體" w:hint="eastAsia"/>
          <w:bCs/>
          <w:szCs w:val="32"/>
        </w:rPr>
        <w:t>商履約人員曾有互用卻共同參與投標之採購案件，建立相關警示報表；</w:t>
      </w:r>
      <w:r w:rsidR="00A82D4F" w:rsidRPr="00346BDD">
        <w:rPr>
          <w:rFonts w:ascii="標楷體" w:eastAsia="標楷體" w:hAnsi="標楷體"/>
          <w:bCs/>
          <w:szCs w:val="32"/>
        </w:rPr>
        <w:t>4</w:t>
      </w:r>
      <w:r w:rsidR="00BC7945" w:rsidRPr="00346BDD">
        <w:rPr>
          <w:rFonts w:ascii="標楷體" w:eastAsia="標楷體" w:hAnsi="標楷體"/>
          <w:bCs/>
          <w:szCs w:val="32"/>
        </w:rPr>
        <w:t>.</w:t>
      </w:r>
      <w:r w:rsidR="00A82D4F" w:rsidRPr="00346BDD">
        <w:rPr>
          <w:rFonts w:ascii="標楷體" w:eastAsia="標楷體" w:hAnsi="標楷體" w:hint="eastAsia"/>
          <w:bCs/>
          <w:szCs w:val="32"/>
        </w:rPr>
        <w:t>已訂定採購作業內部控制制度共通性作業範例，</w:t>
      </w:r>
      <w:r w:rsidR="00BC7945" w:rsidRPr="00346BDD">
        <w:rPr>
          <w:rFonts w:ascii="標楷體" w:eastAsia="標楷體" w:hAnsi="標楷體" w:hint="eastAsia"/>
          <w:bCs/>
          <w:szCs w:val="32"/>
        </w:rPr>
        <w:t>供各機關設計採購內部控制制度參考，惟部分作業範例內容尚待完備；</w:t>
      </w:r>
      <w:r w:rsidR="00A82D4F" w:rsidRPr="00346BDD">
        <w:rPr>
          <w:rFonts w:ascii="標楷體" w:eastAsia="標楷體" w:hAnsi="標楷體" w:hint="eastAsia"/>
          <w:bCs/>
          <w:szCs w:val="32"/>
        </w:rPr>
        <w:t>5</w:t>
      </w:r>
      <w:r w:rsidR="00BC7945" w:rsidRPr="00346BDD">
        <w:rPr>
          <w:rFonts w:ascii="標楷體" w:eastAsia="標楷體" w:hAnsi="標楷體" w:hint="eastAsia"/>
          <w:bCs/>
          <w:szCs w:val="32"/>
        </w:rPr>
        <w:t>.</w:t>
      </w:r>
      <w:r w:rsidR="00A82D4F" w:rsidRPr="00346BDD">
        <w:rPr>
          <w:rFonts w:ascii="標楷體" w:eastAsia="標楷體" w:hAnsi="標楷體" w:hint="eastAsia"/>
          <w:bCs/>
          <w:szCs w:val="32"/>
        </w:rPr>
        <w:t>已訂定政府採購錯誤行為態樣，明定可能有圍標之嫌或宜注意之現象，提醒機關注意辦理，惟仍有部分案件所涉圍標態樣，未見納入政府採購錯誤行為態樣等情事，</w:t>
      </w:r>
      <w:r w:rsidR="00A82D4F" w:rsidRPr="00346BDD">
        <w:rPr>
          <w:rFonts w:ascii="標楷體" w:eastAsia="標楷體" w:hAnsi="標楷體" w:hint="eastAsia"/>
        </w:rPr>
        <w:t>經函請</w:t>
      </w:r>
      <w:r w:rsidR="00271BE5" w:rsidRPr="00346BDD">
        <w:rPr>
          <w:rFonts w:ascii="標楷體" w:eastAsia="標楷體" w:hAnsi="標楷體" w:hint="eastAsia"/>
        </w:rPr>
        <w:t>工程會</w:t>
      </w:r>
      <w:r w:rsidR="00A82D4F" w:rsidRPr="00346BDD">
        <w:rPr>
          <w:rFonts w:ascii="標楷體" w:eastAsia="標楷體" w:hAnsi="標楷體" w:hint="eastAsia"/>
        </w:rPr>
        <w:t>檢討改善</w:t>
      </w:r>
      <w:r w:rsidR="00A82D4F" w:rsidRPr="00346BDD">
        <w:rPr>
          <w:rFonts w:ascii="標楷體" w:eastAsia="標楷體" w:hAnsi="標楷體" w:hint="eastAsia"/>
          <w:bCs/>
          <w:szCs w:val="32"/>
        </w:rPr>
        <w:t>。據復：</w:t>
      </w:r>
      <w:r w:rsidR="003F7389" w:rsidRPr="00346BDD">
        <w:rPr>
          <w:rFonts w:ascii="標楷體" w:eastAsia="標楷體" w:hAnsi="標楷體" w:hint="eastAsia"/>
          <w:bCs/>
          <w:szCs w:val="32"/>
        </w:rPr>
        <w:t>已蒐集資料，針對採購圍標行為預防機制，進行相關法規研議及資訊系統整合開發評估</w:t>
      </w:r>
      <w:r w:rsidR="002D1DAB" w:rsidRPr="00346BDD">
        <w:rPr>
          <w:rFonts w:ascii="標楷體" w:eastAsia="標楷體" w:hAnsi="標楷體" w:hint="eastAsia"/>
          <w:bCs/>
          <w:szCs w:val="32"/>
        </w:rPr>
        <w:t>。</w:t>
      </w:r>
    </w:p>
    <w:p w14:paraId="5B1D792D" w14:textId="4C0AF9EC" w:rsidR="00215CEF" w:rsidRPr="009D11AD" w:rsidRDefault="005A568F" w:rsidP="00860D54">
      <w:pPr>
        <w:pStyle w:val="10"/>
        <w:overflowPunct w:val="0"/>
        <w:spacing w:beforeLines="20" w:before="72" w:afterLines="20" w:after="72" w:line="460" w:lineRule="exact"/>
        <w:ind w:firstLineChars="100" w:firstLine="320"/>
        <w:rPr>
          <w:rFonts w:ascii="標楷體" w:eastAsia="標楷體" w:hAnsi="標楷體"/>
          <w:color w:val="000000" w:themeColor="text1"/>
          <w:sz w:val="32"/>
          <w:szCs w:val="32"/>
        </w:rPr>
      </w:pPr>
      <w:r w:rsidRPr="009D11AD">
        <w:rPr>
          <w:rFonts w:ascii="標楷體" w:eastAsia="標楷體" w:hAnsi="標楷體" w:hint="eastAsia"/>
          <w:color w:val="000000" w:themeColor="text1"/>
          <w:sz w:val="32"/>
          <w:szCs w:val="32"/>
        </w:rPr>
        <w:lastRenderedPageBreak/>
        <w:t>五</w:t>
      </w:r>
      <w:r w:rsidR="00215CEF" w:rsidRPr="009D11AD">
        <w:rPr>
          <w:rFonts w:ascii="標楷體" w:eastAsia="標楷體" w:hAnsi="標楷體" w:hint="eastAsia"/>
          <w:color w:val="000000" w:themeColor="text1"/>
          <w:sz w:val="32"/>
          <w:szCs w:val="32"/>
        </w:rPr>
        <w:t>、</w:t>
      </w:r>
      <w:r w:rsidR="00014F93" w:rsidRPr="009D11AD">
        <w:rPr>
          <w:rFonts w:ascii="標楷體" w:eastAsia="標楷體" w:hAnsi="標楷體" w:hint="eastAsia"/>
          <w:color w:val="000000" w:themeColor="text1"/>
          <w:sz w:val="32"/>
          <w:szCs w:val="32"/>
        </w:rPr>
        <w:t>110</w:t>
      </w:r>
      <w:r w:rsidR="00215CEF" w:rsidRPr="009D11AD">
        <w:rPr>
          <w:rFonts w:ascii="標楷體" w:eastAsia="標楷體" w:hAnsi="標楷體" w:hint="eastAsia"/>
          <w:color w:val="000000" w:themeColor="text1"/>
          <w:sz w:val="32"/>
          <w:szCs w:val="32"/>
        </w:rPr>
        <w:t>年度重要審核意見追蹤查核情形</w:t>
      </w:r>
    </w:p>
    <w:p w14:paraId="14BEA59E" w14:textId="19D9F473" w:rsidR="00215CEF" w:rsidRPr="009D11AD" w:rsidRDefault="00B60947" w:rsidP="007064BE">
      <w:pPr>
        <w:pStyle w:val="af9"/>
        <w:overflowPunct w:val="0"/>
        <w:spacing w:beforeLines="0" w:before="0" w:afterLines="0" w:after="0" w:line="404" w:lineRule="exact"/>
        <w:ind w:firstLine="480"/>
        <w:rPr>
          <w:rFonts w:ascii="標楷體" w:hAnsi="標楷體"/>
          <w:b w:val="0"/>
          <w:color w:val="000000" w:themeColor="text1"/>
          <w:sz w:val="24"/>
          <w:szCs w:val="24"/>
        </w:rPr>
      </w:pPr>
      <w:r w:rsidRPr="009D11AD">
        <w:rPr>
          <w:rFonts w:ascii="標楷體" w:hAnsi="標楷體" w:hint="eastAsia"/>
          <w:b w:val="0"/>
          <w:color w:val="000000" w:themeColor="text1"/>
          <w:sz w:val="24"/>
          <w:szCs w:val="24"/>
        </w:rPr>
        <w:t>本部於</w:t>
      </w:r>
      <w:r w:rsidR="00CC59D2" w:rsidRPr="009D11AD">
        <w:rPr>
          <w:rFonts w:ascii="標楷體" w:hAnsi="標楷體" w:hint="eastAsia"/>
          <w:b w:val="0"/>
          <w:color w:val="000000" w:themeColor="text1"/>
          <w:sz w:val="24"/>
          <w:szCs w:val="24"/>
        </w:rPr>
        <w:t>1</w:t>
      </w:r>
      <w:r w:rsidR="00014F93" w:rsidRPr="009D11AD">
        <w:rPr>
          <w:rFonts w:ascii="標楷體" w:hAnsi="標楷體" w:hint="eastAsia"/>
          <w:b w:val="0"/>
          <w:color w:val="000000" w:themeColor="text1"/>
          <w:sz w:val="24"/>
          <w:szCs w:val="24"/>
        </w:rPr>
        <w:t>10</w:t>
      </w:r>
      <w:r w:rsidRPr="009D11AD">
        <w:rPr>
          <w:rFonts w:ascii="標楷體" w:hAnsi="標楷體" w:hint="eastAsia"/>
          <w:b w:val="0"/>
          <w:color w:val="000000" w:themeColor="text1"/>
          <w:sz w:val="24"/>
          <w:szCs w:val="24"/>
        </w:rPr>
        <w:t>年度審核報告內列普通公務相關</w:t>
      </w:r>
      <w:r w:rsidR="00EF1AEF" w:rsidRPr="009D11AD">
        <w:rPr>
          <w:rFonts w:ascii="標楷體" w:hAnsi="標楷體" w:hint="eastAsia"/>
          <w:b w:val="0"/>
          <w:color w:val="000000" w:themeColor="text1"/>
          <w:sz w:val="24"/>
          <w:szCs w:val="24"/>
        </w:rPr>
        <w:t>重要審核意見</w:t>
      </w:r>
      <w:r w:rsidR="00014F93" w:rsidRPr="009D11AD">
        <w:rPr>
          <w:rFonts w:ascii="標楷體" w:hAnsi="標楷體" w:hint="eastAsia"/>
          <w:b w:val="0"/>
          <w:color w:val="000000" w:themeColor="text1"/>
          <w:sz w:val="24"/>
          <w:szCs w:val="24"/>
        </w:rPr>
        <w:t>3</w:t>
      </w:r>
      <w:r w:rsidR="000648B3" w:rsidRPr="009D11AD">
        <w:rPr>
          <w:rFonts w:ascii="標楷體" w:hAnsi="標楷體" w:hint="eastAsia"/>
          <w:b w:val="0"/>
          <w:color w:val="000000" w:themeColor="text1"/>
          <w:sz w:val="24"/>
          <w:szCs w:val="24"/>
        </w:rPr>
        <w:t>9</w:t>
      </w:r>
      <w:r w:rsidR="00EF1AEF" w:rsidRPr="009D11AD">
        <w:rPr>
          <w:rFonts w:ascii="標楷體" w:hAnsi="標楷體" w:hint="eastAsia"/>
          <w:b w:val="0"/>
          <w:color w:val="000000" w:themeColor="text1"/>
          <w:sz w:val="24"/>
          <w:szCs w:val="24"/>
        </w:rPr>
        <w:t>項，經賡續追蹤查核實際辦理結果，仍待繼續改善者</w:t>
      </w:r>
      <w:r w:rsidR="008B375E" w:rsidRPr="009D11AD">
        <w:rPr>
          <w:rFonts w:ascii="標楷體" w:hAnsi="標楷體"/>
          <w:b w:val="0"/>
          <w:color w:val="000000" w:themeColor="text1"/>
          <w:sz w:val="24"/>
          <w:szCs w:val="24"/>
        </w:rPr>
        <w:t>8</w:t>
      </w:r>
      <w:r w:rsidR="00EF1AEF" w:rsidRPr="009D11AD">
        <w:rPr>
          <w:rFonts w:ascii="標楷體" w:hAnsi="標楷體" w:hint="eastAsia"/>
          <w:b w:val="0"/>
          <w:color w:val="000000" w:themeColor="text1"/>
          <w:sz w:val="24"/>
          <w:szCs w:val="24"/>
        </w:rPr>
        <w:t>項、</w:t>
      </w:r>
      <w:r w:rsidR="00D53C51" w:rsidRPr="009D11AD">
        <w:rPr>
          <w:rFonts w:ascii="標楷體" w:hAnsi="標楷體" w:hint="eastAsia"/>
          <w:b w:val="0"/>
          <w:color w:val="000000" w:themeColor="text1"/>
          <w:sz w:val="24"/>
          <w:szCs w:val="24"/>
        </w:rPr>
        <w:t>處理中2項、</w:t>
      </w:r>
      <w:r w:rsidR="00EF1AEF" w:rsidRPr="009D11AD">
        <w:rPr>
          <w:rFonts w:ascii="標楷體" w:hAnsi="標楷體" w:hint="eastAsia"/>
          <w:b w:val="0"/>
          <w:color w:val="000000" w:themeColor="text1"/>
          <w:sz w:val="24"/>
          <w:szCs w:val="24"/>
        </w:rPr>
        <w:t>研謀改善或依改善措施持續辦理者</w:t>
      </w:r>
      <w:r w:rsidR="00D53C51" w:rsidRPr="009D11AD">
        <w:rPr>
          <w:rFonts w:ascii="標楷體" w:hAnsi="標楷體"/>
          <w:b w:val="0"/>
          <w:color w:val="000000" w:themeColor="text1"/>
          <w:sz w:val="24"/>
          <w:szCs w:val="24"/>
        </w:rPr>
        <w:t>29</w:t>
      </w:r>
      <w:r w:rsidR="00EF1AEF" w:rsidRPr="009D11AD">
        <w:rPr>
          <w:rFonts w:ascii="標楷體" w:hAnsi="標楷體" w:hint="eastAsia"/>
          <w:b w:val="0"/>
          <w:color w:val="000000" w:themeColor="text1"/>
          <w:sz w:val="24"/>
          <w:szCs w:val="24"/>
        </w:rPr>
        <w:t>項（</w:t>
      </w:r>
      <w:r w:rsidR="00821BB0" w:rsidRPr="00010B5E">
        <w:rPr>
          <w:rFonts w:ascii="標楷體" w:hAnsi="標楷體" w:hint="eastAsia"/>
          <w:b w:val="0"/>
          <w:color w:val="000000" w:themeColor="text1"/>
          <w:sz w:val="24"/>
          <w:szCs w:val="24"/>
        </w:rPr>
        <w:t>表</w:t>
      </w:r>
      <w:r w:rsidR="006646C9" w:rsidRPr="00010B5E">
        <w:rPr>
          <w:rFonts w:ascii="標楷體" w:hAnsi="標楷體" w:hint="eastAsia"/>
          <w:b w:val="0"/>
          <w:color w:val="000000" w:themeColor="text1"/>
          <w:sz w:val="24"/>
          <w:szCs w:val="24"/>
        </w:rPr>
        <w:t>3</w:t>
      </w:r>
      <w:r w:rsidR="00CA1D6E" w:rsidRPr="00010B5E">
        <w:rPr>
          <w:rFonts w:ascii="標楷體" w:hAnsi="標楷體" w:hint="eastAsia"/>
          <w:b w:val="0"/>
          <w:color w:val="000000" w:themeColor="text1"/>
          <w:sz w:val="24"/>
          <w:szCs w:val="24"/>
        </w:rPr>
        <w:t>0</w:t>
      </w:r>
      <w:r w:rsidR="00EF1AEF" w:rsidRPr="00010B5E">
        <w:rPr>
          <w:rFonts w:ascii="標楷體" w:hAnsi="標楷體" w:hint="eastAsia"/>
          <w:b w:val="0"/>
          <w:color w:val="000000" w:themeColor="text1"/>
          <w:sz w:val="24"/>
          <w:szCs w:val="24"/>
        </w:rPr>
        <w:t>）</w:t>
      </w:r>
      <w:r w:rsidR="00EF1AEF" w:rsidRPr="009D11AD">
        <w:rPr>
          <w:rFonts w:ascii="標楷體" w:hAnsi="標楷體" w:hint="eastAsia"/>
          <w:b w:val="0"/>
          <w:color w:val="000000" w:themeColor="text1"/>
          <w:sz w:val="24"/>
          <w:szCs w:val="24"/>
        </w:rPr>
        <w:t>，其中仍待繼續改善者，經再研提審核意見</w:t>
      </w:r>
      <w:r w:rsidR="00D53C51" w:rsidRPr="009D11AD">
        <w:rPr>
          <w:rFonts w:ascii="標楷體" w:hAnsi="標楷體"/>
          <w:b w:val="0"/>
          <w:color w:val="000000" w:themeColor="text1"/>
          <w:sz w:val="24"/>
          <w:szCs w:val="24"/>
        </w:rPr>
        <w:t>8</w:t>
      </w:r>
      <w:r w:rsidR="00EF1AEF" w:rsidRPr="009D11AD">
        <w:rPr>
          <w:rFonts w:ascii="標楷體" w:hAnsi="標楷體" w:hint="eastAsia"/>
          <w:b w:val="0"/>
          <w:color w:val="000000" w:themeColor="text1"/>
          <w:sz w:val="24"/>
          <w:szCs w:val="24"/>
        </w:rPr>
        <w:t>項通知檢討改善。</w:t>
      </w:r>
    </w:p>
    <w:p w14:paraId="70E451F2" w14:textId="5983B186" w:rsidR="00215CEF" w:rsidRPr="009D11AD" w:rsidRDefault="00821BB0" w:rsidP="00860D54">
      <w:pPr>
        <w:overflowPunct w:val="0"/>
        <w:spacing w:beforeLines="50" w:before="180" w:afterLines="30" w:after="108" w:line="240" w:lineRule="exact"/>
        <w:jc w:val="center"/>
        <w:rPr>
          <w:rFonts w:ascii="標楷體" w:eastAsia="標楷體" w:hAnsi="標楷體"/>
          <w:b/>
          <w:color w:val="000000" w:themeColor="text1"/>
          <w:szCs w:val="24"/>
        </w:rPr>
      </w:pPr>
      <w:r w:rsidRPr="009D11AD">
        <w:rPr>
          <w:rFonts w:ascii="標楷體" w:eastAsia="標楷體" w:hAnsi="標楷體" w:hint="eastAsia"/>
          <w:b/>
          <w:color w:val="000000" w:themeColor="text1"/>
          <w:szCs w:val="24"/>
        </w:rPr>
        <w:t>表</w:t>
      </w:r>
      <w:r w:rsidR="006646C9" w:rsidRPr="009D11AD">
        <w:rPr>
          <w:rFonts w:ascii="標楷體" w:eastAsia="標楷體" w:hAnsi="標楷體" w:hint="eastAsia"/>
          <w:b/>
          <w:color w:val="000000" w:themeColor="text1"/>
          <w:szCs w:val="24"/>
        </w:rPr>
        <w:t>3</w:t>
      </w:r>
      <w:r w:rsidR="00B729E6">
        <w:rPr>
          <w:rFonts w:ascii="標楷體" w:eastAsia="標楷體" w:hAnsi="標楷體" w:hint="eastAsia"/>
          <w:b/>
          <w:color w:val="000000" w:themeColor="text1"/>
          <w:szCs w:val="24"/>
        </w:rPr>
        <w:t>0</w:t>
      </w:r>
      <w:r w:rsidR="00215CEF" w:rsidRPr="009D11AD">
        <w:rPr>
          <w:rFonts w:ascii="標楷體" w:eastAsia="標楷體" w:hAnsi="標楷體" w:hint="eastAsia"/>
          <w:b/>
          <w:color w:val="000000" w:themeColor="text1"/>
          <w:szCs w:val="24"/>
        </w:rPr>
        <w:t xml:space="preserve">　</w:t>
      </w:r>
      <w:r w:rsidR="00215CEF" w:rsidRPr="009D11AD">
        <w:rPr>
          <w:rFonts w:ascii="標楷體" w:eastAsia="標楷體" w:hAnsi="標楷體"/>
          <w:b/>
          <w:color w:val="000000" w:themeColor="text1"/>
          <w:szCs w:val="24"/>
        </w:rPr>
        <w:t>1</w:t>
      </w:r>
      <w:r w:rsidR="00516442" w:rsidRPr="009D11AD">
        <w:rPr>
          <w:rFonts w:ascii="標楷體" w:eastAsia="標楷體" w:hAnsi="標楷體" w:hint="eastAsia"/>
          <w:b/>
          <w:color w:val="000000" w:themeColor="text1"/>
          <w:szCs w:val="24"/>
        </w:rPr>
        <w:t>10</w:t>
      </w:r>
      <w:r w:rsidR="00940033" w:rsidRPr="009D11AD">
        <w:rPr>
          <w:rFonts w:ascii="標楷體" w:eastAsia="標楷體" w:hAnsi="標楷體" w:hint="eastAsia"/>
          <w:b/>
          <w:color w:val="000000" w:themeColor="text1"/>
          <w:szCs w:val="24"/>
        </w:rPr>
        <w:t>年度審核報告所列行政院主管</w:t>
      </w:r>
      <w:r w:rsidR="00F76707" w:rsidRPr="009D11AD">
        <w:rPr>
          <w:rFonts w:ascii="標楷體" w:eastAsia="標楷體" w:hAnsi="標楷體" w:hint="eastAsia"/>
          <w:b/>
          <w:color w:val="000000" w:themeColor="text1"/>
          <w:szCs w:val="24"/>
        </w:rPr>
        <w:t>普通公務相關</w:t>
      </w:r>
      <w:r w:rsidR="00940033" w:rsidRPr="009D11AD">
        <w:rPr>
          <w:rFonts w:ascii="標楷體" w:eastAsia="標楷體" w:hAnsi="標楷體" w:hint="eastAsia"/>
          <w:b/>
          <w:color w:val="000000" w:themeColor="text1"/>
          <w:szCs w:val="24"/>
        </w:rPr>
        <w:t>重要審核意見覆核辦理情形</w:t>
      </w:r>
    </w:p>
    <w:tbl>
      <w:tblPr>
        <w:tblW w:w="992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096"/>
        <w:gridCol w:w="3827"/>
      </w:tblGrid>
      <w:tr w:rsidR="007A6350" w:rsidRPr="009D11AD" w14:paraId="6989050C" w14:textId="77777777" w:rsidTr="00DA2751">
        <w:trPr>
          <w:trHeight w:val="20"/>
          <w:tblHeader/>
        </w:trPr>
        <w:tc>
          <w:tcPr>
            <w:tcW w:w="6096" w:type="dxa"/>
            <w:tcBorders>
              <w:top w:val="single" w:sz="4" w:space="0" w:color="auto"/>
              <w:left w:val="single" w:sz="4" w:space="0" w:color="auto"/>
              <w:bottom w:val="single" w:sz="4" w:space="0" w:color="auto"/>
              <w:right w:val="single" w:sz="4" w:space="0" w:color="auto"/>
            </w:tcBorders>
            <w:vAlign w:val="center"/>
          </w:tcPr>
          <w:p w14:paraId="0228AFEC" w14:textId="77777777" w:rsidR="00215CEF" w:rsidRPr="009D11AD" w:rsidRDefault="00215CEF" w:rsidP="00F8778C">
            <w:pPr>
              <w:overflowPunct w:val="0"/>
              <w:spacing w:line="320" w:lineRule="exact"/>
              <w:jc w:val="center"/>
              <w:rPr>
                <w:rFonts w:ascii="標楷體" w:eastAsia="標楷體" w:hAnsi="標楷體"/>
                <w:color w:val="000000" w:themeColor="text1"/>
                <w:sz w:val="20"/>
              </w:rPr>
            </w:pPr>
            <w:r w:rsidRPr="009D11AD">
              <w:rPr>
                <w:rFonts w:ascii="標楷體" w:eastAsia="標楷體" w:hAnsi="標楷體" w:hint="eastAsia"/>
                <w:color w:val="000000" w:themeColor="text1"/>
                <w:sz w:val="20"/>
              </w:rPr>
              <w:t>重要審核意見標題</w:t>
            </w:r>
          </w:p>
        </w:tc>
        <w:tc>
          <w:tcPr>
            <w:tcW w:w="3827" w:type="dxa"/>
            <w:tcBorders>
              <w:top w:val="single" w:sz="4" w:space="0" w:color="auto"/>
              <w:left w:val="single" w:sz="4" w:space="0" w:color="auto"/>
              <w:bottom w:val="single" w:sz="4" w:space="0" w:color="auto"/>
              <w:right w:val="single" w:sz="4" w:space="0" w:color="auto"/>
            </w:tcBorders>
            <w:vAlign w:val="center"/>
          </w:tcPr>
          <w:p w14:paraId="6DF19FB6" w14:textId="77777777" w:rsidR="00215CEF" w:rsidRPr="009D11AD" w:rsidRDefault="00215CEF" w:rsidP="00F8778C">
            <w:pPr>
              <w:overflowPunct w:val="0"/>
              <w:spacing w:line="320" w:lineRule="exact"/>
              <w:jc w:val="center"/>
              <w:rPr>
                <w:rFonts w:ascii="標楷體" w:eastAsia="標楷體" w:hAnsi="標楷體"/>
                <w:color w:val="000000" w:themeColor="text1"/>
                <w:sz w:val="20"/>
              </w:rPr>
            </w:pPr>
            <w:r w:rsidRPr="009D11AD">
              <w:rPr>
                <w:rFonts w:ascii="標楷體" w:eastAsia="標楷體" w:hAnsi="標楷體" w:hint="eastAsia"/>
                <w:color w:val="000000" w:themeColor="text1"/>
                <w:sz w:val="20"/>
              </w:rPr>
              <w:t>說明</w:t>
            </w:r>
          </w:p>
        </w:tc>
      </w:tr>
      <w:tr w:rsidR="007A6350" w:rsidRPr="009D11AD" w14:paraId="6C7204F7" w14:textId="77777777" w:rsidTr="00DA2751">
        <w:trPr>
          <w:trHeight w:val="20"/>
        </w:trPr>
        <w:tc>
          <w:tcPr>
            <w:tcW w:w="6096" w:type="dxa"/>
            <w:tcBorders>
              <w:top w:val="single" w:sz="4" w:space="0" w:color="auto"/>
              <w:left w:val="single" w:sz="4" w:space="0" w:color="auto"/>
              <w:bottom w:val="single" w:sz="4" w:space="0" w:color="auto"/>
              <w:right w:val="nil"/>
            </w:tcBorders>
            <w:vAlign w:val="center"/>
          </w:tcPr>
          <w:p w14:paraId="48939EE9" w14:textId="77777777" w:rsidR="00215CEF" w:rsidRPr="009D11AD" w:rsidRDefault="00215CEF" w:rsidP="00F8778C">
            <w:pPr>
              <w:overflowPunct w:val="0"/>
              <w:spacing w:line="320" w:lineRule="exact"/>
              <w:ind w:left="294" w:hanging="318"/>
              <w:jc w:val="both"/>
              <w:rPr>
                <w:rFonts w:ascii="標楷體" w:eastAsia="標楷體" w:hAnsi="標楷體"/>
                <w:b/>
                <w:color w:val="000000" w:themeColor="text1"/>
                <w:sz w:val="20"/>
              </w:rPr>
            </w:pPr>
            <w:r w:rsidRPr="009D11AD">
              <w:rPr>
                <w:rFonts w:ascii="標楷體" w:eastAsia="標楷體" w:hAnsi="標楷體" w:hint="eastAsia"/>
                <w:b/>
                <w:noProof/>
                <w:color w:val="000000" w:themeColor="text1"/>
                <w:sz w:val="20"/>
              </w:rPr>
              <w:t>仍待繼續改善</w:t>
            </w:r>
          </w:p>
        </w:tc>
        <w:tc>
          <w:tcPr>
            <w:tcW w:w="3827" w:type="dxa"/>
            <w:tcBorders>
              <w:top w:val="single" w:sz="4" w:space="0" w:color="auto"/>
              <w:left w:val="nil"/>
              <w:bottom w:val="single" w:sz="4" w:space="0" w:color="auto"/>
              <w:right w:val="single" w:sz="4" w:space="0" w:color="auto"/>
            </w:tcBorders>
            <w:vAlign w:val="center"/>
          </w:tcPr>
          <w:p w14:paraId="62442CA8" w14:textId="77777777" w:rsidR="00215CEF" w:rsidRPr="009D11AD" w:rsidRDefault="00215CEF" w:rsidP="00F8778C">
            <w:pPr>
              <w:overflowPunct w:val="0"/>
              <w:spacing w:line="320" w:lineRule="exact"/>
              <w:jc w:val="both"/>
              <w:rPr>
                <w:rFonts w:ascii="標楷體" w:eastAsia="標楷體" w:hAnsi="標楷體"/>
                <w:b/>
                <w:color w:val="000000" w:themeColor="text1"/>
                <w:sz w:val="20"/>
              </w:rPr>
            </w:pPr>
          </w:p>
        </w:tc>
      </w:tr>
      <w:tr w:rsidR="00B32084" w:rsidRPr="009D11AD" w14:paraId="14B19B07" w14:textId="77777777" w:rsidTr="00DA2751">
        <w:trPr>
          <w:trHeight w:val="20"/>
        </w:trPr>
        <w:tc>
          <w:tcPr>
            <w:tcW w:w="6096" w:type="dxa"/>
            <w:tcBorders>
              <w:top w:val="single" w:sz="4" w:space="0" w:color="auto"/>
              <w:left w:val="single" w:sz="4" w:space="0" w:color="auto"/>
              <w:bottom w:val="single" w:sz="4" w:space="0" w:color="auto"/>
              <w:right w:val="single" w:sz="4" w:space="0" w:color="auto"/>
            </w:tcBorders>
          </w:tcPr>
          <w:p w14:paraId="330C5576" w14:textId="2F4BF5CC" w:rsidR="00B32084" w:rsidRPr="009D11AD" w:rsidRDefault="00B32084" w:rsidP="007064BE">
            <w:pPr>
              <w:overflowPunct w:val="0"/>
              <w:snapToGrid w:val="0"/>
              <w:spacing w:beforeLines="10" w:before="36" w:afterLines="10" w:after="36" w:line="270" w:lineRule="exact"/>
              <w:ind w:left="600" w:hangingChars="300" w:hanging="600"/>
              <w:jc w:val="both"/>
              <w:rPr>
                <w:rFonts w:ascii="標楷體" w:eastAsia="標楷體" w:hAnsi="標楷體"/>
                <w:color w:val="000000" w:themeColor="text1"/>
                <w:sz w:val="20"/>
              </w:rPr>
            </w:pPr>
            <w:r w:rsidRPr="009D11AD">
              <w:rPr>
                <w:rFonts w:ascii="標楷體" w:eastAsia="標楷體" w:hAnsi="標楷體" w:hint="eastAsia"/>
                <w:noProof/>
                <w:color w:val="000000" w:themeColor="text1"/>
                <w:sz w:val="20"/>
              </w:rPr>
              <w:t>（一）隨著全球經濟復甦，創新科技應用與數位轉型需求延續，國內廠商擴增產能與綠能設施布建，加以政府推動多項振興措施，我國110年度商品及服務輸出、固定投資等GDP主要支出項目均成長，帶動整體經濟成長率為近10年度新高，惟勞工薪資成長率漲幅趨緩且遠未及經濟成長，失業率提高，物價及房價上漲，家戶生活及居住成本增加等情事，允宜持續推動各項政策，提升勞工薪資水準，穩定民生消費物資及住宅價格，提升生活品質，冀全民共享經濟成長果實。</w:t>
            </w:r>
          </w:p>
        </w:tc>
        <w:tc>
          <w:tcPr>
            <w:tcW w:w="3827" w:type="dxa"/>
            <w:tcBorders>
              <w:top w:val="single" w:sz="4" w:space="0" w:color="auto"/>
              <w:left w:val="single" w:sz="4" w:space="0" w:color="auto"/>
              <w:bottom w:val="single" w:sz="4" w:space="0" w:color="auto"/>
              <w:right w:val="single" w:sz="4" w:space="0" w:color="auto"/>
            </w:tcBorders>
          </w:tcPr>
          <w:p w14:paraId="7B375480" w14:textId="70CF342C" w:rsidR="00B32084" w:rsidRPr="009D11AD" w:rsidRDefault="00B32084" w:rsidP="007064BE">
            <w:pPr>
              <w:overflowPunct w:val="0"/>
              <w:snapToGrid w:val="0"/>
              <w:spacing w:line="270" w:lineRule="exact"/>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因物價及房價持續上漲，</w:t>
            </w:r>
            <w:r w:rsidR="000A3416" w:rsidRPr="009D11AD">
              <w:rPr>
                <w:rFonts w:ascii="標楷體" w:eastAsia="標楷體" w:hAnsi="標楷體" w:hint="eastAsia"/>
                <w:noProof/>
                <w:color w:val="000000" w:themeColor="text1"/>
                <w:sz w:val="20"/>
              </w:rPr>
              <w:t>上市櫃公司獲利成長與員工福利待遇提升存有落差，</w:t>
            </w:r>
            <w:r w:rsidRPr="009D11AD">
              <w:rPr>
                <w:rFonts w:ascii="標楷體" w:eastAsia="標楷體" w:hAnsi="標楷體" w:hint="eastAsia"/>
                <w:noProof/>
                <w:color w:val="000000" w:themeColor="text1"/>
                <w:sz w:val="20"/>
              </w:rPr>
              <w:t>業再研提審核意見詳「</w:t>
            </w:r>
            <w:r w:rsidR="000A3416" w:rsidRPr="009D11AD">
              <w:rPr>
                <w:rFonts w:ascii="標楷體" w:eastAsia="標楷體" w:hAnsi="標楷體" w:hint="eastAsia"/>
                <w:noProof/>
                <w:color w:val="000000" w:themeColor="text1"/>
                <w:sz w:val="20"/>
              </w:rPr>
              <w:t>四</w:t>
            </w:r>
            <w:r w:rsidRPr="009D11AD">
              <w:rPr>
                <w:rFonts w:ascii="標楷體" w:eastAsia="標楷體" w:hAnsi="標楷體" w:hint="eastAsia"/>
                <w:noProof/>
                <w:color w:val="000000" w:themeColor="text1"/>
                <w:sz w:val="20"/>
              </w:rPr>
              <w:t>、重要審核意見（</w:t>
            </w:r>
            <w:r w:rsidR="000A3416" w:rsidRPr="009D11AD">
              <w:rPr>
                <w:rFonts w:ascii="標楷體" w:eastAsia="標楷體" w:hAnsi="標楷體" w:hint="eastAsia"/>
                <w:noProof/>
                <w:color w:val="000000" w:themeColor="text1"/>
                <w:sz w:val="20"/>
              </w:rPr>
              <w:t>四</w:t>
            </w:r>
            <w:r w:rsidRPr="009D11AD">
              <w:rPr>
                <w:rFonts w:ascii="標楷體" w:eastAsia="標楷體" w:hAnsi="標楷體" w:hint="eastAsia"/>
                <w:noProof/>
                <w:color w:val="000000" w:themeColor="text1"/>
                <w:sz w:val="20"/>
              </w:rPr>
              <w:t>）」。</w:t>
            </w:r>
          </w:p>
        </w:tc>
      </w:tr>
      <w:tr w:rsidR="007A6350" w:rsidRPr="009D11AD" w14:paraId="34D10773" w14:textId="77777777" w:rsidTr="00DA2751">
        <w:trPr>
          <w:trHeight w:val="20"/>
        </w:trPr>
        <w:tc>
          <w:tcPr>
            <w:tcW w:w="6096" w:type="dxa"/>
            <w:tcBorders>
              <w:top w:val="single" w:sz="4" w:space="0" w:color="auto"/>
              <w:left w:val="single" w:sz="4" w:space="0" w:color="auto"/>
              <w:bottom w:val="single" w:sz="4" w:space="0" w:color="auto"/>
              <w:right w:val="single" w:sz="4" w:space="0" w:color="auto"/>
            </w:tcBorders>
          </w:tcPr>
          <w:p w14:paraId="6D35730F" w14:textId="2C3E420A" w:rsidR="00E16D34" w:rsidRPr="009D11AD" w:rsidRDefault="00B529E4" w:rsidP="007064BE">
            <w:pPr>
              <w:overflowPunct w:val="0"/>
              <w:snapToGrid w:val="0"/>
              <w:spacing w:beforeLines="10" w:before="36" w:afterLines="10" w:after="36" w:line="270" w:lineRule="exact"/>
              <w:ind w:left="600" w:hangingChars="300" w:hanging="600"/>
              <w:jc w:val="both"/>
              <w:rPr>
                <w:rFonts w:ascii="標楷體" w:eastAsia="標楷體" w:hAnsi="標楷體"/>
                <w:color w:val="000000" w:themeColor="text1"/>
                <w:sz w:val="20"/>
              </w:rPr>
            </w:pPr>
            <w:r w:rsidRPr="009D11AD">
              <w:rPr>
                <w:rFonts w:ascii="標楷體" w:eastAsia="標楷體" w:hAnsi="標楷體" w:hint="eastAsia"/>
                <w:color w:val="000000" w:themeColor="text1"/>
                <w:sz w:val="20"/>
              </w:rPr>
              <w:t>（</w:t>
            </w:r>
            <w:r w:rsidR="009F4E49" w:rsidRPr="009D11AD">
              <w:rPr>
                <w:rFonts w:ascii="標楷體" w:eastAsia="標楷體" w:hAnsi="標楷體" w:hint="eastAsia"/>
                <w:color w:val="000000" w:themeColor="text1"/>
                <w:sz w:val="20"/>
              </w:rPr>
              <w:t>二</w:t>
            </w:r>
            <w:r w:rsidRPr="009D11AD">
              <w:rPr>
                <w:rFonts w:ascii="標楷體" w:eastAsia="標楷體" w:hAnsi="標楷體" w:hint="eastAsia"/>
                <w:color w:val="000000" w:themeColor="text1"/>
                <w:sz w:val="20"/>
              </w:rPr>
              <w:t>）政府為因應全球溫室氣體減量措施，已提出溫室氣體減量及管理法修正草案，並公布「臺灣2050淨零排放路徑」，惟在第一期溫室氣體階段目標減量成效、減碳路徑設定、溫室氣體排放交易及碳費徵收法制作業等方面，尚待權責機關研謀改善，以利臺灣2050淨零排放目標之達成。</w:t>
            </w:r>
          </w:p>
        </w:tc>
        <w:tc>
          <w:tcPr>
            <w:tcW w:w="3827" w:type="dxa"/>
            <w:tcBorders>
              <w:top w:val="single" w:sz="4" w:space="0" w:color="auto"/>
              <w:left w:val="single" w:sz="4" w:space="0" w:color="auto"/>
              <w:bottom w:val="single" w:sz="4" w:space="0" w:color="auto"/>
              <w:right w:val="single" w:sz="4" w:space="0" w:color="auto"/>
            </w:tcBorders>
          </w:tcPr>
          <w:p w14:paraId="368C060E" w14:textId="6B7843BC" w:rsidR="00886E37" w:rsidRPr="009D11AD" w:rsidRDefault="00B529E4" w:rsidP="007064BE">
            <w:pPr>
              <w:overflowPunct w:val="0"/>
              <w:snapToGrid w:val="0"/>
              <w:spacing w:line="270" w:lineRule="exact"/>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因溫室氣體減量成效未如預期，業再研提審核意見詳「貳拾、環境保護署主管、三、重要審核意見（</w:t>
            </w:r>
            <w:r w:rsidR="00B735C4">
              <w:rPr>
                <w:rFonts w:ascii="標楷體" w:eastAsia="標楷體" w:hAnsi="標楷體" w:hint="eastAsia"/>
                <w:noProof/>
                <w:color w:val="000000" w:themeColor="text1"/>
                <w:sz w:val="20"/>
              </w:rPr>
              <w:t>一</w:t>
            </w:r>
            <w:r w:rsidRPr="009D11AD">
              <w:rPr>
                <w:rFonts w:ascii="標楷體" w:eastAsia="標楷體" w:hAnsi="標楷體" w:hint="eastAsia"/>
                <w:noProof/>
                <w:color w:val="000000" w:themeColor="text1"/>
                <w:sz w:val="20"/>
              </w:rPr>
              <w:t>）」。</w:t>
            </w:r>
          </w:p>
        </w:tc>
      </w:tr>
      <w:tr w:rsidR="007A6350" w:rsidRPr="009D11AD" w14:paraId="1DF8834A" w14:textId="65BA2EC8" w:rsidTr="00DA2751">
        <w:trPr>
          <w:trHeight w:val="20"/>
        </w:trPr>
        <w:tc>
          <w:tcPr>
            <w:tcW w:w="6096" w:type="dxa"/>
            <w:tcBorders>
              <w:top w:val="single" w:sz="4" w:space="0" w:color="auto"/>
              <w:left w:val="single" w:sz="4" w:space="0" w:color="auto"/>
              <w:bottom w:val="single" w:sz="4" w:space="0" w:color="auto"/>
              <w:right w:val="single" w:sz="4" w:space="0" w:color="auto"/>
            </w:tcBorders>
          </w:tcPr>
          <w:p w14:paraId="5217A1BD" w14:textId="7FCB75C9" w:rsidR="00886E37" w:rsidRPr="009D11AD" w:rsidRDefault="00E31009" w:rsidP="007064BE">
            <w:pPr>
              <w:overflowPunct w:val="0"/>
              <w:snapToGrid w:val="0"/>
              <w:spacing w:beforeLines="10" w:before="36" w:afterLines="10" w:after="36" w:line="270" w:lineRule="exact"/>
              <w:ind w:left="600" w:hangingChars="300" w:hanging="60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w:t>
            </w:r>
            <w:r w:rsidR="009F4E49" w:rsidRPr="009D11AD">
              <w:rPr>
                <w:rFonts w:ascii="標楷體" w:eastAsia="標楷體" w:hAnsi="標楷體" w:hint="eastAsia"/>
                <w:noProof/>
                <w:color w:val="000000" w:themeColor="text1"/>
                <w:sz w:val="20"/>
              </w:rPr>
              <w:t>三</w:t>
            </w:r>
            <w:r w:rsidRPr="009D11AD">
              <w:rPr>
                <w:rFonts w:ascii="標楷體" w:eastAsia="標楷體" w:hAnsi="標楷體" w:hint="eastAsia"/>
                <w:noProof/>
                <w:color w:val="000000" w:themeColor="text1"/>
                <w:sz w:val="20"/>
              </w:rPr>
              <w:t>）政府推動毒品防制政策，期抑制毒品再犯等問題，惟中央再犯防制推動計畫遲未定案，毒品再犯比率仍居高不下，監獄仍近半為毒品受刑人，亟待深化落實各項毒品防制工作，並參酌第一線政策執行人員推動工作窒礙成因及癥結問題，及時優化各項工作指引，暨強化跨部會跨域聯繫機制，及結合公私資源協力合作，提升反毒整體成效。</w:t>
            </w:r>
          </w:p>
        </w:tc>
        <w:tc>
          <w:tcPr>
            <w:tcW w:w="3827" w:type="dxa"/>
            <w:tcBorders>
              <w:top w:val="single" w:sz="4" w:space="0" w:color="auto"/>
              <w:left w:val="single" w:sz="4" w:space="0" w:color="auto"/>
              <w:bottom w:val="single" w:sz="4" w:space="0" w:color="auto"/>
              <w:right w:val="single" w:sz="4" w:space="0" w:color="auto"/>
            </w:tcBorders>
          </w:tcPr>
          <w:p w14:paraId="2F8E4C50" w14:textId="3B728ED7" w:rsidR="00E31009" w:rsidRPr="009D11AD" w:rsidRDefault="00E31009" w:rsidP="007064BE">
            <w:pPr>
              <w:overflowPunct w:val="0"/>
              <w:snapToGrid w:val="0"/>
              <w:spacing w:line="270" w:lineRule="exact"/>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因施用毒品再犯比率仍高，仍待強化反毒工作，業再研提審核意見詳「四、重要核意見（</w:t>
            </w:r>
            <w:r w:rsidR="00BC29EA" w:rsidRPr="009D11AD">
              <w:rPr>
                <w:rFonts w:ascii="標楷體" w:eastAsia="標楷體" w:hAnsi="標楷體" w:hint="eastAsia"/>
                <w:noProof/>
                <w:color w:val="000000" w:themeColor="text1"/>
                <w:sz w:val="20"/>
              </w:rPr>
              <w:t>五</w:t>
            </w:r>
            <w:r w:rsidRPr="009D11AD">
              <w:rPr>
                <w:rFonts w:ascii="標楷體" w:eastAsia="標楷體" w:hAnsi="標楷體" w:hint="eastAsia"/>
                <w:noProof/>
                <w:color w:val="000000" w:themeColor="text1"/>
                <w:sz w:val="20"/>
              </w:rPr>
              <w:t>）」</w:t>
            </w:r>
            <w:r w:rsidR="00B70D31">
              <w:rPr>
                <w:rFonts w:ascii="標楷體" w:eastAsia="標楷體" w:hAnsi="標楷體" w:hint="eastAsia"/>
                <w:noProof/>
                <w:color w:val="000000" w:themeColor="text1"/>
                <w:sz w:val="20"/>
              </w:rPr>
              <w:t>。</w:t>
            </w:r>
          </w:p>
          <w:p w14:paraId="6FA4BD21" w14:textId="147BA01D" w:rsidR="00886E37" w:rsidRPr="009D11AD" w:rsidRDefault="00886E37" w:rsidP="007064BE">
            <w:pPr>
              <w:overflowPunct w:val="0"/>
              <w:snapToGrid w:val="0"/>
              <w:spacing w:line="270" w:lineRule="exact"/>
              <w:jc w:val="both"/>
              <w:rPr>
                <w:rFonts w:ascii="標楷體" w:eastAsia="標楷體" w:hAnsi="標楷體"/>
                <w:noProof/>
                <w:color w:val="000000" w:themeColor="text1"/>
                <w:sz w:val="20"/>
              </w:rPr>
            </w:pPr>
          </w:p>
        </w:tc>
      </w:tr>
      <w:tr w:rsidR="00D66F89" w:rsidRPr="009D11AD" w14:paraId="14EA1737" w14:textId="77777777" w:rsidTr="00F8778C">
        <w:trPr>
          <w:trHeight w:val="20"/>
        </w:trPr>
        <w:tc>
          <w:tcPr>
            <w:tcW w:w="6096" w:type="dxa"/>
            <w:tcBorders>
              <w:top w:val="single" w:sz="4" w:space="0" w:color="auto"/>
              <w:left w:val="single" w:sz="4" w:space="0" w:color="auto"/>
              <w:bottom w:val="single" w:sz="4" w:space="0" w:color="auto"/>
              <w:right w:val="single" w:sz="4" w:space="0" w:color="auto"/>
            </w:tcBorders>
          </w:tcPr>
          <w:p w14:paraId="5E9B936C" w14:textId="5664C8E7" w:rsidR="00D66F89" w:rsidRPr="009D11AD" w:rsidRDefault="00D66F89" w:rsidP="007064BE">
            <w:pPr>
              <w:overflowPunct w:val="0"/>
              <w:snapToGrid w:val="0"/>
              <w:spacing w:beforeLines="10" w:before="36" w:afterLines="10" w:after="36" w:line="270" w:lineRule="exact"/>
              <w:ind w:left="600" w:hangingChars="300" w:hanging="60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四）政府賡續實施中長程個案計畫全生命週期績效管理制度，惟部分社會發展計畫執行情形欠佳或未達年度績效目標；部分計畫尚未完成中長程個案計畫報核程序即編列年度預算；計畫法定預算金額與原核定計畫總經費差異龐鉅，有影響計畫總績效目標達成之虞，卻未提報修正等情，允宜研謀改善。</w:t>
            </w:r>
          </w:p>
        </w:tc>
        <w:tc>
          <w:tcPr>
            <w:tcW w:w="3827" w:type="dxa"/>
            <w:tcBorders>
              <w:top w:val="single" w:sz="4" w:space="0" w:color="auto"/>
              <w:left w:val="single" w:sz="4" w:space="0" w:color="auto"/>
              <w:bottom w:val="single" w:sz="4" w:space="0" w:color="auto"/>
              <w:right w:val="single" w:sz="4" w:space="0" w:color="auto"/>
            </w:tcBorders>
          </w:tcPr>
          <w:p w14:paraId="11737206" w14:textId="43764D57" w:rsidR="00D66F89" w:rsidRPr="009D11AD" w:rsidRDefault="00D66F89" w:rsidP="007064BE">
            <w:pPr>
              <w:overflowPunct w:val="0"/>
              <w:snapToGrid w:val="0"/>
              <w:spacing w:line="270" w:lineRule="exact"/>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因部分機關仍未就計畫法定預算金額與原核定計畫總經費差異龐鉅，恐影響計畫總績效目標達成情形，或計畫已核定暫緩辦理等，提報修正或終止計畫，改善成效未如預期或未能依改善措施辦理，業再研提審核意見詳「四、重要核意見（二十二）」</w:t>
            </w:r>
            <w:r w:rsidR="00B70D31">
              <w:rPr>
                <w:rFonts w:ascii="標楷體" w:eastAsia="標楷體" w:hAnsi="標楷體" w:hint="eastAsia"/>
                <w:noProof/>
                <w:color w:val="000000" w:themeColor="text1"/>
                <w:sz w:val="20"/>
              </w:rPr>
              <w:t>。</w:t>
            </w:r>
          </w:p>
        </w:tc>
      </w:tr>
      <w:tr w:rsidR="00D66F89" w:rsidRPr="009D11AD" w14:paraId="51E052F4" w14:textId="77777777" w:rsidTr="00F8778C">
        <w:trPr>
          <w:trHeight w:val="20"/>
        </w:trPr>
        <w:tc>
          <w:tcPr>
            <w:tcW w:w="6096" w:type="dxa"/>
            <w:tcBorders>
              <w:top w:val="single" w:sz="4" w:space="0" w:color="auto"/>
              <w:left w:val="single" w:sz="4" w:space="0" w:color="auto"/>
              <w:bottom w:val="single" w:sz="4" w:space="0" w:color="auto"/>
              <w:right w:val="single" w:sz="4" w:space="0" w:color="auto"/>
            </w:tcBorders>
          </w:tcPr>
          <w:p w14:paraId="738953F2" w14:textId="7F843CFC" w:rsidR="00D66F89" w:rsidRPr="009D11AD" w:rsidRDefault="00D66F89" w:rsidP="007064BE">
            <w:pPr>
              <w:overflowPunct w:val="0"/>
              <w:snapToGrid w:val="0"/>
              <w:spacing w:beforeLines="10" w:before="36" w:afterLines="10" w:after="36" w:line="270" w:lineRule="exact"/>
              <w:ind w:left="600" w:hangingChars="300" w:hanging="60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（五）我國科學研發能量名列前茅，惟部分科技發展計畫執行情形未如預期，或揭露資訊欠完整，或未依規定提報中長程計畫報核，允宜督促研謀強化計畫審議及管考，俾政府科技資源有效驅動科技發展。</w:t>
            </w:r>
          </w:p>
        </w:tc>
        <w:tc>
          <w:tcPr>
            <w:tcW w:w="3827" w:type="dxa"/>
            <w:tcBorders>
              <w:top w:val="single" w:sz="4" w:space="0" w:color="auto"/>
              <w:left w:val="single" w:sz="4" w:space="0" w:color="auto"/>
              <w:bottom w:val="single" w:sz="4" w:space="0" w:color="auto"/>
              <w:right w:val="single" w:sz="4" w:space="0" w:color="auto"/>
            </w:tcBorders>
          </w:tcPr>
          <w:p w14:paraId="7666693D" w14:textId="0F248E8E" w:rsidR="00D66F89" w:rsidRPr="009D11AD" w:rsidRDefault="00D66F89" w:rsidP="007064BE">
            <w:pPr>
              <w:overflowPunct w:val="0"/>
              <w:snapToGrid w:val="0"/>
              <w:spacing w:line="270" w:lineRule="exact"/>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因尚有部分計畫執行進度落後，或目標與關鍵成果訂定未盡妥適等情，業再研提審核意見詳「四、重要審核意見（二十）」。</w:t>
            </w:r>
          </w:p>
        </w:tc>
      </w:tr>
      <w:tr w:rsidR="00D66F89" w:rsidRPr="009D11AD" w14:paraId="10F4D644" w14:textId="77777777" w:rsidTr="00F8778C">
        <w:trPr>
          <w:trHeight w:val="20"/>
        </w:trPr>
        <w:tc>
          <w:tcPr>
            <w:tcW w:w="6096" w:type="dxa"/>
            <w:tcBorders>
              <w:top w:val="single" w:sz="4" w:space="0" w:color="auto"/>
              <w:left w:val="single" w:sz="4" w:space="0" w:color="auto"/>
              <w:bottom w:val="single" w:sz="4" w:space="0" w:color="auto"/>
              <w:right w:val="single" w:sz="4" w:space="0" w:color="auto"/>
            </w:tcBorders>
          </w:tcPr>
          <w:p w14:paraId="25DB35FB" w14:textId="087D8C92" w:rsidR="00D66F89" w:rsidRPr="009D11AD" w:rsidRDefault="00D66F89" w:rsidP="007064BE">
            <w:pPr>
              <w:overflowPunct w:val="0"/>
              <w:snapToGrid w:val="0"/>
              <w:spacing w:beforeLines="10" w:before="36" w:afterLines="10" w:after="36" w:line="270" w:lineRule="exact"/>
              <w:ind w:left="600" w:hangingChars="300" w:hanging="60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（六）預算法第62條之1規定公布施行迄至110年底已近11年，各機關辦理政策及業務宣導於預算編列、採購作業程序、辦理機關或廣告標示、資訊公開等執行情形，仍有部分事項尚待研謀改善。</w:t>
            </w:r>
          </w:p>
        </w:tc>
        <w:tc>
          <w:tcPr>
            <w:tcW w:w="3827" w:type="dxa"/>
            <w:tcBorders>
              <w:top w:val="single" w:sz="4" w:space="0" w:color="auto"/>
              <w:left w:val="single" w:sz="4" w:space="0" w:color="auto"/>
              <w:bottom w:val="single" w:sz="4" w:space="0" w:color="auto"/>
              <w:right w:val="single" w:sz="4" w:space="0" w:color="auto"/>
            </w:tcBorders>
          </w:tcPr>
          <w:p w14:paraId="65B2A1C4" w14:textId="53866C3E" w:rsidR="00D66F89" w:rsidRPr="009D11AD" w:rsidRDefault="00D66F89" w:rsidP="007064BE">
            <w:pPr>
              <w:overflowPunct w:val="0"/>
              <w:snapToGrid w:val="0"/>
              <w:spacing w:line="270" w:lineRule="exact"/>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因中央政府各機關依預算法第62條之1辦理政策及業務宣導，仍有相關法令欠周延或未依規定辦理等，業再研提審核意見詳「四、重要審核意見（十五）」。</w:t>
            </w:r>
          </w:p>
        </w:tc>
      </w:tr>
      <w:tr w:rsidR="00D66F89" w:rsidRPr="009D11AD" w14:paraId="7442255C" w14:textId="77777777" w:rsidTr="00F8778C">
        <w:trPr>
          <w:trHeight w:val="20"/>
        </w:trPr>
        <w:tc>
          <w:tcPr>
            <w:tcW w:w="6096" w:type="dxa"/>
            <w:tcBorders>
              <w:top w:val="single" w:sz="4" w:space="0" w:color="auto"/>
              <w:left w:val="single" w:sz="4" w:space="0" w:color="auto"/>
              <w:bottom w:val="single" w:sz="4" w:space="0" w:color="auto"/>
              <w:right w:val="single" w:sz="4" w:space="0" w:color="auto"/>
            </w:tcBorders>
          </w:tcPr>
          <w:p w14:paraId="6C680D58" w14:textId="66F370FF" w:rsidR="00D66F89" w:rsidRPr="009D11AD" w:rsidRDefault="00D66F89" w:rsidP="007064BE">
            <w:pPr>
              <w:overflowPunct w:val="0"/>
              <w:snapToGrid w:val="0"/>
              <w:spacing w:beforeLines="10" w:before="36" w:afterLines="10" w:after="36" w:line="270" w:lineRule="exact"/>
              <w:ind w:left="600" w:hangingChars="300" w:hanging="60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七）客家委員會為重塑客家文化資產新風貌，形塑客庄文化特色及產業發展環境及梳理臺三線環境景觀，辦理客家文化生活環境營造計畫、客庄創生及環境營造計畫、客家浪漫臺三線計畫，惟部分補助案件未達計畫預期效益，部分客家文化館舍財務自償基礎薄弱，且該會效益評估作業未臻合理等，亟待研謀改進。</w:t>
            </w:r>
          </w:p>
        </w:tc>
        <w:tc>
          <w:tcPr>
            <w:tcW w:w="3827" w:type="dxa"/>
            <w:tcBorders>
              <w:top w:val="single" w:sz="4" w:space="0" w:color="auto"/>
              <w:left w:val="single" w:sz="4" w:space="0" w:color="auto"/>
              <w:bottom w:val="single" w:sz="4" w:space="0" w:color="auto"/>
              <w:right w:val="single" w:sz="4" w:space="0" w:color="auto"/>
            </w:tcBorders>
          </w:tcPr>
          <w:p w14:paraId="6ED4C979" w14:textId="2442C4C0" w:rsidR="00D66F89" w:rsidRPr="009D11AD" w:rsidRDefault="00D66F89" w:rsidP="007064BE">
            <w:pPr>
              <w:overflowPunct w:val="0"/>
              <w:snapToGrid w:val="0"/>
              <w:spacing w:line="270" w:lineRule="exact"/>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因國家級臺三線客庄浪漫大道政策相關計畫執行結果未達預期綜效等，業再研提審核意見詳「四、重要審核意見（三十一</w:t>
            </w:r>
            <w:r w:rsidRPr="009D11AD">
              <w:rPr>
                <w:rFonts w:ascii="標楷體" w:eastAsia="標楷體" w:hAnsi="標楷體" w:cs="標楷體" w:hint="eastAsia"/>
                <w:noProof/>
                <w:color w:val="000000" w:themeColor="text1"/>
                <w:sz w:val="20"/>
              </w:rPr>
              <w:t>）」。</w:t>
            </w:r>
          </w:p>
        </w:tc>
      </w:tr>
    </w:tbl>
    <w:p w14:paraId="586ED42D" w14:textId="0639C251" w:rsidR="007064BE" w:rsidRPr="009D11AD" w:rsidRDefault="007064BE" w:rsidP="007064BE">
      <w:pPr>
        <w:overflowPunct w:val="0"/>
        <w:spacing w:beforeLines="50" w:before="180" w:afterLines="30" w:after="108" w:line="240" w:lineRule="exact"/>
        <w:jc w:val="center"/>
        <w:rPr>
          <w:rFonts w:ascii="標楷體" w:eastAsia="標楷體" w:hAnsi="標楷體"/>
          <w:b/>
          <w:color w:val="000000" w:themeColor="text1"/>
          <w:szCs w:val="24"/>
        </w:rPr>
      </w:pPr>
      <w:r w:rsidRPr="009D11AD">
        <w:rPr>
          <w:rFonts w:ascii="標楷體" w:eastAsia="標楷體" w:hAnsi="標楷體" w:hint="eastAsia"/>
          <w:b/>
          <w:color w:val="000000" w:themeColor="text1"/>
          <w:szCs w:val="24"/>
        </w:rPr>
        <w:lastRenderedPageBreak/>
        <w:t>表3</w:t>
      </w:r>
      <w:r>
        <w:rPr>
          <w:rFonts w:ascii="標楷體" w:eastAsia="標楷體" w:hAnsi="標楷體" w:hint="eastAsia"/>
          <w:b/>
          <w:color w:val="000000" w:themeColor="text1"/>
          <w:szCs w:val="24"/>
        </w:rPr>
        <w:t>0</w:t>
      </w:r>
      <w:r w:rsidRPr="009D11AD">
        <w:rPr>
          <w:rFonts w:ascii="標楷體" w:eastAsia="標楷體" w:hAnsi="標楷體" w:hint="eastAsia"/>
          <w:b/>
          <w:color w:val="000000" w:themeColor="text1"/>
          <w:szCs w:val="24"/>
        </w:rPr>
        <w:t xml:space="preserve">　</w:t>
      </w:r>
      <w:r w:rsidRPr="009D11AD">
        <w:rPr>
          <w:rFonts w:ascii="標楷體" w:eastAsia="標楷體" w:hAnsi="標楷體"/>
          <w:b/>
          <w:color w:val="000000" w:themeColor="text1"/>
          <w:szCs w:val="24"/>
        </w:rPr>
        <w:t>1</w:t>
      </w:r>
      <w:r w:rsidRPr="009D11AD">
        <w:rPr>
          <w:rFonts w:ascii="標楷體" w:eastAsia="標楷體" w:hAnsi="標楷體" w:hint="eastAsia"/>
          <w:b/>
          <w:color w:val="000000" w:themeColor="text1"/>
          <w:szCs w:val="24"/>
        </w:rPr>
        <w:t>10年度審核報告所列行政院主管普通公務相關重要審核意見覆核辦理情形</w:t>
      </w:r>
      <w:r>
        <w:rPr>
          <w:rFonts w:ascii="標楷體" w:eastAsia="標楷體" w:hAnsi="標楷體" w:hint="eastAsia"/>
          <w:b/>
          <w:color w:val="000000" w:themeColor="text1"/>
          <w:szCs w:val="24"/>
        </w:rPr>
        <w:t>（續）</w:t>
      </w:r>
    </w:p>
    <w:tbl>
      <w:tblPr>
        <w:tblW w:w="992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230"/>
        <w:gridCol w:w="2693"/>
      </w:tblGrid>
      <w:tr w:rsidR="007064BE" w:rsidRPr="009D11AD" w14:paraId="55FAF251" w14:textId="77777777" w:rsidTr="007064BE">
        <w:trPr>
          <w:trHeight w:val="20"/>
          <w:tblHeader/>
        </w:trPr>
        <w:tc>
          <w:tcPr>
            <w:tcW w:w="7230" w:type="dxa"/>
            <w:tcBorders>
              <w:top w:val="single" w:sz="4" w:space="0" w:color="auto"/>
              <w:left w:val="single" w:sz="4" w:space="0" w:color="auto"/>
              <w:bottom w:val="single" w:sz="4" w:space="0" w:color="auto"/>
              <w:right w:val="single" w:sz="4" w:space="0" w:color="auto"/>
            </w:tcBorders>
            <w:vAlign w:val="center"/>
          </w:tcPr>
          <w:p w14:paraId="2ECEA494" w14:textId="77777777" w:rsidR="007064BE" w:rsidRPr="009D11AD" w:rsidRDefault="007064BE" w:rsidP="007064BE">
            <w:pPr>
              <w:overflowPunct w:val="0"/>
              <w:spacing w:line="270" w:lineRule="exact"/>
              <w:jc w:val="center"/>
              <w:rPr>
                <w:rFonts w:ascii="標楷體" w:eastAsia="標楷體" w:hAnsi="標楷體"/>
                <w:color w:val="000000" w:themeColor="text1"/>
                <w:sz w:val="20"/>
              </w:rPr>
            </w:pPr>
            <w:r w:rsidRPr="009D11AD">
              <w:rPr>
                <w:rFonts w:ascii="標楷體" w:eastAsia="標楷體" w:hAnsi="標楷體" w:hint="eastAsia"/>
                <w:color w:val="000000" w:themeColor="text1"/>
                <w:sz w:val="20"/>
              </w:rPr>
              <w:t>重要審核意見標題</w:t>
            </w:r>
          </w:p>
        </w:tc>
        <w:tc>
          <w:tcPr>
            <w:tcW w:w="2693" w:type="dxa"/>
            <w:tcBorders>
              <w:top w:val="single" w:sz="4" w:space="0" w:color="auto"/>
              <w:left w:val="single" w:sz="4" w:space="0" w:color="auto"/>
              <w:bottom w:val="single" w:sz="4" w:space="0" w:color="auto"/>
              <w:right w:val="single" w:sz="4" w:space="0" w:color="auto"/>
            </w:tcBorders>
            <w:vAlign w:val="center"/>
          </w:tcPr>
          <w:p w14:paraId="488CA0A0" w14:textId="77777777" w:rsidR="007064BE" w:rsidRPr="009D11AD" w:rsidRDefault="007064BE" w:rsidP="007064BE">
            <w:pPr>
              <w:overflowPunct w:val="0"/>
              <w:spacing w:line="270" w:lineRule="exact"/>
              <w:jc w:val="center"/>
              <w:rPr>
                <w:rFonts w:ascii="標楷體" w:eastAsia="標楷體" w:hAnsi="標楷體"/>
                <w:color w:val="000000" w:themeColor="text1"/>
                <w:sz w:val="20"/>
              </w:rPr>
            </w:pPr>
            <w:r w:rsidRPr="009D11AD">
              <w:rPr>
                <w:rFonts w:ascii="標楷體" w:eastAsia="標楷體" w:hAnsi="標楷體" w:hint="eastAsia"/>
                <w:color w:val="000000" w:themeColor="text1"/>
                <w:sz w:val="20"/>
              </w:rPr>
              <w:t>說明</w:t>
            </w:r>
          </w:p>
        </w:tc>
      </w:tr>
      <w:tr w:rsidR="00E31009" w:rsidRPr="009D11AD" w14:paraId="3E919AE0" w14:textId="77777777" w:rsidTr="007064BE">
        <w:trPr>
          <w:trHeight w:val="892"/>
        </w:trPr>
        <w:tc>
          <w:tcPr>
            <w:tcW w:w="7230" w:type="dxa"/>
            <w:tcBorders>
              <w:top w:val="single" w:sz="4" w:space="0" w:color="auto"/>
              <w:left w:val="single" w:sz="4" w:space="0" w:color="auto"/>
              <w:bottom w:val="single" w:sz="4" w:space="0" w:color="auto"/>
              <w:right w:val="single" w:sz="4" w:space="0" w:color="auto"/>
            </w:tcBorders>
          </w:tcPr>
          <w:p w14:paraId="61D181BA" w14:textId="1572137A" w:rsidR="00E31009" w:rsidRPr="009D11AD" w:rsidRDefault="006941CE" w:rsidP="007064BE">
            <w:pPr>
              <w:overflowPunct w:val="0"/>
              <w:snapToGrid w:val="0"/>
              <w:spacing w:line="276" w:lineRule="exact"/>
              <w:ind w:left="600" w:hangingChars="300" w:hanging="60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w:t>
            </w:r>
            <w:r w:rsidR="009F4E49" w:rsidRPr="009D11AD">
              <w:rPr>
                <w:rFonts w:ascii="標楷體" w:eastAsia="標楷體" w:hAnsi="標楷體" w:hint="eastAsia"/>
                <w:noProof/>
                <w:color w:val="000000" w:themeColor="text1"/>
                <w:sz w:val="20"/>
              </w:rPr>
              <w:t>八</w:t>
            </w:r>
            <w:r w:rsidRPr="009D11AD">
              <w:rPr>
                <w:rFonts w:ascii="標楷體" w:eastAsia="標楷體" w:hAnsi="標楷體" w:hint="eastAsia"/>
                <w:noProof/>
                <w:color w:val="000000" w:themeColor="text1"/>
                <w:sz w:val="20"/>
              </w:rPr>
              <w:t>）前瞻基礎建設計畫第3期特別預算110年度整體實現率已較第1期及第2期特別預算決算實現率續為提升，惟仍有部分主管機關實現率未達5成，且110年度各項計畫執行進度屬重大落後者逾6成，允宜督促積極檢討研謀改善。</w:t>
            </w:r>
          </w:p>
        </w:tc>
        <w:tc>
          <w:tcPr>
            <w:tcW w:w="2693" w:type="dxa"/>
            <w:tcBorders>
              <w:top w:val="single" w:sz="4" w:space="0" w:color="auto"/>
              <w:left w:val="single" w:sz="4" w:space="0" w:color="auto"/>
              <w:bottom w:val="single" w:sz="4" w:space="0" w:color="auto"/>
              <w:right w:val="single" w:sz="4" w:space="0" w:color="auto"/>
            </w:tcBorders>
          </w:tcPr>
          <w:p w14:paraId="3D6AA03A" w14:textId="441DAE20" w:rsidR="00E31009" w:rsidRPr="009D11AD" w:rsidRDefault="006941CE" w:rsidP="007064BE">
            <w:pPr>
              <w:overflowPunct w:val="0"/>
              <w:snapToGrid w:val="0"/>
              <w:spacing w:line="276" w:lineRule="exact"/>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因前瞻基礎建設計畫第3期特別預算整體執行力仍待加強，業再研提審核意見詳「中央政府前瞻基礎建設計畫第3期特別決算審核報告甲、參、一、整體性意見項下重要審核意見</w:t>
            </w:r>
            <w:r w:rsidR="00D441FD" w:rsidRPr="009D11AD">
              <w:rPr>
                <w:rFonts w:ascii="標楷體" w:eastAsia="標楷體" w:hAnsi="標楷體" w:hint="eastAsia"/>
                <w:noProof/>
                <w:color w:val="000000" w:themeColor="text1"/>
                <w:sz w:val="20"/>
              </w:rPr>
              <w:t>（</w:t>
            </w:r>
            <w:r w:rsidRPr="009D11AD">
              <w:rPr>
                <w:rFonts w:ascii="標楷體" w:eastAsia="標楷體" w:hAnsi="標楷體" w:hint="eastAsia"/>
                <w:noProof/>
                <w:color w:val="000000" w:themeColor="text1"/>
                <w:sz w:val="20"/>
              </w:rPr>
              <w:t>一</w:t>
            </w:r>
            <w:r w:rsidR="00D441FD" w:rsidRPr="009D11AD">
              <w:rPr>
                <w:rFonts w:ascii="標楷體" w:eastAsia="標楷體" w:hAnsi="標楷體" w:hint="eastAsia"/>
                <w:noProof/>
                <w:color w:val="000000" w:themeColor="text1"/>
                <w:sz w:val="20"/>
              </w:rPr>
              <w:t>）</w:t>
            </w:r>
            <w:r w:rsidRPr="009D11AD">
              <w:rPr>
                <w:rFonts w:ascii="標楷體" w:eastAsia="標楷體" w:hAnsi="標楷體" w:hint="eastAsia"/>
                <w:noProof/>
                <w:color w:val="000000" w:themeColor="text1"/>
                <w:sz w:val="20"/>
              </w:rPr>
              <w:t>」。</w:t>
            </w:r>
          </w:p>
        </w:tc>
      </w:tr>
      <w:tr w:rsidR="00D36D6D" w:rsidRPr="009D11AD" w14:paraId="2F01CC6A" w14:textId="77777777" w:rsidTr="00AA1E70">
        <w:trPr>
          <w:trHeight w:val="340"/>
        </w:trPr>
        <w:tc>
          <w:tcPr>
            <w:tcW w:w="9923" w:type="dxa"/>
            <w:gridSpan w:val="2"/>
            <w:tcBorders>
              <w:top w:val="single" w:sz="4" w:space="0" w:color="auto"/>
              <w:left w:val="single" w:sz="4" w:space="0" w:color="auto"/>
              <w:bottom w:val="single" w:sz="4" w:space="0" w:color="auto"/>
              <w:right w:val="single" w:sz="4" w:space="0" w:color="auto"/>
            </w:tcBorders>
          </w:tcPr>
          <w:p w14:paraId="448B4C7A" w14:textId="77777777" w:rsidR="00D36D6D" w:rsidRPr="009D11AD" w:rsidRDefault="00D36D6D" w:rsidP="007064BE">
            <w:pPr>
              <w:overflowPunct w:val="0"/>
              <w:spacing w:line="270" w:lineRule="exact"/>
              <w:ind w:left="294" w:hanging="318"/>
              <w:jc w:val="both"/>
              <w:rPr>
                <w:rFonts w:ascii="標楷體" w:eastAsia="標楷體" w:hAnsi="標楷體"/>
                <w:b/>
                <w:noProof/>
                <w:color w:val="000000" w:themeColor="text1"/>
                <w:sz w:val="20"/>
              </w:rPr>
            </w:pPr>
            <w:r w:rsidRPr="009D11AD">
              <w:rPr>
                <w:rFonts w:ascii="標楷體" w:eastAsia="標楷體" w:hAnsi="標楷體" w:hint="eastAsia"/>
                <w:b/>
                <w:noProof/>
                <w:color w:val="000000" w:themeColor="text1"/>
                <w:sz w:val="20"/>
              </w:rPr>
              <w:t>處理中</w:t>
            </w:r>
          </w:p>
        </w:tc>
      </w:tr>
      <w:tr w:rsidR="00D36D6D" w:rsidRPr="009D11AD" w14:paraId="721DC6CF" w14:textId="77777777" w:rsidTr="007064BE">
        <w:trPr>
          <w:trHeight w:val="340"/>
        </w:trPr>
        <w:tc>
          <w:tcPr>
            <w:tcW w:w="7230" w:type="dxa"/>
            <w:tcBorders>
              <w:top w:val="single" w:sz="4" w:space="0" w:color="auto"/>
              <w:left w:val="single" w:sz="4" w:space="0" w:color="auto"/>
              <w:bottom w:val="single" w:sz="4" w:space="0" w:color="auto"/>
              <w:right w:val="single" w:sz="4" w:space="0" w:color="auto"/>
            </w:tcBorders>
          </w:tcPr>
          <w:p w14:paraId="730BDBF1" w14:textId="77777777" w:rsidR="00D36D6D" w:rsidRPr="009D11AD" w:rsidRDefault="00D36D6D" w:rsidP="007D500F">
            <w:pPr>
              <w:overflowPunct w:val="0"/>
              <w:spacing w:line="276" w:lineRule="exact"/>
              <w:ind w:left="560" w:hangingChars="280" w:hanging="560"/>
              <w:jc w:val="both"/>
              <w:rPr>
                <w:rFonts w:ascii="標楷體" w:eastAsia="標楷體" w:hAnsi="標楷體"/>
                <w:b/>
                <w:noProof/>
                <w:color w:val="000000" w:themeColor="text1"/>
                <w:sz w:val="20"/>
              </w:rPr>
            </w:pPr>
            <w:r w:rsidRPr="009D11AD">
              <w:rPr>
                <w:rFonts w:ascii="標楷體" w:eastAsia="標楷體" w:hAnsi="標楷體" w:hint="eastAsia"/>
                <w:noProof/>
                <w:color w:val="000000" w:themeColor="text1"/>
                <w:sz w:val="20"/>
              </w:rPr>
              <w:t>（一）污水下水道為現代化都市不可或缺公共建設，亦為國家形象、建設發展及競爭力之重要指標，我國執行污水下水道建設計畫近30年，</w:t>
            </w:r>
            <w:r w:rsidRPr="009D11AD">
              <w:rPr>
                <w:rFonts w:ascii="標楷體" w:eastAsia="標楷體" w:hAnsi="標楷體" w:hint="eastAsia"/>
                <w:noProof/>
                <w:color w:val="000000" w:themeColor="text1"/>
                <w:spacing w:val="4"/>
                <w:sz w:val="20"/>
              </w:rPr>
              <w:t>實施計畫</w:t>
            </w:r>
            <w:r w:rsidRPr="009D11AD">
              <w:rPr>
                <w:rFonts w:ascii="標楷體" w:eastAsia="標楷體" w:hAnsi="標楷體" w:hint="eastAsia"/>
                <w:noProof/>
                <w:color w:val="000000" w:themeColor="text1"/>
                <w:sz w:val="20"/>
              </w:rPr>
              <w:t>系統規模日益擴增，惟下水道中央主管機關組織與架構未臻健全、長期推動經費不足、缺乏穩定建設財源、未依核定計畫各</w:t>
            </w:r>
            <w:r w:rsidRPr="009D11AD">
              <w:rPr>
                <w:rFonts w:ascii="標楷體" w:eastAsia="標楷體" w:hAnsi="標楷體" w:hint="eastAsia"/>
                <w:noProof/>
                <w:color w:val="000000" w:themeColor="text1"/>
                <w:spacing w:val="4"/>
                <w:sz w:val="20"/>
              </w:rPr>
              <w:t>項績效指標評估執行</w:t>
            </w:r>
            <w:r w:rsidRPr="009D11AD">
              <w:rPr>
                <w:rFonts w:ascii="標楷體" w:eastAsia="標楷體" w:hAnsi="標楷體" w:hint="eastAsia"/>
                <w:noProof/>
                <w:color w:val="000000" w:themeColor="text1"/>
                <w:sz w:val="20"/>
              </w:rPr>
              <w:t>成效，亟待檢討改善，</w:t>
            </w:r>
            <w:r w:rsidRPr="009D11AD">
              <w:rPr>
                <w:rFonts w:ascii="標楷體" w:eastAsia="標楷體" w:hAnsi="標楷體" w:hint="eastAsia"/>
                <w:noProof/>
                <w:color w:val="000000" w:themeColor="text1"/>
                <w:spacing w:val="4"/>
                <w:sz w:val="20"/>
              </w:rPr>
              <w:t>以穩定專業人力及建設財源</w:t>
            </w:r>
            <w:r w:rsidRPr="009D11AD">
              <w:rPr>
                <w:rFonts w:ascii="標楷體" w:eastAsia="標楷體" w:hAnsi="標楷體" w:hint="eastAsia"/>
                <w:noProof/>
                <w:color w:val="000000" w:themeColor="text1"/>
                <w:sz w:val="20"/>
              </w:rPr>
              <w:t>，有效提升污水下水道建設成效。</w:t>
            </w:r>
          </w:p>
        </w:tc>
        <w:tc>
          <w:tcPr>
            <w:tcW w:w="2693" w:type="dxa"/>
            <w:tcBorders>
              <w:top w:val="single" w:sz="4" w:space="0" w:color="auto"/>
              <w:left w:val="single" w:sz="4" w:space="0" w:color="auto"/>
              <w:bottom w:val="single" w:sz="4" w:space="0" w:color="auto"/>
              <w:right w:val="single" w:sz="4" w:space="0" w:color="auto"/>
            </w:tcBorders>
          </w:tcPr>
          <w:p w14:paraId="290199CC" w14:textId="77777777" w:rsidR="00D36D6D" w:rsidRPr="009D11AD" w:rsidRDefault="00D36D6D" w:rsidP="007064BE">
            <w:pPr>
              <w:overflowPunct w:val="0"/>
              <w:snapToGrid w:val="0"/>
              <w:spacing w:line="276" w:lineRule="exact"/>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前經監察院立案調查，該院尚在處理中。</w:t>
            </w:r>
          </w:p>
          <w:p w14:paraId="3D75FAA8" w14:textId="77777777" w:rsidR="00D36D6D" w:rsidRPr="009D11AD" w:rsidRDefault="00D36D6D" w:rsidP="007064BE">
            <w:pPr>
              <w:overflowPunct w:val="0"/>
              <w:spacing w:line="276" w:lineRule="exact"/>
              <w:ind w:left="294" w:hanging="318"/>
              <w:jc w:val="both"/>
              <w:rPr>
                <w:rFonts w:ascii="標楷體" w:eastAsia="標楷體" w:hAnsi="標楷體"/>
                <w:b/>
                <w:noProof/>
                <w:color w:val="000000" w:themeColor="text1"/>
                <w:sz w:val="20"/>
              </w:rPr>
            </w:pPr>
          </w:p>
        </w:tc>
      </w:tr>
      <w:tr w:rsidR="00025FBB" w:rsidRPr="009D11AD" w14:paraId="5BDBE8DA" w14:textId="77777777" w:rsidTr="007064BE">
        <w:trPr>
          <w:trHeight w:val="340"/>
        </w:trPr>
        <w:tc>
          <w:tcPr>
            <w:tcW w:w="7230" w:type="dxa"/>
            <w:tcBorders>
              <w:top w:val="single" w:sz="4" w:space="0" w:color="auto"/>
              <w:left w:val="single" w:sz="4" w:space="0" w:color="auto"/>
              <w:bottom w:val="single" w:sz="4" w:space="0" w:color="auto"/>
              <w:right w:val="single" w:sz="4" w:space="0" w:color="auto"/>
            </w:tcBorders>
          </w:tcPr>
          <w:p w14:paraId="09D25EC3" w14:textId="06DCDD59" w:rsidR="00025FBB" w:rsidRPr="009D11AD" w:rsidRDefault="00025FBB" w:rsidP="007D500F">
            <w:pPr>
              <w:overflowPunct w:val="0"/>
              <w:spacing w:line="276" w:lineRule="exact"/>
              <w:ind w:left="560" w:hangingChars="280" w:hanging="56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二）政府特許農業區、保護區等低強度使用土地得迅行變更為工商綜合專用區及醫療專用區等高強度使用分區，有助促進產業升級及醫療資源均衡發展，惟部分設置案件經特許後卻長期閒置久未開發，未達變更為特定專用區劃設目的，亟待研謀改善。</w:t>
            </w:r>
          </w:p>
        </w:tc>
        <w:tc>
          <w:tcPr>
            <w:tcW w:w="2693" w:type="dxa"/>
            <w:tcBorders>
              <w:top w:val="single" w:sz="4" w:space="0" w:color="auto"/>
              <w:left w:val="single" w:sz="4" w:space="0" w:color="auto"/>
              <w:bottom w:val="single" w:sz="4" w:space="0" w:color="auto"/>
              <w:right w:val="single" w:sz="4" w:space="0" w:color="auto"/>
            </w:tcBorders>
          </w:tcPr>
          <w:p w14:paraId="62244086" w14:textId="77777777" w:rsidR="00025FBB" w:rsidRPr="009D11AD" w:rsidRDefault="00025FBB" w:rsidP="007064BE">
            <w:pPr>
              <w:overflowPunct w:val="0"/>
              <w:snapToGrid w:val="0"/>
              <w:spacing w:line="276" w:lineRule="exact"/>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前經監察院立案調查，該院尚在處理中。</w:t>
            </w:r>
          </w:p>
          <w:p w14:paraId="668A1F34" w14:textId="77777777" w:rsidR="00025FBB" w:rsidRPr="009D11AD" w:rsidRDefault="00025FBB" w:rsidP="007064BE">
            <w:pPr>
              <w:overflowPunct w:val="0"/>
              <w:snapToGrid w:val="0"/>
              <w:spacing w:line="276" w:lineRule="exact"/>
              <w:jc w:val="both"/>
              <w:rPr>
                <w:rFonts w:ascii="標楷體" w:eastAsia="標楷體" w:hAnsi="標楷體"/>
                <w:noProof/>
                <w:color w:val="000000" w:themeColor="text1"/>
                <w:sz w:val="20"/>
              </w:rPr>
            </w:pPr>
          </w:p>
        </w:tc>
      </w:tr>
      <w:tr w:rsidR="00240574" w:rsidRPr="009D11AD" w14:paraId="178ED3D9" w14:textId="77777777" w:rsidTr="009F1BF7">
        <w:trPr>
          <w:trHeight w:val="340"/>
        </w:trPr>
        <w:tc>
          <w:tcPr>
            <w:tcW w:w="9923" w:type="dxa"/>
            <w:gridSpan w:val="2"/>
            <w:tcBorders>
              <w:top w:val="single" w:sz="4" w:space="0" w:color="auto"/>
              <w:left w:val="single" w:sz="4" w:space="0" w:color="auto"/>
              <w:bottom w:val="single" w:sz="4" w:space="0" w:color="auto"/>
              <w:right w:val="single" w:sz="4" w:space="0" w:color="auto"/>
            </w:tcBorders>
          </w:tcPr>
          <w:p w14:paraId="41F60E49" w14:textId="50C3DD17" w:rsidR="00240574" w:rsidRPr="009D11AD" w:rsidRDefault="00240574" w:rsidP="007064BE">
            <w:pPr>
              <w:overflowPunct w:val="0"/>
              <w:snapToGrid w:val="0"/>
              <w:spacing w:line="276" w:lineRule="exact"/>
              <w:jc w:val="both"/>
              <w:rPr>
                <w:rFonts w:ascii="標楷體" w:eastAsia="標楷體" w:hAnsi="標楷體"/>
                <w:noProof/>
                <w:color w:val="000000" w:themeColor="text1"/>
                <w:sz w:val="20"/>
              </w:rPr>
            </w:pPr>
            <w:r w:rsidRPr="009D11AD">
              <w:rPr>
                <w:rFonts w:ascii="標楷體" w:eastAsia="標楷體" w:hAnsi="標楷體" w:hint="eastAsia"/>
                <w:b/>
                <w:noProof/>
                <w:color w:val="000000" w:themeColor="text1"/>
                <w:sz w:val="20"/>
              </w:rPr>
              <w:t>已研謀改善或依改善措施持續辦理</w:t>
            </w:r>
          </w:p>
        </w:tc>
      </w:tr>
      <w:tr w:rsidR="00240574" w:rsidRPr="009D11AD" w14:paraId="2FDB91F9" w14:textId="77777777" w:rsidTr="007064BE">
        <w:trPr>
          <w:trHeight w:val="340"/>
        </w:trPr>
        <w:tc>
          <w:tcPr>
            <w:tcW w:w="7230" w:type="dxa"/>
            <w:tcBorders>
              <w:top w:val="single" w:sz="4" w:space="0" w:color="auto"/>
              <w:left w:val="single" w:sz="4" w:space="0" w:color="auto"/>
              <w:bottom w:val="single" w:sz="4" w:space="0" w:color="auto"/>
              <w:right w:val="single" w:sz="4" w:space="0" w:color="auto"/>
            </w:tcBorders>
          </w:tcPr>
          <w:p w14:paraId="7C63FB03" w14:textId="67C63E33" w:rsidR="00240574" w:rsidRPr="009D11AD" w:rsidRDefault="00240574" w:rsidP="007D500F">
            <w:pPr>
              <w:overflowPunct w:val="0"/>
              <w:spacing w:line="276" w:lineRule="exact"/>
              <w:ind w:left="560" w:hangingChars="280" w:hanging="56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一）行政院推動強化政府基層機關資安防護及區域聯防計畫，補助直轄市政府以六都為核心，帶動鄰近縣市政府共組區域層級之聯防體系。惟計畫規劃欠缺細緻周延之影響評估，致計畫屆期後未能穩定運作發揮長期效益；又不同區域參與機關實際接獲情資之影響等級及完整程度不一等，允宜完善政策及成本效益之評估規劃，並適時互為分享實務運作優良作法，俾利資安經費發揮成效。</w:t>
            </w:r>
          </w:p>
        </w:tc>
        <w:tc>
          <w:tcPr>
            <w:tcW w:w="2693" w:type="dxa"/>
            <w:tcBorders>
              <w:top w:val="single" w:sz="4" w:space="0" w:color="auto"/>
              <w:left w:val="single" w:sz="4" w:space="0" w:color="auto"/>
              <w:bottom w:val="single" w:sz="4" w:space="0" w:color="auto"/>
              <w:right w:val="single" w:sz="4" w:space="0" w:color="auto"/>
            </w:tcBorders>
          </w:tcPr>
          <w:p w14:paraId="22A1AFA2" w14:textId="20CE04AC" w:rsidR="00240574" w:rsidRPr="009D11AD" w:rsidRDefault="00240574" w:rsidP="007064BE">
            <w:pPr>
              <w:overflowPunct w:val="0"/>
              <w:snapToGrid w:val="0"/>
              <w:spacing w:line="276" w:lineRule="exact"/>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前經依法陳報監察院，該院業同意備查，詳「六、其他事項」</w:t>
            </w:r>
            <w:r w:rsidR="00B70D31">
              <w:rPr>
                <w:rFonts w:ascii="標楷體" w:eastAsia="標楷體" w:hAnsi="標楷體" w:hint="eastAsia"/>
                <w:noProof/>
                <w:color w:val="000000" w:themeColor="text1"/>
                <w:sz w:val="20"/>
              </w:rPr>
              <w:t>。</w:t>
            </w:r>
          </w:p>
        </w:tc>
      </w:tr>
      <w:tr w:rsidR="007064BE" w:rsidRPr="009D11AD" w14:paraId="1CD79B63" w14:textId="77777777" w:rsidTr="007064BE">
        <w:trPr>
          <w:trHeight w:val="340"/>
        </w:trPr>
        <w:tc>
          <w:tcPr>
            <w:tcW w:w="7230" w:type="dxa"/>
            <w:tcBorders>
              <w:top w:val="single" w:sz="4" w:space="0" w:color="auto"/>
              <w:left w:val="single" w:sz="4" w:space="0" w:color="auto"/>
              <w:bottom w:val="single" w:sz="4" w:space="0" w:color="auto"/>
              <w:right w:val="single" w:sz="4" w:space="0" w:color="auto"/>
            </w:tcBorders>
          </w:tcPr>
          <w:p w14:paraId="644C4C58" w14:textId="0FF6B7B0" w:rsidR="007064BE" w:rsidRPr="009D11AD" w:rsidRDefault="007064BE" w:rsidP="007064BE">
            <w:pPr>
              <w:overflowPunct w:val="0"/>
              <w:spacing w:line="276" w:lineRule="exact"/>
              <w:ind w:left="600" w:hangingChars="300" w:hanging="60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二）地方創生券、i原券、客庄券及行動支付回饋等加碼振興措施，間有受抽籤制度設計、領券程序、消費方式及店家適用範圍等因素影響振興成效，或重複適用回饋導致額外政策成本等情，允宜督促研謀改善。</w:t>
            </w:r>
          </w:p>
        </w:tc>
        <w:tc>
          <w:tcPr>
            <w:tcW w:w="2693" w:type="dxa"/>
            <w:vMerge w:val="restart"/>
            <w:tcBorders>
              <w:top w:val="single" w:sz="4" w:space="0" w:color="auto"/>
              <w:left w:val="single" w:sz="4" w:space="0" w:color="auto"/>
              <w:right w:val="single" w:sz="4" w:space="0" w:color="auto"/>
              <w:tl2br w:val="single" w:sz="4" w:space="0" w:color="auto"/>
            </w:tcBorders>
          </w:tcPr>
          <w:p w14:paraId="5E19BF95" w14:textId="77777777" w:rsidR="007064BE" w:rsidRPr="009D11AD" w:rsidRDefault="007064BE" w:rsidP="007064BE">
            <w:pPr>
              <w:overflowPunct w:val="0"/>
              <w:snapToGrid w:val="0"/>
              <w:spacing w:line="276" w:lineRule="exact"/>
              <w:jc w:val="both"/>
              <w:rPr>
                <w:rFonts w:ascii="標楷體" w:eastAsia="標楷體" w:hAnsi="標楷體"/>
                <w:noProof/>
                <w:color w:val="000000" w:themeColor="text1"/>
                <w:sz w:val="20"/>
              </w:rPr>
            </w:pPr>
          </w:p>
        </w:tc>
      </w:tr>
      <w:tr w:rsidR="007064BE" w:rsidRPr="009D11AD" w14:paraId="552DEE87" w14:textId="77777777" w:rsidTr="007064BE">
        <w:trPr>
          <w:trHeight w:val="340"/>
        </w:trPr>
        <w:tc>
          <w:tcPr>
            <w:tcW w:w="7230" w:type="dxa"/>
            <w:tcBorders>
              <w:top w:val="single" w:sz="4" w:space="0" w:color="auto"/>
              <w:left w:val="single" w:sz="4" w:space="0" w:color="auto"/>
              <w:bottom w:val="single" w:sz="4" w:space="0" w:color="auto"/>
              <w:right w:val="single" w:sz="4" w:space="0" w:color="auto"/>
            </w:tcBorders>
          </w:tcPr>
          <w:p w14:paraId="249DDC19" w14:textId="06F18221" w:rsidR="007064BE" w:rsidRPr="009D11AD" w:rsidRDefault="007064BE" w:rsidP="007D500F">
            <w:pPr>
              <w:overflowPunct w:val="0"/>
              <w:spacing w:line="276" w:lineRule="exact"/>
              <w:ind w:left="560" w:hangingChars="280" w:hanging="56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三）政府為防止國內新型冠狀病毒肺炎（COVID－19）疫情擴散，便捷疫調工作，實施簡訊實聯制並建置疫調輔助平臺，惟部分蒐集之個人資料檔案恐散落於非公務個人電腦或行動裝置，又相關機關未執行外部稽核及辦理資通系統防護控制措施等，均存有個人資料洩漏或不當使用等風險，允應督促權責機關研謀因應，完善民眾個人資料保護。</w:t>
            </w:r>
          </w:p>
        </w:tc>
        <w:tc>
          <w:tcPr>
            <w:tcW w:w="2693" w:type="dxa"/>
            <w:vMerge/>
            <w:tcBorders>
              <w:left w:val="single" w:sz="4" w:space="0" w:color="auto"/>
              <w:right w:val="single" w:sz="4" w:space="0" w:color="auto"/>
              <w:tl2br w:val="single" w:sz="4" w:space="0" w:color="auto"/>
            </w:tcBorders>
          </w:tcPr>
          <w:p w14:paraId="57117E7A" w14:textId="7D252475" w:rsidR="007064BE" w:rsidRPr="009D11AD" w:rsidRDefault="007064BE" w:rsidP="007064BE">
            <w:pPr>
              <w:overflowPunct w:val="0"/>
              <w:snapToGrid w:val="0"/>
              <w:spacing w:line="276" w:lineRule="exact"/>
              <w:jc w:val="both"/>
              <w:rPr>
                <w:rFonts w:ascii="標楷體" w:eastAsia="標楷體" w:hAnsi="標楷體"/>
                <w:noProof/>
                <w:color w:val="000000" w:themeColor="text1"/>
                <w:sz w:val="20"/>
              </w:rPr>
            </w:pPr>
          </w:p>
        </w:tc>
      </w:tr>
      <w:tr w:rsidR="007064BE" w:rsidRPr="009D11AD" w14:paraId="32AC34CE" w14:textId="77777777" w:rsidTr="007064BE">
        <w:trPr>
          <w:trHeight w:val="340"/>
        </w:trPr>
        <w:tc>
          <w:tcPr>
            <w:tcW w:w="7230" w:type="dxa"/>
            <w:tcBorders>
              <w:top w:val="single" w:sz="4" w:space="0" w:color="auto"/>
              <w:left w:val="single" w:sz="4" w:space="0" w:color="auto"/>
              <w:bottom w:val="single" w:sz="4" w:space="0" w:color="auto"/>
              <w:right w:val="single" w:sz="4" w:space="0" w:color="auto"/>
            </w:tcBorders>
          </w:tcPr>
          <w:p w14:paraId="79BF9FCF" w14:textId="7A19DF63" w:rsidR="007064BE" w:rsidRPr="009D11AD" w:rsidRDefault="007064BE" w:rsidP="007D500F">
            <w:pPr>
              <w:overflowPunct w:val="0"/>
              <w:spacing w:line="276" w:lineRule="exact"/>
              <w:ind w:left="560" w:hangingChars="280" w:hanging="56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（四）</w:t>
            </w:r>
            <w:r w:rsidRPr="00DA2751">
              <w:rPr>
                <w:rFonts w:ascii="標楷體" w:eastAsia="標楷體" w:hAnsi="標楷體" w:hint="eastAsia"/>
                <w:noProof/>
                <w:color w:val="000000" w:themeColor="text1"/>
                <w:sz w:val="20"/>
              </w:rPr>
              <w:t>政府持續規劃辦理各項紓困補貼措施，有助緩解受疫情影響之產業及個人衝擊，惟紓困比對平臺功能未臻完備、相關部會間缺乏跨域溝通協調機制，且跨領域資料之介接與運用未盡完善、補助條件亦未臻周延，致紓困補貼對象間有重複請領、資格不符、擁有高額資產者仍獲補助等情事，允宜研謀妥處。</w:t>
            </w:r>
          </w:p>
        </w:tc>
        <w:tc>
          <w:tcPr>
            <w:tcW w:w="2693" w:type="dxa"/>
            <w:vMerge/>
            <w:tcBorders>
              <w:left w:val="single" w:sz="4" w:space="0" w:color="auto"/>
              <w:right w:val="single" w:sz="4" w:space="0" w:color="auto"/>
              <w:tl2br w:val="single" w:sz="4" w:space="0" w:color="auto"/>
            </w:tcBorders>
          </w:tcPr>
          <w:p w14:paraId="4762C1A8" w14:textId="77777777" w:rsidR="007064BE" w:rsidRPr="009D11AD" w:rsidRDefault="007064BE" w:rsidP="007064BE">
            <w:pPr>
              <w:overflowPunct w:val="0"/>
              <w:snapToGrid w:val="0"/>
              <w:spacing w:line="276" w:lineRule="exact"/>
              <w:jc w:val="both"/>
              <w:rPr>
                <w:rFonts w:ascii="標楷體" w:eastAsia="標楷體" w:hAnsi="標楷體"/>
                <w:noProof/>
                <w:color w:val="000000" w:themeColor="text1"/>
                <w:sz w:val="20"/>
              </w:rPr>
            </w:pPr>
          </w:p>
        </w:tc>
      </w:tr>
      <w:tr w:rsidR="007064BE" w:rsidRPr="009D11AD" w14:paraId="3DBBF4C8" w14:textId="77777777" w:rsidTr="007064BE">
        <w:trPr>
          <w:trHeight w:val="340"/>
        </w:trPr>
        <w:tc>
          <w:tcPr>
            <w:tcW w:w="7230" w:type="dxa"/>
            <w:tcBorders>
              <w:top w:val="single" w:sz="4" w:space="0" w:color="auto"/>
              <w:left w:val="single" w:sz="4" w:space="0" w:color="auto"/>
              <w:bottom w:val="single" w:sz="4" w:space="0" w:color="auto"/>
              <w:right w:val="single" w:sz="4" w:space="0" w:color="auto"/>
            </w:tcBorders>
          </w:tcPr>
          <w:p w14:paraId="13729675" w14:textId="0514D940" w:rsidR="007064BE" w:rsidRPr="009D11AD" w:rsidRDefault="007064BE" w:rsidP="007D500F">
            <w:pPr>
              <w:overflowPunct w:val="0"/>
              <w:spacing w:line="276" w:lineRule="exact"/>
              <w:ind w:left="560" w:hangingChars="280" w:hanging="56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五）政府因應少子女化現象推動多項因應對策，惟個別措施具體效益尚乏實證研究，不利滾動檢討與調整，復以職場高工時、教養憂慮、經濟及扶老負擔降低婚育意願，促進國人婚配機會之策略尚難產生顯著效果，允宜賡續打造友善婚育環境並整合行銷相關資訊供民眾瞭解，以有效提振婚育意願。</w:t>
            </w:r>
          </w:p>
        </w:tc>
        <w:tc>
          <w:tcPr>
            <w:tcW w:w="2693" w:type="dxa"/>
            <w:vMerge/>
            <w:tcBorders>
              <w:left w:val="single" w:sz="4" w:space="0" w:color="auto"/>
              <w:right w:val="single" w:sz="4" w:space="0" w:color="auto"/>
              <w:tl2br w:val="single" w:sz="4" w:space="0" w:color="auto"/>
            </w:tcBorders>
          </w:tcPr>
          <w:p w14:paraId="2E02D541" w14:textId="77777777" w:rsidR="007064BE" w:rsidRPr="009D11AD" w:rsidRDefault="007064BE" w:rsidP="007064BE">
            <w:pPr>
              <w:overflowPunct w:val="0"/>
              <w:snapToGrid w:val="0"/>
              <w:spacing w:line="276" w:lineRule="exact"/>
              <w:jc w:val="both"/>
              <w:rPr>
                <w:rFonts w:ascii="標楷體" w:eastAsia="標楷體" w:hAnsi="標楷體"/>
                <w:noProof/>
                <w:color w:val="000000" w:themeColor="text1"/>
                <w:sz w:val="20"/>
              </w:rPr>
            </w:pPr>
          </w:p>
        </w:tc>
      </w:tr>
      <w:tr w:rsidR="007064BE" w:rsidRPr="009D11AD" w14:paraId="350A29BF" w14:textId="77777777" w:rsidTr="007064BE">
        <w:trPr>
          <w:trHeight w:val="340"/>
        </w:trPr>
        <w:tc>
          <w:tcPr>
            <w:tcW w:w="7230" w:type="dxa"/>
            <w:tcBorders>
              <w:top w:val="single" w:sz="4" w:space="0" w:color="auto"/>
              <w:left w:val="single" w:sz="4" w:space="0" w:color="auto"/>
              <w:bottom w:val="single" w:sz="4" w:space="0" w:color="auto"/>
              <w:right w:val="single" w:sz="4" w:space="0" w:color="auto"/>
            </w:tcBorders>
          </w:tcPr>
          <w:p w14:paraId="35EF8EFF" w14:textId="526AE13F" w:rsidR="007064BE" w:rsidRPr="009D11AD" w:rsidRDefault="007064BE" w:rsidP="007D500F">
            <w:pPr>
              <w:overflowPunct w:val="0"/>
              <w:spacing w:line="276" w:lineRule="exact"/>
              <w:ind w:left="560" w:hangingChars="280" w:hanging="56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六）政府持續投入鉅額經費推動重大公共建設計畫，以加速振興國內經濟，惟相關公共建設之計畫擬編、缺工、流廢標、履約爭議諮詢、計畫總評及營運評估、資訊整合等，亟待持續強化或積極解決，以提升計畫執行效能。</w:t>
            </w:r>
          </w:p>
        </w:tc>
        <w:tc>
          <w:tcPr>
            <w:tcW w:w="2693" w:type="dxa"/>
            <w:vMerge/>
            <w:tcBorders>
              <w:left w:val="single" w:sz="4" w:space="0" w:color="auto"/>
              <w:right w:val="single" w:sz="4" w:space="0" w:color="auto"/>
              <w:tl2br w:val="single" w:sz="4" w:space="0" w:color="auto"/>
            </w:tcBorders>
          </w:tcPr>
          <w:p w14:paraId="424D92EB" w14:textId="77777777" w:rsidR="007064BE" w:rsidRPr="009D11AD" w:rsidRDefault="007064BE" w:rsidP="007064BE">
            <w:pPr>
              <w:overflowPunct w:val="0"/>
              <w:snapToGrid w:val="0"/>
              <w:spacing w:line="276" w:lineRule="exact"/>
              <w:jc w:val="both"/>
              <w:rPr>
                <w:rFonts w:ascii="標楷體" w:eastAsia="標楷體" w:hAnsi="標楷體"/>
                <w:noProof/>
                <w:color w:val="000000" w:themeColor="text1"/>
                <w:sz w:val="20"/>
              </w:rPr>
            </w:pPr>
          </w:p>
        </w:tc>
      </w:tr>
      <w:tr w:rsidR="007064BE" w:rsidRPr="009D11AD" w14:paraId="579354F4" w14:textId="77777777" w:rsidTr="007064BE">
        <w:trPr>
          <w:trHeight w:val="340"/>
        </w:trPr>
        <w:tc>
          <w:tcPr>
            <w:tcW w:w="7230" w:type="dxa"/>
            <w:tcBorders>
              <w:top w:val="single" w:sz="4" w:space="0" w:color="auto"/>
              <w:left w:val="single" w:sz="4" w:space="0" w:color="auto"/>
              <w:bottom w:val="single" w:sz="4" w:space="0" w:color="auto"/>
              <w:right w:val="single" w:sz="4" w:space="0" w:color="auto"/>
            </w:tcBorders>
          </w:tcPr>
          <w:p w14:paraId="5CFB84ED" w14:textId="29819EC1" w:rsidR="007064BE" w:rsidRPr="009D11AD" w:rsidRDefault="007064BE" w:rsidP="007D500F">
            <w:pPr>
              <w:overflowPunct w:val="0"/>
              <w:spacing w:line="276" w:lineRule="exact"/>
              <w:ind w:left="580" w:hangingChars="290" w:hanging="58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七）行政法人為政府組織改造一大變革，透過人事、會計及採購作業適度鬆綁，賦予管理彈性，期使公共事務執行更具效率，惟行政法人制度在設立審核、專業治理、內部控制與稽核、財務自籌及績效評鑑等面向仍有待精進之處，允宜研謀改善。</w:t>
            </w:r>
          </w:p>
        </w:tc>
        <w:tc>
          <w:tcPr>
            <w:tcW w:w="2693" w:type="dxa"/>
            <w:vMerge/>
            <w:tcBorders>
              <w:left w:val="single" w:sz="4" w:space="0" w:color="auto"/>
              <w:bottom w:val="single" w:sz="4" w:space="0" w:color="auto"/>
              <w:right w:val="single" w:sz="4" w:space="0" w:color="auto"/>
              <w:tl2br w:val="single" w:sz="4" w:space="0" w:color="auto"/>
            </w:tcBorders>
          </w:tcPr>
          <w:p w14:paraId="38275276" w14:textId="77777777" w:rsidR="007064BE" w:rsidRPr="009D11AD" w:rsidRDefault="007064BE" w:rsidP="007064BE">
            <w:pPr>
              <w:overflowPunct w:val="0"/>
              <w:snapToGrid w:val="0"/>
              <w:spacing w:line="276" w:lineRule="exact"/>
              <w:jc w:val="both"/>
              <w:rPr>
                <w:rFonts w:ascii="標楷體" w:eastAsia="標楷體" w:hAnsi="標楷體"/>
                <w:noProof/>
                <w:color w:val="000000" w:themeColor="text1"/>
                <w:sz w:val="20"/>
              </w:rPr>
            </w:pPr>
          </w:p>
        </w:tc>
      </w:tr>
    </w:tbl>
    <w:p w14:paraId="04A9CA7D" w14:textId="261AC239" w:rsidR="008704F1" w:rsidRPr="009D11AD" w:rsidRDefault="008704F1" w:rsidP="008704F1">
      <w:pPr>
        <w:overflowPunct w:val="0"/>
        <w:spacing w:beforeLines="50" w:before="180" w:afterLines="30" w:after="108" w:line="240" w:lineRule="exact"/>
        <w:jc w:val="center"/>
        <w:rPr>
          <w:rFonts w:ascii="標楷體" w:eastAsia="標楷體" w:hAnsi="標楷體"/>
          <w:b/>
          <w:color w:val="000000" w:themeColor="text1"/>
          <w:szCs w:val="24"/>
        </w:rPr>
      </w:pPr>
      <w:r w:rsidRPr="009D11AD">
        <w:rPr>
          <w:rFonts w:ascii="標楷體" w:eastAsia="標楷體" w:hAnsi="標楷體" w:hint="eastAsia"/>
          <w:b/>
          <w:color w:val="000000" w:themeColor="text1"/>
          <w:szCs w:val="24"/>
        </w:rPr>
        <w:lastRenderedPageBreak/>
        <w:t>表3</w:t>
      </w:r>
      <w:r w:rsidR="00B729E6">
        <w:rPr>
          <w:rFonts w:ascii="標楷體" w:eastAsia="標楷體" w:hAnsi="標楷體" w:hint="eastAsia"/>
          <w:b/>
          <w:color w:val="000000" w:themeColor="text1"/>
          <w:szCs w:val="24"/>
        </w:rPr>
        <w:t>0</w:t>
      </w:r>
      <w:r w:rsidRPr="009D11AD">
        <w:rPr>
          <w:rFonts w:ascii="標楷體" w:eastAsia="標楷體" w:hAnsi="標楷體" w:hint="eastAsia"/>
          <w:b/>
          <w:color w:val="000000" w:themeColor="text1"/>
          <w:szCs w:val="24"/>
        </w:rPr>
        <w:t xml:space="preserve">　</w:t>
      </w:r>
      <w:r w:rsidRPr="009D11AD">
        <w:rPr>
          <w:rFonts w:ascii="標楷體" w:eastAsia="標楷體" w:hAnsi="標楷體"/>
          <w:b/>
          <w:color w:val="000000" w:themeColor="text1"/>
          <w:szCs w:val="24"/>
        </w:rPr>
        <w:t>1</w:t>
      </w:r>
      <w:r w:rsidRPr="009D11AD">
        <w:rPr>
          <w:rFonts w:ascii="標楷體" w:eastAsia="標楷體" w:hAnsi="標楷體" w:hint="eastAsia"/>
          <w:b/>
          <w:color w:val="000000" w:themeColor="text1"/>
          <w:szCs w:val="24"/>
        </w:rPr>
        <w:t>10年度審核報告所列行政院主管普通公務相關重要審核意見覆核辦理情形（續）</w:t>
      </w:r>
    </w:p>
    <w:tbl>
      <w:tblPr>
        <w:tblW w:w="992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9214"/>
        <w:gridCol w:w="709"/>
      </w:tblGrid>
      <w:tr w:rsidR="008704F1" w:rsidRPr="009D11AD" w14:paraId="26188DA8" w14:textId="77777777" w:rsidTr="007064BE">
        <w:trPr>
          <w:trHeight w:val="280"/>
          <w:tblHeader/>
        </w:trPr>
        <w:tc>
          <w:tcPr>
            <w:tcW w:w="9214" w:type="dxa"/>
            <w:tcBorders>
              <w:top w:val="single" w:sz="4" w:space="0" w:color="auto"/>
              <w:left w:val="single" w:sz="4" w:space="0" w:color="auto"/>
              <w:bottom w:val="single" w:sz="4" w:space="0" w:color="auto"/>
              <w:right w:val="single" w:sz="4" w:space="0" w:color="auto"/>
            </w:tcBorders>
            <w:vAlign w:val="center"/>
          </w:tcPr>
          <w:p w14:paraId="00C9D550" w14:textId="77777777" w:rsidR="008704F1" w:rsidRPr="009D11AD" w:rsidRDefault="008704F1" w:rsidP="009F1BF7">
            <w:pPr>
              <w:overflowPunct w:val="0"/>
              <w:spacing w:line="320" w:lineRule="exact"/>
              <w:jc w:val="center"/>
              <w:rPr>
                <w:rFonts w:ascii="標楷體" w:eastAsia="標楷體" w:hAnsi="標楷體"/>
                <w:color w:val="000000" w:themeColor="text1"/>
                <w:sz w:val="20"/>
              </w:rPr>
            </w:pPr>
            <w:r w:rsidRPr="009D11AD">
              <w:rPr>
                <w:rFonts w:ascii="標楷體" w:eastAsia="標楷體" w:hAnsi="標楷體" w:hint="eastAsia"/>
                <w:color w:val="000000" w:themeColor="text1"/>
                <w:sz w:val="20"/>
              </w:rPr>
              <w:t>重要審核意見標題</w:t>
            </w:r>
          </w:p>
        </w:tc>
        <w:tc>
          <w:tcPr>
            <w:tcW w:w="709" w:type="dxa"/>
            <w:tcBorders>
              <w:top w:val="single" w:sz="4" w:space="0" w:color="auto"/>
              <w:left w:val="single" w:sz="4" w:space="0" w:color="auto"/>
              <w:bottom w:val="single" w:sz="4" w:space="0" w:color="auto"/>
              <w:right w:val="single" w:sz="4" w:space="0" w:color="auto"/>
            </w:tcBorders>
            <w:vAlign w:val="center"/>
          </w:tcPr>
          <w:p w14:paraId="5A08FE81" w14:textId="77777777" w:rsidR="008704F1" w:rsidRPr="009D11AD" w:rsidRDefault="008704F1" w:rsidP="009F1BF7">
            <w:pPr>
              <w:overflowPunct w:val="0"/>
              <w:spacing w:line="320" w:lineRule="exact"/>
              <w:jc w:val="center"/>
              <w:rPr>
                <w:rFonts w:ascii="標楷體" w:eastAsia="標楷體" w:hAnsi="標楷體"/>
                <w:color w:val="000000" w:themeColor="text1"/>
                <w:sz w:val="20"/>
              </w:rPr>
            </w:pPr>
            <w:r w:rsidRPr="009D11AD">
              <w:rPr>
                <w:rFonts w:ascii="標楷體" w:eastAsia="標楷體" w:hAnsi="標楷體" w:hint="eastAsia"/>
                <w:color w:val="000000" w:themeColor="text1"/>
                <w:sz w:val="20"/>
              </w:rPr>
              <w:t>說明</w:t>
            </w:r>
          </w:p>
        </w:tc>
      </w:tr>
      <w:tr w:rsidR="00FF55AB" w:rsidRPr="009D11AD" w14:paraId="022E9C51" w14:textId="77777777" w:rsidTr="007064BE">
        <w:tc>
          <w:tcPr>
            <w:tcW w:w="9214" w:type="dxa"/>
            <w:tcBorders>
              <w:top w:val="single" w:sz="4" w:space="0" w:color="auto"/>
              <w:left w:val="single" w:sz="4" w:space="0" w:color="auto"/>
              <w:bottom w:val="single" w:sz="4" w:space="0" w:color="auto"/>
              <w:right w:val="single" w:sz="4" w:space="0" w:color="auto"/>
            </w:tcBorders>
          </w:tcPr>
          <w:p w14:paraId="2B1E0AD1" w14:textId="01B5AC52" w:rsidR="00FF55AB" w:rsidRPr="009D11AD" w:rsidRDefault="00FF55AB" w:rsidP="007D500F">
            <w:pPr>
              <w:overflowPunct w:val="0"/>
              <w:snapToGrid w:val="0"/>
              <w:spacing w:line="270" w:lineRule="exact"/>
              <w:ind w:left="560" w:hangingChars="280" w:hanging="56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（八）</w:t>
            </w:r>
            <w:r w:rsidRPr="007D500F">
              <w:rPr>
                <w:rFonts w:ascii="標楷體" w:eastAsia="標楷體" w:hAnsi="標楷體" w:hint="eastAsia"/>
                <w:noProof/>
                <w:color w:val="000000" w:themeColor="text1"/>
                <w:sz w:val="20"/>
              </w:rPr>
              <w:t>政府為促</w:t>
            </w:r>
            <w:r w:rsidRPr="009D11AD">
              <w:rPr>
                <w:rFonts w:ascii="標楷體" w:eastAsia="標楷體" w:hAnsi="標楷體" w:hint="eastAsia"/>
                <w:noProof/>
                <w:color w:val="000000" w:themeColor="text1"/>
                <w:sz w:val="20"/>
              </w:rPr>
              <w:t>進資訊透明及保護消費者權益，規範虛擬通貨平台及交易業務事業應落實洗錢防制法令遵循聲明，惟迄未指定非屬證券性質虛擬通貨交易業務之事業主管機關，並界定虛擬通貨之屬性為商品或支付工具，衍生稽徵機關核課營業稅之疑義，允宜研議改善，以發揮治理效能。</w:t>
            </w:r>
          </w:p>
        </w:tc>
        <w:tc>
          <w:tcPr>
            <w:tcW w:w="709" w:type="dxa"/>
            <w:vMerge w:val="restart"/>
            <w:tcBorders>
              <w:left w:val="single" w:sz="4" w:space="0" w:color="auto"/>
              <w:right w:val="single" w:sz="4" w:space="0" w:color="auto"/>
              <w:tl2br w:val="single" w:sz="4" w:space="0" w:color="auto"/>
            </w:tcBorders>
          </w:tcPr>
          <w:p w14:paraId="3A91B08B" w14:textId="77777777" w:rsidR="00FF55AB" w:rsidRPr="009D11AD" w:rsidRDefault="00FF55AB" w:rsidP="007064BE">
            <w:pPr>
              <w:overflowPunct w:val="0"/>
              <w:snapToGrid w:val="0"/>
              <w:spacing w:line="270" w:lineRule="exact"/>
              <w:jc w:val="both"/>
              <w:rPr>
                <w:rFonts w:ascii="標楷體" w:eastAsia="標楷體" w:hAnsi="標楷體"/>
                <w:noProof/>
                <w:color w:val="000000" w:themeColor="text1"/>
                <w:sz w:val="20"/>
              </w:rPr>
            </w:pPr>
          </w:p>
        </w:tc>
      </w:tr>
      <w:tr w:rsidR="00FF55AB" w:rsidRPr="009D11AD" w14:paraId="12982A6E" w14:textId="77777777" w:rsidTr="007064BE">
        <w:tc>
          <w:tcPr>
            <w:tcW w:w="9214" w:type="dxa"/>
            <w:tcBorders>
              <w:top w:val="single" w:sz="4" w:space="0" w:color="auto"/>
              <w:left w:val="single" w:sz="4" w:space="0" w:color="auto"/>
              <w:bottom w:val="single" w:sz="4" w:space="0" w:color="auto"/>
              <w:right w:val="single" w:sz="4" w:space="0" w:color="auto"/>
            </w:tcBorders>
          </w:tcPr>
          <w:p w14:paraId="02DB61D0" w14:textId="31A07ED0" w:rsidR="00FF55AB" w:rsidRPr="009D11AD" w:rsidRDefault="00FF55AB" w:rsidP="007064BE">
            <w:pPr>
              <w:overflowPunct w:val="0"/>
              <w:snapToGrid w:val="0"/>
              <w:spacing w:line="270" w:lineRule="exact"/>
              <w:ind w:left="600" w:hangingChars="300" w:hanging="60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（九）中長程個案計畫性別影響評估作業新制自108年10月推動以來，部分中長程個案計畫核仍未敘明與性別平等法規政策相關性、</w:t>
            </w:r>
            <w:r w:rsidRPr="009D11AD">
              <w:rPr>
                <w:rFonts w:ascii="標楷體" w:eastAsia="標楷體" w:hAnsi="標楷體" w:hint="eastAsia"/>
                <w:noProof/>
                <w:color w:val="000000" w:themeColor="text1"/>
                <w:spacing w:val="4"/>
                <w:sz w:val="20"/>
              </w:rPr>
              <w:t>未落實性別統計及分析、未訂定性別目標或執行策略、未揭露性別相關經費配置等</w:t>
            </w:r>
            <w:r w:rsidRPr="009D11AD">
              <w:rPr>
                <w:rFonts w:ascii="標楷體" w:eastAsia="標楷體" w:hAnsi="標楷體" w:hint="eastAsia"/>
                <w:noProof/>
                <w:color w:val="000000" w:themeColor="text1"/>
                <w:sz w:val="20"/>
              </w:rPr>
              <w:t>，允宜持續輔導各機關精進性別影響評估作業，</w:t>
            </w:r>
            <w:r w:rsidRPr="009D11AD">
              <w:rPr>
                <w:rFonts w:ascii="標楷體" w:eastAsia="標楷體" w:hAnsi="標楷體" w:hint="eastAsia"/>
                <w:noProof/>
                <w:color w:val="000000" w:themeColor="text1"/>
                <w:spacing w:val="4"/>
                <w:sz w:val="20"/>
              </w:rPr>
              <w:t>俾利政府整體施政納入性別觀點</w:t>
            </w:r>
            <w:r w:rsidRPr="009D11AD">
              <w:rPr>
                <w:rFonts w:ascii="標楷體" w:eastAsia="標楷體" w:hAnsi="標楷體" w:hint="eastAsia"/>
                <w:noProof/>
                <w:color w:val="000000" w:themeColor="text1"/>
                <w:sz w:val="20"/>
              </w:rPr>
              <w:t>及落實性別平等。</w:t>
            </w:r>
          </w:p>
        </w:tc>
        <w:tc>
          <w:tcPr>
            <w:tcW w:w="709" w:type="dxa"/>
            <w:vMerge/>
            <w:tcBorders>
              <w:left w:val="single" w:sz="4" w:space="0" w:color="auto"/>
              <w:right w:val="single" w:sz="4" w:space="0" w:color="auto"/>
              <w:tl2br w:val="single" w:sz="4" w:space="0" w:color="auto"/>
            </w:tcBorders>
          </w:tcPr>
          <w:p w14:paraId="354426FB" w14:textId="77777777" w:rsidR="00FF55AB" w:rsidRPr="009D11AD" w:rsidRDefault="00FF55AB" w:rsidP="007064BE">
            <w:pPr>
              <w:overflowPunct w:val="0"/>
              <w:snapToGrid w:val="0"/>
              <w:spacing w:line="270" w:lineRule="exact"/>
              <w:jc w:val="both"/>
              <w:rPr>
                <w:rFonts w:ascii="標楷體" w:eastAsia="標楷體" w:hAnsi="標楷體"/>
                <w:noProof/>
                <w:color w:val="000000" w:themeColor="text1"/>
                <w:sz w:val="20"/>
              </w:rPr>
            </w:pPr>
          </w:p>
        </w:tc>
      </w:tr>
      <w:tr w:rsidR="00FF55AB" w:rsidRPr="009D11AD" w14:paraId="69B5E03C" w14:textId="77777777" w:rsidTr="007064BE">
        <w:tc>
          <w:tcPr>
            <w:tcW w:w="9214" w:type="dxa"/>
            <w:tcBorders>
              <w:top w:val="single" w:sz="4" w:space="0" w:color="auto"/>
              <w:left w:val="single" w:sz="4" w:space="0" w:color="auto"/>
              <w:bottom w:val="single" w:sz="4" w:space="0" w:color="auto"/>
              <w:right w:val="single" w:sz="4" w:space="0" w:color="auto"/>
            </w:tcBorders>
          </w:tcPr>
          <w:p w14:paraId="21E94E44" w14:textId="752DADCE" w:rsidR="00FF55AB" w:rsidRPr="009D11AD" w:rsidRDefault="00FF55AB" w:rsidP="007D500F">
            <w:pPr>
              <w:overflowPunct w:val="0"/>
              <w:snapToGrid w:val="0"/>
              <w:spacing w:line="270" w:lineRule="exact"/>
              <w:ind w:left="560" w:hangingChars="280" w:hanging="56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（十）五加二產業創新計畫已獲致階段性成果，惟部分方案全程目標及分年績效指標仍待檢討訂定，又部分工作項目、績效指標及在地場域執行未如預期，允宜督促加強推動，以發揮產業綜效。</w:t>
            </w:r>
          </w:p>
        </w:tc>
        <w:tc>
          <w:tcPr>
            <w:tcW w:w="709" w:type="dxa"/>
            <w:vMerge/>
            <w:tcBorders>
              <w:left w:val="single" w:sz="4" w:space="0" w:color="auto"/>
              <w:right w:val="single" w:sz="4" w:space="0" w:color="auto"/>
              <w:tl2br w:val="single" w:sz="4" w:space="0" w:color="auto"/>
            </w:tcBorders>
          </w:tcPr>
          <w:p w14:paraId="0E6C3EE7" w14:textId="77777777" w:rsidR="00FF55AB" w:rsidRPr="009D11AD" w:rsidRDefault="00FF55AB" w:rsidP="007064BE">
            <w:pPr>
              <w:overflowPunct w:val="0"/>
              <w:snapToGrid w:val="0"/>
              <w:spacing w:line="270" w:lineRule="exact"/>
              <w:jc w:val="both"/>
              <w:rPr>
                <w:rFonts w:ascii="標楷體" w:eastAsia="標楷體" w:hAnsi="標楷體"/>
                <w:noProof/>
                <w:color w:val="000000" w:themeColor="text1"/>
                <w:sz w:val="20"/>
              </w:rPr>
            </w:pPr>
          </w:p>
        </w:tc>
      </w:tr>
      <w:tr w:rsidR="00FF55AB" w:rsidRPr="009D11AD" w14:paraId="4AA857FC" w14:textId="77777777" w:rsidTr="007064BE">
        <w:tc>
          <w:tcPr>
            <w:tcW w:w="9214" w:type="dxa"/>
            <w:tcBorders>
              <w:top w:val="single" w:sz="4" w:space="0" w:color="auto"/>
              <w:left w:val="single" w:sz="4" w:space="0" w:color="auto"/>
              <w:bottom w:val="single" w:sz="4" w:space="0" w:color="auto"/>
              <w:right w:val="single" w:sz="4" w:space="0" w:color="auto"/>
            </w:tcBorders>
          </w:tcPr>
          <w:p w14:paraId="0D77BB42" w14:textId="7471AA2C" w:rsidR="00FF55AB" w:rsidRPr="009D11AD" w:rsidRDefault="00FF55AB" w:rsidP="007D500F">
            <w:pPr>
              <w:overflowPunct w:val="0"/>
              <w:snapToGrid w:val="0"/>
              <w:spacing w:line="270" w:lineRule="exact"/>
              <w:ind w:left="760" w:hangingChars="380" w:hanging="76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十一）政府推動成立國家融資保證機制，有助綠能產業及重大公共建設取得融資資金，惟民營銀行參與意願低落，且保證基金額度恐不敷支應未來綠電、綠能等大型專案融資保證需求，允宜督促檢討改善，以有效擴大國家融資保證之量能。</w:t>
            </w:r>
          </w:p>
        </w:tc>
        <w:tc>
          <w:tcPr>
            <w:tcW w:w="709" w:type="dxa"/>
            <w:vMerge/>
            <w:tcBorders>
              <w:left w:val="single" w:sz="4" w:space="0" w:color="auto"/>
              <w:right w:val="single" w:sz="4" w:space="0" w:color="auto"/>
              <w:tl2br w:val="single" w:sz="4" w:space="0" w:color="auto"/>
            </w:tcBorders>
          </w:tcPr>
          <w:p w14:paraId="45578C26" w14:textId="77777777" w:rsidR="00FF55AB" w:rsidRPr="009D11AD" w:rsidRDefault="00FF55AB" w:rsidP="007064BE">
            <w:pPr>
              <w:overflowPunct w:val="0"/>
              <w:snapToGrid w:val="0"/>
              <w:spacing w:line="270" w:lineRule="exact"/>
              <w:jc w:val="both"/>
              <w:rPr>
                <w:rFonts w:ascii="標楷體" w:eastAsia="標楷體" w:hAnsi="標楷體"/>
                <w:noProof/>
                <w:color w:val="000000" w:themeColor="text1"/>
                <w:sz w:val="20"/>
              </w:rPr>
            </w:pPr>
          </w:p>
        </w:tc>
      </w:tr>
      <w:tr w:rsidR="00FF55AB" w:rsidRPr="009D11AD" w14:paraId="34B22F26" w14:textId="77777777" w:rsidTr="007064BE">
        <w:tc>
          <w:tcPr>
            <w:tcW w:w="9214" w:type="dxa"/>
            <w:tcBorders>
              <w:top w:val="single" w:sz="4" w:space="0" w:color="auto"/>
              <w:left w:val="single" w:sz="4" w:space="0" w:color="auto"/>
              <w:bottom w:val="single" w:sz="4" w:space="0" w:color="auto"/>
              <w:right w:val="single" w:sz="4" w:space="0" w:color="auto"/>
            </w:tcBorders>
          </w:tcPr>
          <w:p w14:paraId="2C927009" w14:textId="275FCB7F" w:rsidR="00FF55AB" w:rsidRPr="009D11AD" w:rsidRDefault="00FF55AB" w:rsidP="007D500F">
            <w:pPr>
              <w:overflowPunct w:val="0"/>
              <w:snapToGrid w:val="0"/>
              <w:spacing w:line="270" w:lineRule="exact"/>
              <w:ind w:left="760" w:hangingChars="380" w:hanging="76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十二）近年房價高漲，各界間有質疑購屋者以鉅額費用購置公共設施之必要性等，並倡議採主建物部分作為建物登記之實坪登記制，基於部分公共設施免計容積項目未適度規範免計容積上限，推升公共設施占比，增加民眾購屋負擔，又建物登記制度變革涉及民眾財產保障、修法前後建物登記方式不一等情事，各界尚無共識，允宜督促研謀改善或妥謀因應善策，以回應民眾對於政府健全房地產政策之期待。</w:t>
            </w:r>
          </w:p>
        </w:tc>
        <w:tc>
          <w:tcPr>
            <w:tcW w:w="709" w:type="dxa"/>
            <w:vMerge/>
            <w:tcBorders>
              <w:left w:val="single" w:sz="4" w:space="0" w:color="auto"/>
              <w:right w:val="single" w:sz="4" w:space="0" w:color="auto"/>
              <w:tl2br w:val="single" w:sz="4" w:space="0" w:color="auto"/>
            </w:tcBorders>
          </w:tcPr>
          <w:p w14:paraId="08E0D759" w14:textId="77777777" w:rsidR="00FF55AB" w:rsidRPr="009D11AD" w:rsidRDefault="00FF55AB" w:rsidP="007064BE">
            <w:pPr>
              <w:overflowPunct w:val="0"/>
              <w:snapToGrid w:val="0"/>
              <w:spacing w:line="270" w:lineRule="exact"/>
              <w:jc w:val="both"/>
              <w:rPr>
                <w:rFonts w:ascii="標楷體" w:eastAsia="標楷體" w:hAnsi="標楷體"/>
                <w:noProof/>
                <w:color w:val="000000" w:themeColor="text1"/>
                <w:sz w:val="20"/>
              </w:rPr>
            </w:pPr>
          </w:p>
        </w:tc>
      </w:tr>
      <w:tr w:rsidR="00FF55AB" w:rsidRPr="009D11AD" w14:paraId="2040688D" w14:textId="77777777" w:rsidTr="007064BE">
        <w:tc>
          <w:tcPr>
            <w:tcW w:w="9214" w:type="dxa"/>
            <w:tcBorders>
              <w:top w:val="single" w:sz="4" w:space="0" w:color="auto"/>
              <w:left w:val="single" w:sz="4" w:space="0" w:color="auto"/>
              <w:bottom w:val="single" w:sz="4" w:space="0" w:color="auto"/>
              <w:right w:val="single" w:sz="4" w:space="0" w:color="auto"/>
            </w:tcBorders>
          </w:tcPr>
          <w:p w14:paraId="6EF553FA" w14:textId="633BC13E" w:rsidR="00FF55AB" w:rsidRPr="009D11AD" w:rsidRDefault="00FF55AB" w:rsidP="007D500F">
            <w:pPr>
              <w:overflowPunct w:val="0"/>
              <w:snapToGrid w:val="0"/>
              <w:spacing w:line="270" w:lineRule="exact"/>
              <w:ind w:left="760" w:hangingChars="380" w:hanging="76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十三）政府為落實震災整備工作，推動公有危險建築補強重建計畫，惟間有計畫督導管考機制及執行情形未臻周延，仍有7百餘件公有建築物未納入辦理，所需經費達111億餘元，亟待研謀改善，以提升計畫執行成效。</w:t>
            </w:r>
          </w:p>
        </w:tc>
        <w:tc>
          <w:tcPr>
            <w:tcW w:w="709" w:type="dxa"/>
            <w:vMerge/>
            <w:tcBorders>
              <w:left w:val="single" w:sz="4" w:space="0" w:color="auto"/>
              <w:right w:val="single" w:sz="4" w:space="0" w:color="auto"/>
              <w:tl2br w:val="single" w:sz="4" w:space="0" w:color="auto"/>
            </w:tcBorders>
          </w:tcPr>
          <w:p w14:paraId="54A3855F" w14:textId="77777777" w:rsidR="00FF55AB" w:rsidRPr="009D11AD" w:rsidRDefault="00FF55AB" w:rsidP="007064BE">
            <w:pPr>
              <w:overflowPunct w:val="0"/>
              <w:snapToGrid w:val="0"/>
              <w:spacing w:line="270" w:lineRule="exact"/>
              <w:jc w:val="both"/>
              <w:rPr>
                <w:rFonts w:ascii="標楷體" w:eastAsia="標楷體" w:hAnsi="標楷體"/>
                <w:noProof/>
                <w:color w:val="000000" w:themeColor="text1"/>
                <w:sz w:val="20"/>
              </w:rPr>
            </w:pPr>
          </w:p>
        </w:tc>
      </w:tr>
      <w:tr w:rsidR="00FF55AB" w:rsidRPr="009D11AD" w14:paraId="6420939A" w14:textId="77777777" w:rsidTr="007064BE">
        <w:tc>
          <w:tcPr>
            <w:tcW w:w="9214" w:type="dxa"/>
            <w:tcBorders>
              <w:top w:val="single" w:sz="4" w:space="0" w:color="auto"/>
              <w:left w:val="single" w:sz="4" w:space="0" w:color="auto"/>
              <w:bottom w:val="single" w:sz="4" w:space="0" w:color="auto"/>
              <w:right w:val="single" w:sz="4" w:space="0" w:color="auto"/>
            </w:tcBorders>
          </w:tcPr>
          <w:p w14:paraId="61F7B74C" w14:textId="06714C15" w:rsidR="00FF55AB" w:rsidRPr="009D11AD" w:rsidRDefault="00FF55AB" w:rsidP="007D500F">
            <w:pPr>
              <w:overflowPunct w:val="0"/>
              <w:snapToGrid w:val="0"/>
              <w:spacing w:line="270" w:lineRule="exact"/>
              <w:ind w:left="760" w:hangingChars="380" w:hanging="76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（十四）政府積極推動都市更新及危老建築物重建政策，已完成都更三法制定及相關計畫核定作業，惟計畫管制考核、後續危老重建政策研擬及都市計畫人口結構變遷因應作為等，尚待加強研議及持續落實辦理。</w:t>
            </w:r>
          </w:p>
        </w:tc>
        <w:tc>
          <w:tcPr>
            <w:tcW w:w="709" w:type="dxa"/>
            <w:vMerge/>
            <w:tcBorders>
              <w:left w:val="single" w:sz="4" w:space="0" w:color="auto"/>
              <w:right w:val="single" w:sz="4" w:space="0" w:color="auto"/>
              <w:tl2br w:val="single" w:sz="4" w:space="0" w:color="auto"/>
            </w:tcBorders>
          </w:tcPr>
          <w:p w14:paraId="773FC2C9" w14:textId="77777777" w:rsidR="00FF55AB" w:rsidRPr="009D11AD" w:rsidRDefault="00FF55AB" w:rsidP="007064BE">
            <w:pPr>
              <w:overflowPunct w:val="0"/>
              <w:snapToGrid w:val="0"/>
              <w:spacing w:line="270" w:lineRule="exact"/>
              <w:jc w:val="both"/>
              <w:rPr>
                <w:rFonts w:ascii="標楷體" w:eastAsia="標楷體" w:hAnsi="標楷體"/>
                <w:noProof/>
                <w:color w:val="000000" w:themeColor="text1"/>
                <w:sz w:val="20"/>
              </w:rPr>
            </w:pPr>
          </w:p>
        </w:tc>
      </w:tr>
      <w:tr w:rsidR="00FF55AB" w:rsidRPr="009D11AD" w14:paraId="41244282" w14:textId="77777777" w:rsidTr="007064BE">
        <w:tc>
          <w:tcPr>
            <w:tcW w:w="9214" w:type="dxa"/>
            <w:tcBorders>
              <w:top w:val="single" w:sz="4" w:space="0" w:color="auto"/>
              <w:left w:val="single" w:sz="4" w:space="0" w:color="auto"/>
              <w:bottom w:val="single" w:sz="4" w:space="0" w:color="auto"/>
              <w:right w:val="single" w:sz="4" w:space="0" w:color="auto"/>
            </w:tcBorders>
          </w:tcPr>
          <w:p w14:paraId="50CB5B14" w14:textId="43806BF7" w:rsidR="00FF55AB" w:rsidRPr="009D11AD" w:rsidRDefault="00FF55AB" w:rsidP="007D500F">
            <w:pPr>
              <w:overflowPunct w:val="0"/>
              <w:snapToGrid w:val="0"/>
              <w:spacing w:line="270" w:lineRule="exact"/>
              <w:ind w:left="760" w:hangingChars="380" w:hanging="76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十五）政府設置文創園區以促進文化創意產業發展，惟園區產值占文創產業營業額比率甚微，且園區定位攸關後續營運策略及發展，允宜妥適檢討明確文創園區定義及督促滾動調整其營運模式或轉型發展，以結合各部會資源提供系統性輔導，達成透過產業群聚促進發展之目標。</w:t>
            </w:r>
          </w:p>
        </w:tc>
        <w:tc>
          <w:tcPr>
            <w:tcW w:w="709" w:type="dxa"/>
            <w:vMerge/>
            <w:tcBorders>
              <w:left w:val="single" w:sz="4" w:space="0" w:color="auto"/>
              <w:right w:val="single" w:sz="4" w:space="0" w:color="auto"/>
              <w:tl2br w:val="single" w:sz="4" w:space="0" w:color="auto"/>
            </w:tcBorders>
          </w:tcPr>
          <w:p w14:paraId="2471E9D4" w14:textId="77777777" w:rsidR="00FF55AB" w:rsidRPr="009D11AD" w:rsidRDefault="00FF55AB" w:rsidP="007064BE">
            <w:pPr>
              <w:overflowPunct w:val="0"/>
              <w:snapToGrid w:val="0"/>
              <w:spacing w:line="270" w:lineRule="exact"/>
              <w:jc w:val="both"/>
              <w:rPr>
                <w:rFonts w:ascii="標楷體" w:eastAsia="標楷體" w:hAnsi="標楷體"/>
                <w:noProof/>
                <w:color w:val="000000" w:themeColor="text1"/>
                <w:sz w:val="20"/>
              </w:rPr>
            </w:pPr>
          </w:p>
        </w:tc>
      </w:tr>
      <w:tr w:rsidR="00FF55AB" w:rsidRPr="009D11AD" w14:paraId="6709033A" w14:textId="77777777" w:rsidTr="007064BE">
        <w:tc>
          <w:tcPr>
            <w:tcW w:w="9214" w:type="dxa"/>
            <w:tcBorders>
              <w:top w:val="single" w:sz="4" w:space="0" w:color="auto"/>
              <w:left w:val="single" w:sz="4" w:space="0" w:color="auto"/>
              <w:bottom w:val="single" w:sz="4" w:space="0" w:color="auto"/>
              <w:right w:val="single" w:sz="4" w:space="0" w:color="auto"/>
            </w:tcBorders>
          </w:tcPr>
          <w:p w14:paraId="27183C8F" w14:textId="30BAAE42" w:rsidR="00FF55AB" w:rsidRPr="009D11AD" w:rsidRDefault="00FF55AB" w:rsidP="007D500F">
            <w:pPr>
              <w:overflowPunct w:val="0"/>
              <w:snapToGrid w:val="0"/>
              <w:spacing w:line="270" w:lineRule="exact"/>
              <w:ind w:left="760" w:hangingChars="380" w:hanging="76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十六）農業委員會為掌握農地資源現況，進行農業及農地資源盤查，惟間有疑似工廠周邊道路狹小且缺乏消防水源，群聚於工業區周邊，及已核准搭排戶轉作工廠使用，影響農業生產環境等情事，亟待加強督促相關部會及地方政府稽查轉作工廠，以確保公共安全及保障我國糧食生產安全。</w:t>
            </w:r>
          </w:p>
        </w:tc>
        <w:tc>
          <w:tcPr>
            <w:tcW w:w="709" w:type="dxa"/>
            <w:vMerge/>
            <w:tcBorders>
              <w:left w:val="single" w:sz="4" w:space="0" w:color="auto"/>
              <w:right w:val="single" w:sz="4" w:space="0" w:color="auto"/>
              <w:tl2br w:val="single" w:sz="4" w:space="0" w:color="auto"/>
            </w:tcBorders>
          </w:tcPr>
          <w:p w14:paraId="67D810CA" w14:textId="77777777" w:rsidR="00FF55AB" w:rsidRPr="009D11AD" w:rsidRDefault="00FF55AB" w:rsidP="007064BE">
            <w:pPr>
              <w:overflowPunct w:val="0"/>
              <w:snapToGrid w:val="0"/>
              <w:spacing w:line="270" w:lineRule="exact"/>
              <w:jc w:val="both"/>
              <w:rPr>
                <w:rFonts w:ascii="標楷體" w:eastAsia="標楷體" w:hAnsi="標楷體"/>
                <w:noProof/>
                <w:color w:val="000000" w:themeColor="text1"/>
                <w:sz w:val="20"/>
              </w:rPr>
            </w:pPr>
          </w:p>
        </w:tc>
      </w:tr>
      <w:tr w:rsidR="00FF55AB" w:rsidRPr="009D11AD" w14:paraId="603C53F0" w14:textId="77777777" w:rsidTr="007064BE">
        <w:tc>
          <w:tcPr>
            <w:tcW w:w="9214" w:type="dxa"/>
            <w:tcBorders>
              <w:top w:val="single" w:sz="4" w:space="0" w:color="auto"/>
              <w:left w:val="single" w:sz="4" w:space="0" w:color="auto"/>
              <w:bottom w:val="single" w:sz="4" w:space="0" w:color="auto"/>
              <w:right w:val="single" w:sz="4" w:space="0" w:color="auto"/>
            </w:tcBorders>
          </w:tcPr>
          <w:p w14:paraId="343D3845" w14:textId="3D474582" w:rsidR="00FF55AB" w:rsidRPr="009D11AD" w:rsidRDefault="00FF55AB" w:rsidP="007D500F">
            <w:pPr>
              <w:overflowPunct w:val="0"/>
              <w:snapToGrid w:val="0"/>
              <w:spacing w:line="270" w:lineRule="exact"/>
              <w:ind w:left="760" w:hangingChars="380" w:hanging="76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（十七）</w:t>
            </w:r>
            <w:r w:rsidRPr="00DA2751">
              <w:rPr>
                <w:rFonts w:ascii="標楷體" w:eastAsia="標楷體" w:hAnsi="標楷體" w:hint="eastAsia"/>
                <w:noProof/>
                <w:color w:val="000000" w:themeColor="text1"/>
                <w:sz w:val="20"/>
              </w:rPr>
              <w:t>行政院所屬各機關辦理中長程個案計畫總結評估報告及部會管制計畫年度評核，核有部會或機關核定屆期計畫之總結評估報告未依規定納入複評擇案範圍，部分機關未落實國家發展委員會審查總結評估報告所提出之建議改善意見；另有部分機關未依規定期限公告年度部會管制計畫評核結果、未提出評核意見或評核意見過於簡略等情，允宜精進總結評估報告及年度評核作業，強化政府個案計畫績效管理。</w:t>
            </w:r>
          </w:p>
        </w:tc>
        <w:tc>
          <w:tcPr>
            <w:tcW w:w="709" w:type="dxa"/>
            <w:vMerge/>
            <w:tcBorders>
              <w:left w:val="single" w:sz="4" w:space="0" w:color="auto"/>
              <w:right w:val="single" w:sz="4" w:space="0" w:color="auto"/>
              <w:tl2br w:val="single" w:sz="4" w:space="0" w:color="auto"/>
            </w:tcBorders>
          </w:tcPr>
          <w:p w14:paraId="2BA47C2B" w14:textId="77777777" w:rsidR="00FF55AB" w:rsidRPr="009D11AD" w:rsidRDefault="00FF55AB" w:rsidP="007064BE">
            <w:pPr>
              <w:overflowPunct w:val="0"/>
              <w:snapToGrid w:val="0"/>
              <w:spacing w:line="270" w:lineRule="exact"/>
              <w:jc w:val="both"/>
              <w:rPr>
                <w:rFonts w:ascii="標楷體" w:eastAsia="標楷體" w:hAnsi="標楷體"/>
                <w:noProof/>
                <w:color w:val="000000" w:themeColor="text1"/>
                <w:sz w:val="20"/>
              </w:rPr>
            </w:pPr>
          </w:p>
        </w:tc>
      </w:tr>
      <w:tr w:rsidR="00FF55AB" w:rsidRPr="009D11AD" w14:paraId="056126C2" w14:textId="77777777" w:rsidTr="007064BE">
        <w:tc>
          <w:tcPr>
            <w:tcW w:w="9214" w:type="dxa"/>
            <w:tcBorders>
              <w:top w:val="single" w:sz="4" w:space="0" w:color="auto"/>
              <w:left w:val="single" w:sz="4" w:space="0" w:color="auto"/>
              <w:bottom w:val="single" w:sz="4" w:space="0" w:color="auto"/>
              <w:right w:val="single" w:sz="4" w:space="0" w:color="auto"/>
            </w:tcBorders>
          </w:tcPr>
          <w:p w14:paraId="32A9B303" w14:textId="72426A99" w:rsidR="00FF55AB" w:rsidRPr="009D11AD" w:rsidRDefault="00FF55AB" w:rsidP="007D500F">
            <w:pPr>
              <w:overflowPunct w:val="0"/>
              <w:snapToGrid w:val="0"/>
              <w:spacing w:line="270" w:lineRule="exact"/>
              <w:ind w:left="760" w:hangingChars="380" w:hanging="76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十八）政府推動地方創生計畫，提供地方創生事業提案所需資金或行政支援，惟部分工作項目或事業提案執行進度未如預期，兼以部分核心地方產業與配套建設相關事業提案未能搭配推動、投入硬體建設支持地方產業之效益不明等，允宜通盤研謀改善，以務實加速計畫目標達成。</w:t>
            </w:r>
          </w:p>
        </w:tc>
        <w:tc>
          <w:tcPr>
            <w:tcW w:w="709" w:type="dxa"/>
            <w:vMerge/>
            <w:tcBorders>
              <w:left w:val="single" w:sz="4" w:space="0" w:color="auto"/>
              <w:right w:val="single" w:sz="4" w:space="0" w:color="auto"/>
              <w:tl2br w:val="single" w:sz="4" w:space="0" w:color="auto"/>
            </w:tcBorders>
          </w:tcPr>
          <w:p w14:paraId="334551D5" w14:textId="77777777" w:rsidR="00FF55AB" w:rsidRPr="009D11AD" w:rsidRDefault="00FF55AB" w:rsidP="007064BE">
            <w:pPr>
              <w:overflowPunct w:val="0"/>
              <w:snapToGrid w:val="0"/>
              <w:spacing w:line="270" w:lineRule="exact"/>
              <w:jc w:val="both"/>
              <w:rPr>
                <w:rFonts w:ascii="標楷體" w:eastAsia="標楷體" w:hAnsi="標楷體"/>
                <w:noProof/>
                <w:color w:val="000000" w:themeColor="text1"/>
                <w:sz w:val="20"/>
              </w:rPr>
            </w:pPr>
          </w:p>
        </w:tc>
      </w:tr>
      <w:tr w:rsidR="00FF55AB" w:rsidRPr="009D11AD" w14:paraId="0D1F96CA" w14:textId="77777777" w:rsidTr="007064BE">
        <w:tc>
          <w:tcPr>
            <w:tcW w:w="9214" w:type="dxa"/>
            <w:tcBorders>
              <w:top w:val="single" w:sz="4" w:space="0" w:color="auto"/>
              <w:left w:val="single" w:sz="4" w:space="0" w:color="auto"/>
              <w:bottom w:val="single" w:sz="4" w:space="0" w:color="auto"/>
              <w:right w:val="single" w:sz="4" w:space="0" w:color="auto"/>
            </w:tcBorders>
          </w:tcPr>
          <w:p w14:paraId="3B192E81" w14:textId="36D7B4EA" w:rsidR="00FF55AB" w:rsidRPr="009D11AD" w:rsidRDefault="00FF55AB" w:rsidP="007D500F">
            <w:pPr>
              <w:overflowPunct w:val="0"/>
              <w:snapToGrid w:val="0"/>
              <w:spacing w:line="270" w:lineRule="exact"/>
              <w:ind w:left="760" w:hangingChars="380" w:hanging="76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十九）國家發展委員會檔案管理局辦理國家檔案徵集計畫，惟典藏類別未臻均衡廣泛；永久保存檔案移轉送審時程較法令規定延後，機關未依限送審比率逐年攀升，恐增加後續年度審核作業負荷等，允宜研謀改善。</w:t>
            </w:r>
          </w:p>
        </w:tc>
        <w:tc>
          <w:tcPr>
            <w:tcW w:w="709" w:type="dxa"/>
            <w:vMerge/>
            <w:tcBorders>
              <w:left w:val="single" w:sz="4" w:space="0" w:color="auto"/>
              <w:right w:val="single" w:sz="4" w:space="0" w:color="auto"/>
              <w:tl2br w:val="single" w:sz="4" w:space="0" w:color="auto"/>
            </w:tcBorders>
          </w:tcPr>
          <w:p w14:paraId="5019E97F" w14:textId="77777777" w:rsidR="00FF55AB" w:rsidRPr="009D11AD" w:rsidRDefault="00FF55AB" w:rsidP="007064BE">
            <w:pPr>
              <w:overflowPunct w:val="0"/>
              <w:snapToGrid w:val="0"/>
              <w:spacing w:line="270" w:lineRule="exact"/>
              <w:jc w:val="both"/>
              <w:rPr>
                <w:rFonts w:ascii="標楷體" w:eastAsia="標楷體" w:hAnsi="標楷體"/>
                <w:noProof/>
                <w:color w:val="000000" w:themeColor="text1"/>
                <w:sz w:val="20"/>
              </w:rPr>
            </w:pPr>
          </w:p>
        </w:tc>
      </w:tr>
      <w:tr w:rsidR="00FF55AB" w:rsidRPr="009D11AD" w14:paraId="54504322" w14:textId="77777777" w:rsidTr="007064BE">
        <w:tc>
          <w:tcPr>
            <w:tcW w:w="9214" w:type="dxa"/>
            <w:tcBorders>
              <w:top w:val="single" w:sz="4" w:space="0" w:color="auto"/>
              <w:left w:val="single" w:sz="4" w:space="0" w:color="auto"/>
              <w:bottom w:val="single" w:sz="4" w:space="0" w:color="auto"/>
              <w:right w:val="single" w:sz="4" w:space="0" w:color="auto"/>
            </w:tcBorders>
          </w:tcPr>
          <w:p w14:paraId="3B05FEA6" w14:textId="1F82ADED" w:rsidR="00FF55AB" w:rsidRPr="009D11AD" w:rsidRDefault="00FF55AB" w:rsidP="007D500F">
            <w:pPr>
              <w:overflowPunct w:val="0"/>
              <w:snapToGrid w:val="0"/>
              <w:spacing w:line="270" w:lineRule="exact"/>
              <w:ind w:left="760" w:hangingChars="380" w:hanging="76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二十）國家發展委員會檔案管理局辦理典藏及服務建設計畫，可解決國家檔案庫房典藏容量即將滿載等問題，惟未審慎衡酌採購發包策略，亦未通盤檢討工程經費合理性，肇致多次流標，耽延計畫執行進度，亟待檢討改善。</w:t>
            </w:r>
          </w:p>
        </w:tc>
        <w:tc>
          <w:tcPr>
            <w:tcW w:w="709" w:type="dxa"/>
            <w:vMerge/>
            <w:tcBorders>
              <w:left w:val="single" w:sz="4" w:space="0" w:color="auto"/>
              <w:right w:val="single" w:sz="4" w:space="0" w:color="auto"/>
              <w:tl2br w:val="single" w:sz="4" w:space="0" w:color="auto"/>
            </w:tcBorders>
          </w:tcPr>
          <w:p w14:paraId="7006EA1D" w14:textId="77777777" w:rsidR="00FF55AB" w:rsidRPr="009D11AD" w:rsidRDefault="00FF55AB" w:rsidP="007064BE">
            <w:pPr>
              <w:overflowPunct w:val="0"/>
              <w:snapToGrid w:val="0"/>
              <w:spacing w:line="270" w:lineRule="exact"/>
              <w:jc w:val="both"/>
              <w:rPr>
                <w:rFonts w:ascii="標楷體" w:eastAsia="標楷體" w:hAnsi="標楷體"/>
                <w:noProof/>
                <w:color w:val="000000" w:themeColor="text1"/>
                <w:sz w:val="20"/>
              </w:rPr>
            </w:pPr>
          </w:p>
        </w:tc>
      </w:tr>
      <w:tr w:rsidR="00FF55AB" w:rsidRPr="009D11AD" w14:paraId="640040F6" w14:textId="77777777" w:rsidTr="007064BE">
        <w:tc>
          <w:tcPr>
            <w:tcW w:w="9214" w:type="dxa"/>
            <w:tcBorders>
              <w:top w:val="single" w:sz="4" w:space="0" w:color="auto"/>
              <w:left w:val="single" w:sz="4" w:space="0" w:color="auto"/>
              <w:bottom w:val="single" w:sz="4" w:space="0" w:color="auto"/>
              <w:right w:val="single" w:sz="4" w:space="0" w:color="auto"/>
            </w:tcBorders>
          </w:tcPr>
          <w:p w14:paraId="1B11D3FF" w14:textId="5125CA4F" w:rsidR="00FF55AB" w:rsidRPr="009D11AD" w:rsidRDefault="00FF55AB" w:rsidP="007D500F">
            <w:pPr>
              <w:overflowPunct w:val="0"/>
              <w:snapToGrid w:val="0"/>
              <w:spacing w:line="260" w:lineRule="exact"/>
              <w:ind w:left="960" w:hangingChars="480" w:hanging="96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二十一）原住民族委員會推動各項原住民族經濟產業發展措施，有助保障及發展原住民族經濟產業，惟產業供需調研子項計畫辦理系統功能更新維護，與原規劃建構系統目的不符；部分布建原住民族商品產銷通路據點營業額未達目標值或工程進度落後，且營運均持續呈現虧損，仍須持續挹注資源；補助辦理扶植產業聚落計畫，因審查水土保持計畫書時程延遲、規劃設計變更，及未依規定落實審核補助案件施作範圍取得建築許可等，致部分計畫執行進度落後或終止辦理，均待研謀檢討改善。</w:t>
            </w:r>
          </w:p>
        </w:tc>
        <w:tc>
          <w:tcPr>
            <w:tcW w:w="709" w:type="dxa"/>
            <w:vMerge/>
            <w:tcBorders>
              <w:left w:val="single" w:sz="4" w:space="0" w:color="auto"/>
              <w:right w:val="single" w:sz="4" w:space="0" w:color="auto"/>
              <w:tl2br w:val="single" w:sz="4" w:space="0" w:color="auto"/>
            </w:tcBorders>
          </w:tcPr>
          <w:p w14:paraId="15FE9E01" w14:textId="77777777" w:rsidR="00FF55AB" w:rsidRPr="009D11AD" w:rsidRDefault="00FF55AB" w:rsidP="007064BE">
            <w:pPr>
              <w:overflowPunct w:val="0"/>
              <w:snapToGrid w:val="0"/>
              <w:spacing w:line="270" w:lineRule="exact"/>
              <w:jc w:val="both"/>
              <w:rPr>
                <w:rFonts w:ascii="標楷體" w:eastAsia="標楷體" w:hAnsi="標楷體"/>
                <w:noProof/>
                <w:color w:val="000000" w:themeColor="text1"/>
                <w:sz w:val="20"/>
              </w:rPr>
            </w:pPr>
          </w:p>
        </w:tc>
      </w:tr>
    </w:tbl>
    <w:p w14:paraId="43A2FCA8" w14:textId="77777777" w:rsidR="007064BE" w:rsidRPr="009D11AD" w:rsidRDefault="007064BE" w:rsidP="007064BE">
      <w:pPr>
        <w:overflowPunct w:val="0"/>
        <w:spacing w:beforeLines="50" w:before="180" w:afterLines="30" w:after="108" w:line="240" w:lineRule="exact"/>
        <w:jc w:val="center"/>
        <w:rPr>
          <w:rFonts w:ascii="標楷體" w:eastAsia="標楷體" w:hAnsi="標楷體"/>
          <w:b/>
          <w:color w:val="000000" w:themeColor="text1"/>
          <w:szCs w:val="24"/>
        </w:rPr>
      </w:pPr>
      <w:r w:rsidRPr="009D11AD">
        <w:rPr>
          <w:rFonts w:ascii="標楷體" w:eastAsia="標楷體" w:hAnsi="標楷體" w:hint="eastAsia"/>
          <w:b/>
          <w:color w:val="000000" w:themeColor="text1"/>
          <w:szCs w:val="24"/>
        </w:rPr>
        <w:lastRenderedPageBreak/>
        <w:t>表3</w:t>
      </w:r>
      <w:r>
        <w:rPr>
          <w:rFonts w:ascii="標楷體" w:eastAsia="標楷體" w:hAnsi="標楷體" w:hint="eastAsia"/>
          <w:b/>
          <w:color w:val="000000" w:themeColor="text1"/>
          <w:szCs w:val="24"/>
        </w:rPr>
        <w:t>0</w:t>
      </w:r>
      <w:r w:rsidRPr="009D11AD">
        <w:rPr>
          <w:rFonts w:ascii="標楷體" w:eastAsia="標楷體" w:hAnsi="標楷體" w:hint="eastAsia"/>
          <w:b/>
          <w:color w:val="000000" w:themeColor="text1"/>
          <w:szCs w:val="24"/>
        </w:rPr>
        <w:t xml:space="preserve">　</w:t>
      </w:r>
      <w:r w:rsidRPr="009D11AD">
        <w:rPr>
          <w:rFonts w:ascii="標楷體" w:eastAsia="標楷體" w:hAnsi="標楷體"/>
          <w:b/>
          <w:color w:val="000000" w:themeColor="text1"/>
          <w:szCs w:val="24"/>
        </w:rPr>
        <w:t>1</w:t>
      </w:r>
      <w:r w:rsidRPr="009D11AD">
        <w:rPr>
          <w:rFonts w:ascii="標楷體" w:eastAsia="標楷體" w:hAnsi="標楷體" w:hint="eastAsia"/>
          <w:b/>
          <w:color w:val="000000" w:themeColor="text1"/>
          <w:szCs w:val="24"/>
        </w:rPr>
        <w:t>10年度審核報告所列行政院主管普通公務相關重要審核意見覆核辦理情形（續）</w:t>
      </w:r>
    </w:p>
    <w:tbl>
      <w:tblPr>
        <w:tblW w:w="992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9214"/>
        <w:gridCol w:w="709"/>
      </w:tblGrid>
      <w:tr w:rsidR="007064BE" w:rsidRPr="009D11AD" w14:paraId="6542E198" w14:textId="77777777" w:rsidTr="007064BE">
        <w:trPr>
          <w:trHeight w:val="280"/>
          <w:tblHeader/>
        </w:trPr>
        <w:tc>
          <w:tcPr>
            <w:tcW w:w="9214" w:type="dxa"/>
            <w:tcBorders>
              <w:top w:val="single" w:sz="4" w:space="0" w:color="auto"/>
              <w:left w:val="single" w:sz="4" w:space="0" w:color="auto"/>
              <w:bottom w:val="single" w:sz="4" w:space="0" w:color="auto"/>
              <w:right w:val="single" w:sz="4" w:space="0" w:color="auto"/>
            </w:tcBorders>
            <w:vAlign w:val="center"/>
          </w:tcPr>
          <w:p w14:paraId="5EC3835C" w14:textId="77777777" w:rsidR="007064BE" w:rsidRPr="009D11AD" w:rsidRDefault="007064BE" w:rsidP="001C73E2">
            <w:pPr>
              <w:overflowPunct w:val="0"/>
              <w:spacing w:line="320" w:lineRule="exact"/>
              <w:jc w:val="center"/>
              <w:rPr>
                <w:rFonts w:ascii="標楷體" w:eastAsia="標楷體" w:hAnsi="標楷體"/>
                <w:color w:val="000000" w:themeColor="text1"/>
                <w:sz w:val="20"/>
              </w:rPr>
            </w:pPr>
            <w:r w:rsidRPr="009D11AD">
              <w:rPr>
                <w:rFonts w:ascii="標楷體" w:eastAsia="標楷體" w:hAnsi="標楷體" w:hint="eastAsia"/>
                <w:color w:val="000000" w:themeColor="text1"/>
                <w:sz w:val="20"/>
              </w:rPr>
              <w:t>重要審核意見標題</w:t>
            </w:r>
          </w:p>
        </w:tc>
        <w:tc>
          <w:tcPr>
            <w:tcW w:w="709" w:type="dxa"/>
            <w:tcBorders>
              <w:top w:val="single" w:sz="4" w:space="0" w:color="auto"/>
              <w:left w:val="single" w:sz="4" w:space="0" w:color="auto"/>
              <w:bottom w:val="single" w:sz="4" w:space="0" w:color="auto"/>
              <w:right w:val="single" w:sz="4" w:space="0" w:color="auto"/>
            </w:tcBorders>
            <w:vAlign w:val="center"/>
          </w:tcPr>
          <w:p w14:paraId="0D934175" w14:textId="77777777" w:rsidR="007064BE" w:rsidRPr="009D11AD" w:rsidRDefault="007064BE" w:rsidP="001C73E2">
            <w:pPr>
              <w:overflowPunct w:val="0"/>
              <w:spacing w:line="320" w:lineRule="exact"/>
              <w:jc w:val="center"/>
              <w:rPr>
                <w:rFonts w:ascii="標楷體" w:eastAsia="標楷體" w:hAnsi="標楷體"/>
                <w:color w:val="000000" w:themeColor="text1"/>
                <w:sz w:val="20"/>
              </w:rPr>
            </w:pPr>
            <w:r w:rsidRPr="009D11AD">
              <w:rPr>
                <w:rFonts w:ascii="標楷體" w:eastAsia="標楷體" w:hAnsi="標楷體" w:hint="eastAsia"/>
                <w:color w:val="000000" w:themeColor="text1"/>
                <w:sz w:val="20"/>
              </w:rPr>
              <w:t>說明</w:t>
            </w:r>
          </w:p>
        </w:tc>
      </w:tr>
      <w:tr w:rsidR="007064BE" w:rsidRPr="009D11AD" w14:paraId="530B6757" w14:textId="77777777" w:rsidTr="007064BE">
        <w:tc>
          <w:tcPr>
            <w:tcW w:w="9214" w:type="dxa"/>
            <w:tcBorders>
              <w:top w:val="single" w:sz="4" w:space="0" w:color="auto"/>
              <w:left w:val="single" w:sz="4" w:space="0" w:color="auto"/>
              <w:bottom w:val="single" w:sz="4" w:space="0" w:color="auto"/>
              <w:right w:val="single" w:sz="4" w:space="0" w:color="auto"/>
            </w:tcBorders>
          </w:tcPr>
          <w:p w14:paraId="7C215ED3" w14:textId="45C2A80F" w:rsidR="007064BE" w:rsidRPr="009D11AD" w:rsidRDefault="007064BE" w:rsidP="007D500F">
            <w:pPr>
              <w:overflowPunct w:val="0"/>
              <w:snapToGrid w:val="0"/>
              <w:spacing w:line="260" w:lineRule="exact"/>
              <w:ind w:left="940" w:hangingChars="470" w:hanging="94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（二十二）原住民族委員會推動重要社會發展計畫已具成效，惟辦理南島民族論壇6年計畫及原住民族教育文化知識體系中長程計畫部分事項，尚待持續研謀改善。</w:t>
            </w:r>
          </w:p>
        </w:tc>
        <w:tc>
          <w:tcPr>
            <w:tcW w:w="709" w:type="dxa"/>
            <w:vMerge w:val="restart"/>
            <w:tcBorders>
              <w:left w:val="single" w:sz="4" w:space="0" w:color="auto"/>
              <w:right w:val="single" w:sz="4" w:space="0" w:color="auto"/>
              <w:tl2br w:val="single" w:sz="4" w:space="0" w:color="auto"/>
            </w:tcBorders>
          </w:tcPr>
          <w:p w14:paraId="273FBB91" w14:textId="77777777" w:rsidR="007064BE" w:rsidRPr="009D11AD" w:rsidRDefault="007064BE" w:rsidP="007064BE">
            <w:pPr>
              <w:overflowPunct w:val="0"/>
              <w:snapToGrid w:val="0"/>
              <w:spacing w:line="260" w:lineRule="exact"/>
              <w:jc w:val="both"/>
              <w:rPr>
                <w:rFonts w:ascii="標楷體" w:eastAsia="標楷體" w:hAnsi="標楷體"/>
                <w:noProof/>
                <w:color w:val="000000" w:themeColor="text1"/>
                <w:sz w:val="20"/>
              </w:rPr>
            </w:pPr>
          </w:p>
        </w:tc>
      </w:tr>
      <w:tr w:rsidR="007064BE" w:rsidRPr="009D11AD" w14:paraId="21FDC60D" w14:textId="77777777" w:rsidTr="007064BE">
        <w:tc>
          <w:tcPr>
            <w:tcW w:w="9214" w:type="dxa"/>
            <w:tcBorders>
              <w:top w:val="single" w:sz="4" w:space="0" w:color="auto"/>
              <w:left w:val="single" w:sz="4" w:space="0" w:color="auto"/>
              <w:bottom w:val="single" w:sz="4" w:space="0" w:color="auto"/>
              <w:right w:val="single" w:sz="4" w:space="0" w:color="auto"/>
            </w:tcBorders>
          </w:tcPr>
          <w:p w14:paraId="6027CF57" w14:textId="57B61E5D" w:rsidR="007064BE" w:rsidRPr="009D11AD" w:rsidRDefault="007064BE" w:rsidP="007D500F">
            <w:pPr>
              <w:overflowPunct w:val="0"/>
              <w:snapToGrid w:val="0"/>
              <w:spacing w:line="260" w:lineRule="exact"/>
              <w:ind w:left="960" w:hangingChars="480" w:hanging="96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二十三）客家委員會辦理客家語言深植計畫，核有部分客語為通行語地區公務人員通過客語能力認證符合度比率未及4成；部分市縣政府、鄉（鎮、市、區）公所評核成績未達列等標準；110年度客語能力認證合格比率較106年度下降等情，允宜研謀改善。</w:t>
            </w:r>
          </w:p>
        </w:tc>
        <w:tc>
          <w:tcPr>
            <w:tcW w:w="709" w:type="dxa"/>
            <w:vMerge/>
            <w:tcBorders>
              <w:left w:val="single" w:sz="4" w:space="0" w:color="auto"/>
              <w:right w:val="single" w:sz="4" w:space="0" w:color="auto"/>
              <w:tl2br w:val="single" w:sz="4" w:space="0" w:color="auto"/>
            </w:tcBorders>
          </w:tcPr>
          <w:p w14:paraId="724A286D" w14:textId="77777777" w:rsidR="007064BE" w:rsidRPr="009D11AD" w:rsidRDefault="007064BE" w:rsidP="007064BE">
            <w:pPr>
              <w:overflowPunct w:val="0"/>
              <w:snapToGrid w:val="0"/>
              <w:spacing w:line="260" w:lineRule="exact"/>
              <w:jc w:val="both"/>
              <w:rPr>
                <w:rFonts w:ascii="標楷體" w:eastAsia="標楷體" w:hAnsi="標楷體"/>
                <w:noProof/>
                <w:color w:val="000000" w:themeColor="text1"/>
                <w:sz w:val="20"/>
              </w:rPr>
            </w:pPr>
          </w:p>
        </w:tc>
      </w:tr>
      <w:tr w:rsidR="007064BE" w:rsidRPr="009D11AD" w14:paraId="5C507192" w14:textId="77777777" w:rsidTr="007064BE">
        <w:tc>
          <w:tcPr>
            <w:tcW w:w="9214" w:type="dxa"/>
            <w:tcBorders>
              <w:top w:val="single" w:sz="4" w:space="0" w:color="auto"/>
              <w:left w:val="single" w:sz="4" w:space="0" w:color="auto"/>
              <w:bottom w:val="single" w:sz="4" w:space="0" w:color="auto"/>
              <w:right w:val="single" w:sz="4" w:space="0" w:color="auto"/>
            </w:tcBorders>
          </w:tcPr>
          <w:p w14:paraId="6859B2B4" w14:textId="77777777" w:rsidR="007064BE" w:rsidRPr="009D11AD" w:rsidRDefault="007064BE" w:rsidP="007064BE">
            <w:pPr>
              <w:overflowPunct w:val="0"/>
              <w:snapToGrid w:val="0"/>
              <w:spacing w:line="260" w:lineRule="exact"/>
              <w:ind w:left="994" w:hangingChars="497" w:hanging="994"/>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二十四）中央選舉委員會為便利人民徵求提議、提案及連署，依法建置電子連署系統，因陸續辦理資安防護措施，致系統迄未上線運作，亟待研謀改善，並協調相關機關解決各類憑證法律面及技術面問題，俾多元憑證使用電子連署系統，提升連署便利性。</w:t>
            </w:r>
          </w:p>
        </w:tc>
        <w:tc>
          <w:tcPr>
            <w:tcW w:w="709" w:type="dxa"/>
            <w:vMerge/>
            <w:tcBorders>
              <w:left w:val="single" w:sz="4" w:space="0" w:color="auto"/>
              <w:right w:val="single" w:sz="4" w:space="0" w:color="auto"/>
              <w:tl2br w:val="single" w:sz="4" w:space="0" w:color="auto"/>
            </w:tcBorders>
          </w:tcPr>
          <w:p w14:paraId="5429A29E" w14:textId="77777777" w:rsidR="007064BE" w:rsidRPr="009D11AD" w:rsidRDefault="007064BE" w:rsidP="007064BE">
            <w:pPr>
              <w:overflowPunct w:val="0"/>
              <w:snapToGrid w:val="0"/>
              <w:spacing w:line="260" w:lineRule="exact"/>
              <w:jc w:val="both"/>
              <w:rPr>
                <w:rFonts w:ascii="標楷體" w:eastAsia="標楷體" w:hAnsi="標楷體"/>
                <w:noProof/>
                <w:color w:val="000000" w:themeColor="text1"/>
                <w:sz w:val="20"/>
              </w:rPr>
            </w:pPr>
          </w:p>
        </w:tc>
      </w:tr>
      <w:tr w:rsidR="007064BE" w:rsidRPr="009D11AD" w14:paraId="1DED7971" w14:textId="77777777" w:rsidTr="007064BE">
        <w:tc>
          <w:tcPr>
            <w:tcW w:w="9214" w:type="dxa"/>
            <w:tcBorders>
              <w:top w:val="single" w:sz="4" w:space="0" w:color="auto"/>
              <w:left w:val="single" w:sz="4" w:space="0" w:color="auto"/>
              <w:bottom w:val="single" w:sz="4" w:space="0" w:color="auto"/>
              <w:right w:val="single" w:sz="4" w:space="0" w:color="auto"/>
            </w:tcBorders>
          </w:tcPr>
          <w:p w14:paraId="515083D3" w14:textId="0AE2E6F1" w:rsidR="007064BE" w:rsidRPr="009D11AD" w:rsidRDefault="007064BE" w:rsidP="007D500F">
            <w:pPr>
              <w:overflowPunct w:val="0"/>
              <w:snapToGrid w:val="0"/>
              <w:spacing w:line="260" w:lineRule="exact"/>
              <w:ind w:left="960" w:hangingChars="480" w:hanging="96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二十五）中央選舉委員會所屬辦理選舉選票及公報印製採購案，投標廠商涉有政府採購錯誤行為態樣所述圍標情事，惟機關人員於開、決標過程未即時發現；復未就移送檢方偵辦案件建立主動追蹤機制，致裁處權罹於時效，且未及時追繳廠商押標金，亟待研謀改善。</w:t>
            </w:r>
          </w:p>
        </w:tc>
        <w:tc>
          <w:tcPr>
            <w:tcW w:w="709" w:type="dxa"/>
            <w:vMerge/>
            <w:tcBorders>
              <w:left w:val="single" w:sz="4" w:space="0" w:color="auto"/>
              <w:right w:val="single" w:sz="4" w:space="0" w:color="auto"/>
              <w:tl2br w:val="single" w:sz="4" w:space="0" w:color="auto"/>
            </w:tcBorders>
          </w:tcPr>
          <w:p w14:paraId="18DE2992" w14:textId="77777777" w:rsidR="007064BE" w:rsidRPr="009D11AD" w:rsidRDefault="007064BE" w:rsidP="007064BE">
            <w:pPr>
              <w:overflowPunct w:val="0"/>
              <w:snapToGrid w:val="0"/>
              <w:spacing w:line="260" w:lineRule="exact"/>
              <w:jc w:val="both"/>
              <w:rPr>
                <w:rFonts w:ascii="標楷體" w:eastAsia="標楷體" w:hAnsi="標楷體"/>
                <w:noProof/>
                <w:color w:val="000000" w:themeColor="text1"/>
                <w:sz w:val="20"/>
              </w:rPr>
            </w:pPr>
          </w:p>
        </w:tc>
      </w:tr>
      <w:tr w:rsidR="007064BE" w:rsidRPr="009D11AD" w14:paraId="473F6AFA" w14:textId="77777777" w:rsidTr="007064BE">
        <w:tc>
          <w:tcPr>
            <w:tcW w:w="9214" w:type="dxa"/>
            <w:tcBorders>
              <w:top w:val="single" w:sz="4" w:space="0" w:color="auto"/>
              <w:left w:val="single" w:sz="4" w:space="0" w:color="auto"/>
              <w:bottom w:val="single" w:sz="4" w:space="0" w:color="auto"/>
              <w:right w:val="single" w:sz="4" w:space="0" w:color="auto"/>
            </w:tcBorders>
          </w:tcPr>
          <w:p w14:paraId="3A58AEC1" w14:textId="3DC24FAB" w:rsidR="007064BE" w:rsidRPr="009D11AD" w:rsidRDefault="007064BE" w:rsidP="007064BE">
            <w:pPr>
              <w:overflowPunct w:val="0"/>
              <w:snapToGrid w:val="0"/>
              <w:spacing w:line="260" w:lineRule="exact"/>
              <w:ind w:left="994" w:hangingChars="497" w:hanging="994"/>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二十六）國家通訊傳播委員會推動補助5G網路建設計畫及建置5G網路資安檢測實驗室，已完成5G基地臺2.6萬餘座，並達成110年度電波人口涵蓋率50％之階段目標，惟各市縣間涵蓋率差異甚巨，資安檢測實驗室亦因進度落後致生5G網路資安驗證空窗期風險，亟待研謀改善。</w:t>
            </w:r>
          </w:p>
        </w:tc>
        <w:tc>
          <w:tcPr>
            <w:tcW w:w="709" w:type="dxa"/>
            <w:vMerge/>
            <w:tcBorders>
              <w:left w:val="single" w:sz="4" w:space="0" w:color="auto"/>
              <w:right w:val="single" w:sz="4" w:space="0" w:color="auto"/>
              <w:tl2br w:val="single" w:sz="4" w:space="0" w:color="auto"/>
            </w:tcBorders>
          </w:tcPr>
          <w:p w14:paraId="7734FF9F" w14:textId="77777777" w:rsidR="007064BE" w:rsidRPr="009D11AD" w:rsidRDefault="007064BE" w:rsidP="007064BE">
            <w:pPr>
              <w:overflowPunct w:val="0"/>
              <w:snapToGrid w:val="0"/>
              <w:spacing w:line="260" w:lineRule="exact"/>
              <w:jc w:val="both"/>
              <w:rPr>
                <w:rFonts w:ascii="標楷體" w:eastAsia="標楷體" w:hAnsi="標楷體"/>
                <w:noProof/>
                <w:color w:val="000000" w:themeColor="text1"/>
                <w:sz w:val="20"/>
              </w:rPr>
            </w:pPr>
          </w:p>
        </w:tc>
      </w:tr>
      <w:tr w:rsidR="007064BE" w:rsidRPr="009D11AD" w14:paraId="4F84CFDF" w14:textId="77777777" w:rsidTr="007064BE">
        <w:tc>
          <w:tcPr>
            <w:tcW w:w="9214" w:type="dxa"/>
            <w:tcBorders>
              <w:top w:val="single" w:sz="4" w:space="0" w:color="auto"/>
              <w:left w:val="single" w:sz="4" w:space="0" w:color="auto"/>
              <w:bottom w:val="single" w:sz="4" w:space="0" w:color="auto"/>
              <w:right w:val="single" w:sz="4" w:space="0" w:color="auto"/>
            </w:tcBorders>
          </w:tcPr>
          <w:p w14:paraId="66F7C82B" w14:textId="62771BBA" w:rsidR="007064BE" w:rsidRPr="009D11AD" w:rsidRDefault="007064BE" w:rsidP="00AA737F">
            <w:pPr>
              <w:overflowPunct w:val="0"/>
              <w:snapToGrid w:val="0"/>
              <w:spacing w:line="260" w:lineRule="exact"/>
              <w:ind w:left="970" w:hangingChars="485" w:hanging="97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二十七）國立故宮博物院辦理新故宮計畫，全面強化北院及南院軟硬體設施及服務品質，惟間有物價上漲大幅增加工程經費，參觀人數與門票收入未有效提升及全國偏鄉學校參訪比率仍待加強等情，亟待研謀改善。</w:t>
            </w:r>
          </w:p>
        </w:tc>
        <w:tc>
          <w:tcPr>
            <w:tcW w:w="709" w:type="dxa"/>
            <w:vMerge/>
            <w:tcBorders>
              <w:left w:val="single" w:sz="4" w:space="0" w:color="auto"/>
              <w:right w:val="single" w:sz="4" w:space="0" w:color="auto"/>
              <w:tl2br w:val="single" w:sz="4" w:space="0" w:color="auto"/>
            </w:tcBorders>
          </w:tcPr>
          <w:p w14:paraId="4AC7012C" w14:textId="77777777" w:rsidR="007064BE" w:rsidRPr="009D11AD" w:rsidRDefault="007064BE" w:rsidP="007064BE">
            <w:pPr>
              <w:overflowPunct w:val="0"/>
              <w:snapToGrid w:val="0"/>
              <w:spacing w:line="260" w:lineRule="exact"/>
              <w:jc w:val="both"/>
              <w:rPr>
                <w:rFonts w:ascii="標楷體" w:eastAsia="標楷體" w:hAnsi="標楷體"/>
                <w:noProof/>
                <w:color w:val="000000" w:themeColor="text1"/>
                <w:sz w:val="20"/>
              </w:rPr>
            </w:pPr>
          </w:p>
        </w:tc>
      </w:tr>
      <w:tr w:rsidR="007064BE" w:rsidRPr="009D11AD" w14:paraId="43BDDB0E" w14:textId="77777777" w:rsidTr="007064BE">
        <w:tc>
          <w:tcPr>
            <w:tcW w:w="9214" w:type="dxa"/>
            <w:tcBorders>
              <w:top w:val="single" w:sz="4" w:space="0" w:color="auto"/>
              <w:left w:val="single" w:sz="4" w:space="0" w:color="auto"/>
              <w:bottom w:val="single" w:sz="4" w:space="0" w:color="auto"/>
              <w:right w:val="single" w:sz="4" w:space="0" w:color="auto"/>
            </w:tcBorders>
          </w:tcPr>
          <w:p w14:paraId="22A06E7A" w14:textId="4CA61574" w:rsidR="007064BE" w:rsidRPr="009D11AD" w:rsidRDefault="007064BE" w:rsidP="007D500F">
            <w:pPr>
              <w:overflowPunct w:val="0"/>
              <w:snapToGrid w:val="0"/>
              <w:spacing w:line="260" w:lineRule="exact"/>
              <w:ind w:left="960" w:hangingChars="480" w:hanging="96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二十八）機關辦理用戶用電設備工程及用電場所檢驗維護採購，攸關維護用電安全及正常營運機能，惟間有招標、審標或履約管理作業欠周，衍生廠商違規經營業務情事，亟待加強宣導及完備採購規章，以確保施工及檢驗維護品質。</w:t>
            </w:r>
          </w:p>
        </w:tc>
        <w:tc>
          <w:tcPr>
            <w:tcW w:w="709" w:type="dxa"/>
            <w:vMerge/>
            <w:tcBorders>
              <w:left w:val="single" w:sz="4" w:space="0" w:color="auto"/>
              <w:right w:val="single" w:sz="4" w:space="0" w:color="auto"/>
              <w:tl2br w:val="single" w:sz="4" w:space="0" w:color="auto"/>
            </w:tcBorders>
          </w:tcPr>
          <w:p w14:paraId="7FBAFE61" w14:textId="77777777" w:rsidR="007064BE" w:rsidRPr="009D11AD" w:rsidRDefault="007064BE" w:rsidP="007064BE">
            <w:pPr>
              <w:overflowPunct w:val="0"/>
              <w:snapToGrid w:val="0"/>
              <w:spacing w:line="260" w:lineRule="exact"/>
              <w:jc w:val="both"/>
              <w:rPr>
                <w:rFonts w:ascii="標楷體" w:eastAsia="標楷體" w:hAnsi="標楷體"/>
                <w:noProof/>
                <w:color w:val="000000" w:themeColor="text1"/>
                <w:sz w:val="20"/>
              </w:rPr>
            </w:pPr>
          </w:p>
        </w:tc>
      </w:tr>
      <w:tr w:rsidR="007064BE" w:rsidRPr="009D11AD" w14:paraId="60549696" w14:textId="77777777" w:rsidTr="007064BE">
        <w:tc>
          <w:tcPr>
            <w:tcW w:w="9214" w:type="dxa"/>
            <w:tcBorders>
              <w:top w:val="single" w:sz="4" w:space="0" w:color="auto"/>
              <w:left w:val="single" w:sz="4" w:space="0" w:color="auto"/>
              <w:bottom w:val="single" w:sz="4" w:space="0" w:color="auto"/>
              <w:right w:val="single" w:sz="4" w:space="0" w:color="auto"/>
            </w:tcBorders>
          </w:tcPr>
          <w:p w14:paraId="22574840" w14:textId="531EDD14" w:rsidR="007064BE" w:rsidRPr="009D11AD" w:rsidRDefault="007064BE" w:rsidP="007D500F">
            <w:pPr>
              <w:overflowPunct w:val="0"/>
              <w:snapToGrid w:val="0"/>
              <w:spacing w:line="260" w:lineRule="exact"/>
              <w:ind w:left="980" w:hangingChars="490" w:hanging="980"/>
              <w:jc w:val="both"/>
              <w:rPr>
                <w:rFonts w:ascii="標楷體" w:eastAsia="標楷體" w:hAnsi="標楷體"/>
                <w:noProof/>
                <w:color w:val="000000" w:themeColor="text1"/>
                <w:sz w:val="20"/>
              </w:rPr>
            </w:pPr>
            <w:r w:rsidRPr="009D11AD">
              <w:rPr>
                <w:rFonts w:ascii="標楷體" w:eastAsia="標楷體" w:hAnsi="標楷體" w:hint="eastAsia"/>
                <w:noProof/>
                <w:color w:val="000000" w:themeColor="text1"/>
                <w:sz w:val="20"/>
              </w:rPr>
              <w:t>（二十九）公共工程實施專業技師簽證制度，有助提升技術服務品質，惟相關簽證作業、系統管考及技師簽證規則未臻周妥，實施範圍未全面納入我國關鍵基礎設施，亟待檢討改善，以維護公共衛生安全及強化整體防災韌性。</w:t>
            </w:r>
          </w:p>
        </w:tc>
        <w:tc>
          <w:tcPr>
            <w:tcW w:w="709" w:type="dxa"/>
            <w:vMerge/>
            <w:tcBorders>
              <w:left w:val="single" w:sz="4" w:space="0" w:color="auto"/>
              <w:right w:val="single" w:sz="4" w:space="0" w:color="auto"/>
              <w:tl2br w:val="single" w:sz="4" w:space="0" w:color="auto"/>
            </w:tcBorders>
          </w:tcPr>
          <w:p w14:paraId="097B756D" w14:textId="77777777" w:rsidR="007064BE" w:rsidRPr="009D11AD" w:rsidRDefault="007064BE" w:rsidP="007064BE">
            <w:pPr>
              <w:overflowPunct w:val="0"/>
              <w:snapToGrid w:val="0"/>
              <w:spacing w:line="260" w:lineRule="exact"/>
              <w:jc w:val="both"/>
              <w:rPr>
                <w:rFonts w:ascii="標楷體" w:eastAsia="標楷體" w:hAnsi="標楷體"/>
                <w:noProof/>
                <w:color w:val="000000" w:themeColor="text1"/>
                <w:sz w:val="20"/>
              </w:rPr>
            </w:pPr>
          </w:p>
        </w:tc>
      </w:tr>
    </w:tbl>
    <w:p w14:paraId="0C3F71DC" w14:textId="37C8AFB2" w:rsidR="007E4578" w:rsidRPr="009D11AD" w:rsidRDefault="007E4578" w:rsidP="00DA2751">
      <w:pPr>
        <w:pStyle w:val="10"/>
        <w:overflowPunct w:val="0"/>
        <w:spacing w:beforeLines="20" w:before="72" w:afterLines="20" w:after="72" w:line="460" w:lineRule="exact"/>
        <w:ind w:firstLineChars="100" w:firstLine="320"/>
        <w:rPr>
          <w:rFonts w:ascii="標楷體" w:eastAsia="標楷體" w:hAnsi="標楷體"/>
          <w:color w:val="000000" w:themeColor="text1"/>
          <w:sz w:val="32"/>
          <w:szCs w:val="32"/>
        </w:rPr>
      </w:pPr>
      <w:r w:rsidRPr="009D11AD">
        <w:rPr>
          <w:rFonts w:ascii="標楷體" w:eastAsia="標楷體" w:hAnsi="標楷體" w:hint="eastAsia"/>
          <w:color w:val="000000" w:themeColor="text1"/>
          <w:sz w:val="32"/>
          <w:szCs w:val="32"/>
        </w:rPr>
        <w:t>六、其他事項</w:t>
      </w:r>
    </w:p>
    <w:p w14:paraId="146A05A5" w14:textId="465E5BE4" w:rsidR="0066262F" w:rsidRPr="009D11AD" w:rsidRDefault="0066262F" w:rsidP="007064BE">
      <w:pPr>
        <w:overflowPunct w:val="0"/>
        <w:autoSpaceDE w:val="0"/>
        <w:autoSpaceDN w:val="0"/>
        <w:adjustRightInd w:val="0"/>
        <w:spacing w:line="410" w:lineRule="exact"/>
        <w:ind w:firstLineChars="200" w:firstLine="480"/>
        <w:jc w:val="both"/>
        <w:rPr>
          <w:rFonts w:ascii="標楷體" w:eastAsia="標楷體" w:hAnsi="標楷體"/>
          <w:kern w:val="0"/>
          <w:szCs w:val="24"/>
        </w:rPr>
      </w:pPr>
      <w:r w:rsidRPr="009D11AD">
        <w:rPr>
          <w:rFonts w:ascii="標楷體" w:eastAsia="標楷體" w:hAnsi="標楷體" w:hint="eastAsia"/>
          <w:kern w:val="0"/>
          <w:szCs w:val="24"/>
        </w:rPr>
        <w:t>行政院主管推動施政計畫之執行結果，前經本部查核後於審核報告揭露，並依法陳報監察院，嗣經監察院於1</w:t>
      </w:r>
      <w:r w:rsidRPr="009D11AD">
        <w:rPr>
          <w:rFonts w:ascii="標楷體" w:eastAsia="標楷體" w:hAnsi="標楷體"/>
          <w:kern w:val="0"/>
          <w:szCs w:val="24"/>
        </w:rPr>
        <w:t>1</w:t>
      </w:r>
      <w:r w:rsidRPr="009D11AD">
        <w:rPr>
          <w:rFonts w:ascii="標楷體" w:eastAsia="標楷體" w:hAnsi="標楷體" w:hint="eastAsia"/>
          <w:kern w:val="0"/>
          <w:szCs w:val="24"/>
        </w:rPr>
        <w:t>1年7月1日至112年6月30日間同意備查者，摘述如次：</w:t>
      </w:r>
    </w:p>
    <w:p w14:paraId="5D7DEFCC" w14:textId="59427034" w:rsidR="000D1A89" w:rsidRPr="00DA2751" w:rsidRDefault="0066262F" w:rsidP="007064BE">
      <w:pPr>
        <w:overflowPunct w:val="0"/>
        <w:autoSpaceDE w:val="0"/>
        <w:autoSpaceDN w:val="0"/>
        <w:adjustRightInd w:val="0"/>
        <w:spacing w:line="410" w:lineRule="exact"/>
        <w:ind w:firstLineChars="200" w:firstLine="480"/>
        <w:jc w:val="both"/>
        <w:rPr>
          <w:rFonts w:ascii="標楷體" w:eastAsia="標楷體" w:hAnsi="標楷體"/>
          <w:kern w:val="0"/>
          <w:szCs w:val="24"/>
        </w:rPr>
      </w:pPr>
      <w:r w:rsidRPr="00DA2751">
        <w:rPr>
          <w:rFonts w:ascii="標楷體" w:eastAsia="標楷體" w:hAnsi="標楷體" w:hint="eastAsia"/>
          <w:kern w:val="0"/>
          <w:szCs w:val="24"/>
        </w:rPr>
        <w:t>行政院推動強化政府基層機關資安防護及區域聯防計畫，核有區域二線資安聯防監控中心（下稱</w:t>
      </w:r>
      <w:r w:rsidRPr="00DA2751">
        <w:rPr>
          <w:rFonts w:ascii="標楷體" w:eastAsia="標楷體" w:hAnsi="標楷體"/>
          <w:kern w:val="0"/>
          <w:szCs w:val="24"/>
        </w:rPr>
        <w:t>SOC</w:t>
      </w:r>
      <w:r w:rsidRPr="00DA2751">
        <w:rPr>
          <w:rFonts w:ascii="標楷體" w:eastAsia="標楷體" w:hAnsi="標楷體" w:hint="eastAsia"/>
          <w:kern w:val="0"/>
          <w:szCs w:val="24"/>
        </w:rPr>
        <w:t>）以六都連結鄰近縣市政府進行一線</w:t>
      </w:r>
      <w:r w:rsidRPr="00DA2751">
        <w:rPr>
          <w:rFonts w:ascii="標楷體" w:eastAsia="標楷體" w:hAnsi="標楷體"/>
          <w:kern w:val="0"/>
          <w:szCs w:val="24"/>
        </w:rPr>
        <w:t>SOC</w:t>
      </w:r>
      <w:r w:rsidRPr="00DA2751">
        <w:rPr>
          <w:rFonts w:ascii="標楷體" w:eastAsia="標楷體" w:hAnsi="標楷體" w:hint="eastAsia"/>
          <w:kern w:val="0"/>
          <w:szCs w:val="24"/>
        </w:rPr>
        <w:t>關聯分析之制度設計，存有影響其有效穩定運作之固有風險，惟計畫規劃欠缺細緻之影響評估及對應措施，即補助建構各區域二線</w:t>
      </w:r>
      <w:r w:rsidRPr="00DA2751">
        <w:rPr>
          <w:rFonts w:ascii="標楷體" w:eastAsia="標楷體" w:hAnsi="標楷體"/>
          <w:kern w:val="0"/>
          <w:szCs w:val="24"/>
        </w:rPr>
        <w:t>SOC</w:t>
      </w:r>
      <w:r w:rsidRPr="00DA2751">
        <w:rPr>
          <w:rFonts w:ascii="標楷體" w:eastAsia="標楷體" w:hAnsi="標楷體" w:hint="eastAsia"/>
          <w:kern w:val="0"/>
          <w:szCs w:val="24"/>
        </w:rPr>
        <w:t>，終因促進區域聯防成效難以彰顯，政策調整建議各直轄市政府停止維運，計畫期間投入經費結果，未達建構效益；又計畫規劃以六都為核心建立區域電腦緊急應變中心（下稱</w:t>
      </w:r>
      <w:r w:rsidRPr="00DA2751">
        <w:rPr>
          <w:rFonts w:ascii="標楷體" w:eastAsia="標楷體" w:hAnsi="標楷體"/>
          <w:kern w:val="0"/>
          <w:szCs w:val="24"/>
        </w:rPr>
        <w:t>CERT</w:t>
      </w:r>
      <w:r w:rsidRPr="00DA2751">
        <w:rPr>
          <w:rFonts w:ascii="標楷體" w:eastAsia="標楷體" w:hAnsi="標楷體" w:hint="eastAsia"/>
          <w:kern w:val="0"/>
          <w:szCs w:val="24"/>
        </w:rPr>
        <w:t>），未審酌市縣政府資安事件應變處理實務，妥適研謀激勵區域</w:t>
      </w:r>
      <w:r w:rsidRPr="00DA2751">
        <w:rPr>
          <w:rFonts w:ascii="標楷體" w:eastAsia="標楷體" w:hAnsi="標楷體"/>
          <w:kern w:val="0"/>
          <w:szCs w:val="24"/>
        </w:rPr>
        <w:t>CERT</w:t>
      </w:r>
      <w:r w:rsidRPr="00DA2751">
        <w:rPr>
          <w:rFonts w:ascii="標楷體" w:eastAsia="標楷體" w:hAnsi="標楷體" w:hint="eastAsia"/>
          <w:kern w:val="0"/>
          <w:szCs w:val="24"/>
        </w:rPr>
        <w:t>發揮積極功能之配套措施，致區域</w:t>
      </w:r>
      <w:r w:rsidRPr="00DA2751">
        <w:rPr>
          <w:rFonts w:ascii="標楷體" w:eastAsia="標楷體" w:hAnsi="標楷體"/>
          <w:kern w:val="0"/>
          <w:szCs w:val="24"/>
        </w:rPr>
        <w:t>CERT</w:t>
      </w:r>
      <w:r w:rsidRPr="00DA2751">
        <w:rPr>
          <w:rFonts w:ascii="標楷體" w:eastAsia="標楷體" w:hAnsi="標楷體" w:hint="eastAsia"/>
          <w:kern w:val="0"/>
          <w:szCs w:val="24"/>
        </w:rPr>
        <w:t>運作結果，間有區域資安事件協處服務皆用於主政直轄市政府本身之資安事件，及部分區域建置資安事件通報平臺不具經濟效益，且補助經費挹注之產學合作、技術交流或教育訓練於計畫屆期後多未持續推動，未能發揮計畫長期效益等效能過低情事，經依審計法第</w:t>
      </w:r>
      <w:r w:rsidRPr="00DA2751">
        <w:rPr>
          <w:rFonts w:ascii="標楷體" w:eastAsia="標楷體" w:hAnsi="標楷體"/>
          <w:kern w:val="0"/>
          <w:szCs w:val="24"/>
        </w:rPr>
        <w:t>69</w:t>
      </w:r>
      <w:r w:rsidRPr="00DA2751">
        <w:rPr>
          <w:rFonts w:ascii="標楷體" w:eastAsia="標楷體" w:hAnsi="標楷體" w:hint="eastAsia"/>
          <w:kern w:val="0"/>
          <w:szCs w:val="24"/>
        </w:rPr>
        <w:t>條第</w:t>
      </w:r>
      <w:r w:rsidRPr="00DA2751">
        <w:rPr>
          <w:rFonts w:ascii="標楷體" w:eastAsia="標楷體" w:hAnsi="標楷體"/>
          <w:kern w:val="0"/>
          <w:szCs w:val="24"/>
        </w:rPr>
        <w:t>1</w:t>
      </w:r>
      <w:r w:rsidRPr="00DA2751">
        <w:rPr>
          <w:rFonts w:ascii="標楷體" w:eastAsia="標楷體" w:hAnsi="標楷體" w:hint="eastAsia"/>
          <w:kern w:val="0"/>
          <w:szCs w:val="24"/>
        </w:rPr>
        <w:t>項前段規定，函請行政院查明妥適處理，並報告監察院。嗣經行政院秘書長研提：相關經驗將作為後續計畫推動參考，包含降低資安意識落差、訂定較妥適之指標標準、效益評估機制及持續滾動調整，以擴大資源挹注成效；嗣後計畫推動將參照本次執行經驗，提醒各市縣政府審慎評估系統建置與維運之必要性、妥善分配資源，並依其持續營運資安措施之需求，作為後續政策推動及補助款分配之依據，以發揮整體效益等。案經本部陳報監察院，於</w:t>
      </w:r>
      <w:r w:rsidRPr="00DA2751">
        <w:rPr>
          <w:rFonts w:ascii="標楷體" w:eastAsia="標楷體" w:hAnsi="標楷體"/>
          <w:kern w:val="0"/>
          <w:szCs w:val="24"/>
        </w:rPr>
        <w:t>111年7月20日獲同意備查。</w:t>
      </w:r>
    </w:p>
    <w:sectPr w:rsidR="000D1A89" w:rsidRPr="00DA2751" w:rsidSect="00B92FC3">
      <w:footerReference w:type="even" r:id="rId50"/>
      <w:footerReference w:type="default" r:id="rId51"/>
      <w:pgSz w:w="11906" w:h="16838" w:code="9"/>
      <w:pgMar w:top="1418" w:right="851" w:bottom="1418" w:left="851" w:header="1021" w:footer="737" w:gutter="284"/>
      <w:pgNumType w:start="7"/>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BAB814" w14:textId="77777777" w:rsidR="00CB2228" w:rsidRDefault="00CB2228">
      <w:r>
        <w:separator/>
      </w:r>
    </w:p>
  </w:endnote>
  <w:endnote w:type="continuationSeparator" w:id="0">
    <w:p w14:paraId="07B1457F" w14:textId="77777777" w:rsidR="00CB2228" w:rsidRDefault="00CB22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華康楷書體W5">
    <w:altName w:val="Arial Unicode MS"/>
    <w:charset w:val="88"/>
    <w:family w:val="script"/>
    <w:pitch w:val="fixed"/>
    <w:sig w:usb0="00000000"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華康儷中黑">
    <w:altName w:val="新細明體"/>
    <w:charset w:val="88"/>
    <w:family w:val="modern"/>
    <w:pitch w:val="default"/>
    <w:sig w:usb0="00000000" w:usb1="00000000" w:usb2="00000010" w:usb3="00000000" w:csb0="00100000" w:csb1="00000000"/>
  </w:font>
  <w:font w:name="Century">
    <w:panose1 w:val="02040604050505020304"/>
    <w:charset w:val="00"/>
    <w:family w:val="roman"/>
    <w:pitch w:val="variable"/>
    <w:sig w:usb0="00000287" w:usb1="00000000" w:usb2="00000000" w:usb3="00000000" w:csb0="0000009F" w:csb1="00000000"/>
  </w:font>
  <w:font w:name="標楷體a分...">
    <w:altName w:val="標楷體"/>
    <w:panose1 w:val="00000000000000000000"/>
    <w:charset w:val="88"/>
    <w:family w:val="script"/>
    <w:notTrueType/>
    <w:pitch w:val="default"/>
    <w:sig w:usb0="00000001" w:usb1="08080000" w:usb2="00000010" w:usb3="00000000" w:csb0="00100000" w:csb1="00000000"/>
  </w:font>
  <w:font w:name="DFKaiShu-SB-Estd-BF">
    <w:altName w:val="細明體"/>
    <w:panose1 w:val="00000000000000000000"/>
    <w:charset w:val="88"/>
    <w:family w:val="auto"/>
    <w:notTrueType/>
    <w:pitch w:val="default"/>
    <w:sig w:usb0="00000001" w:usb1="080E0000" w:usb2="00000010" w:usb3="00000000" w:csb0="0014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8"/>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3804991"/>
      <w:docPartObj>
        <w:docPartGallery w:val="Page Numbers (Bottom of Page)"/>
        <w:docPartUnique/>
      </w:docPartObj>
    </w:sdtPr>
    <w:sdtEndPr>
      <w:rPr>
        <w:rFonts w:ascii="標楷體" w:eastAsia="標楷體" w:hAnsi="標楷體"/>
      </w:rPr>
    </w:sdtEndPr>
    <w:sdtContent>
      <w:p w14:paraId="361E0F8A" w14:textId="6B0343A1" w:rsidR="00CE57F9" w:rsidRPr="00883B45" w:rsidRDefault="00CE57F9" w:rsidP="00883B45">
        <w:pPr>
          <w:pStyle w:val="a8"/>
          <w:jc w:val="center"/>
          <w:rPr>
            <w:rFonts w:ascii="標楷體" w:eastAsia="標楷體" w:hAnsi="標楷體"/>
          </w:rPr>
        </w:pPr>
        <w:r w:rsidRPr="00763442">
          <w:rPr>
            <w:rFonts w:ascii="標楷體" w:eastAsia="標楷體" w:hAnsi="標楷體"/>
          </w:rPr>
          <w:t>丙－</w:t>
        </w:r>
        <w:r w:rsidRPr="00763442">
          <w:rPr>
            <w:rFonts w:ascii="標楷體" w:eastAsia="標楷體" w:hAnsi="標楷體"/>
          </w:rPr>
          <w:fldChar w:fldCharType="begin"/>
        </w:r>
        <w:r w:rsidRPr="00763442">
          <w:rPr>
            <w:rFonts w:ascii="標楷體" w:eastAsia="標楷體" w:hAnsi="標楷體"/>
          </w:rPr>
          <w:instrText>PAGE   \* MERGEFORMAT</w:instrText>
        </w:r>
        <w:r w:rsidRPr="00763442">
          <w:rPr>
            <w:rFonts w:ascii="標楷體" w:eastAsia="標楷體" w:hAnsi="標楷體"/>
          </w:rPr>
          <w:fldChar w:fldCharType="separate"/>
        </w:r>
        <w:r w:rsidR="00956E5D" w:rsidRPr="00956E5D">
          <w:rPr>
            <w:rFonts w:ascii="標楷體" w:eastAsia="標楷體" w:hAnsi="標楷體"/>
            <w:noProof/>
            <w:lang w:val="zh-TW"/>
          </w:rPr>
          <w:t>30</w:t>
        </w:r>
        <w:r w:rsidRPr="00763442">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04824339"/>
      <w:docPartObj>
        <w:docPartGallery w:val="Page Numbers (Bottom of Page)"/>
        <w:docPartUnique/>
      </w:docPartObj>
    </w:sdtPr>
    <w:sdtEndPr>
      <w:rPr>
        <w:rFonts w:ascii="標楷體" w:eastAsia="標楷體" w:hAnsi="標楷體"/>
      </w:rPr>
    </w:sdtEndPr>
    <w:sdtContent>
      <w:p w14:paraId="4C625ECE" w14:textId="105F6EA6" w:rsidR="00CE57F9" w:rsidRPr="00763442" w:rsidRDefault="00CE57F9">
        <w:pPr>
          <w:pStyle w:val="a8"/>
          <w:jc w:val="center"/>
          <w:rPr>
            <w:rFonts w:ascii="標楷體" w:eastAsia="標楷體" w:hAnsi="標楷體"/>
          </w:rPr>
        </w:pPr>
        <w:r w:rsidRPr="00763442">
          <w:rPr>
            <w:rFonts w:ascii="標楷體" w:eastAsia="標楷體" w:hAnsi="標楷體"/>
          </w:rPr>
          <w:t>丙－</w:t>
        </w:r>
        <w:r w:rsidRPr="00763442">
          <w:rPr>
            <w:rFonts w:ascii="標楷體" w:eastAsia="標楷體" w:hAnsi="標楷體"/>
          </w:rPr>
          <w:fldChar w:fldCharType="begin"/>
        </w:r>
        <w:r w:rsidRPr="00763442">
          <w:rPr>
            <w:rFonts w:ascii="標楷體" w:eastAsia="標楷體" w:hAnsi="標楷體"/>
          </w:rPr>
          <w:instrText>PAGE   \* MERGEFORMAT</w:instrText>
        </w:r>
        <w:r w:rsidRPr="00763442">
          <w:rPr>
            <w:rFonts w:ascii="標楷體" w:eastAsia="標楷體" w:hAnsi="標楷體"/>
          </w:rPr>
          <w:fldChar w:fldCharType="separate"/>
        </w:r>
        <w:r w:rsidR="00956E5D" w:rsidRPr="00956E5D">
          <w:rPr>
            <w:rFonts w:ascii="標楷體" w:eastAsia="標楷體" w:hAnsi="標楷體"/>
            <w:noProof/>
            <w:lang w:val="zh-TW"/>
          </w:rPr>
          <w:t>31</w:t>
        </w:r>
        <w:r w:rsidRPr="00763442">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02E819" w14:textId="77777777" w:rsidR="00CB2228" w:rsidRDefault="00CB2228">
      <w:r>
        <w:separator/>
      </w:r>
    </w:p>
  </w:footnote>
  <w:footnote w:type="continuationSeparator" w:id="0">
    <w:p w14:paraId="57017ECB" w14:textId="77777777" w:rsidR="00CB2228" w:rsidRDefault="00CB222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B65BDB"/>
    <w:multiLevelType w:val="hybridMultilevel"/>
    <w:tmpl w:val="BA6676E6"/>
    <w:lvl w:ilvl="0" w:tplc="4E462444">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02227F78"/>
    <w:multiLevelType w:val="hybridMultilevel"/>
    <w:tmpl w:val="C6649E3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2E42600"/>
    <w:multiLevelType w:val="hybridMultilevel"/>
    <w:tmpl w:val="AA9CA61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5484907"/>
    <w:multiLevelType w:val="hybridMultilevel"/>
    <w:tmpl w:val="6C08E57C"/>
    <w:lvl w:ilvl="0" w:tplc="03C26650">
      <w:numFmt w:val="bullet"/>
      <w:lvlText w:val="-"/>
      <w:lvlJc w:val="left"/>
      <w:pPr>
        <w:ind w:left="720" w:hanging="360"/>
      </w:pPr>
      <w:rPr>
        <w:rFonts w:ascii="標楷體" w:eastAsia="標楷體" w:hAnsi="標楷體" w:cs="Times New Roman"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4" w15:restartNumberingAfterBreak="0">
    <w:nsid w:val="08903580"/>
    <w:multiLevelType w:val="hybridMultilevel"/>
    <w:tmpl w:val="FB0482B0"/>
    <w:lvl w:ilvl="0" w:tplc="1630AAB4">
      <w:numFmt w:val="decimalZero"/>
      <w:lvlText w:val="（%1）"/>
      <w:lvlJc w:val="left"/>
      <w:pPr>
        <w:ind w:left="5520" w:hanging="1125"/>
      </w:pPr>
      <w:rPr>
        <w:rFonts w:hint="default"/>
        <w:lang w:val="en-US"/>
      </w:rPr>
    </w:lvl>
    <w:lvl w:ilvl="1" w:tplc="04090019" w:tentative="1">
      <w:start w:val="1"/>
      <w:numFmt w:val="ideographTraditional"/>
      <w:lvlText w:val="%2、"/>
      <w:lvlJc w:val="left"/>
      <w:pPr>
        <w:ind w:left="5355" w:hanging="480"/>
      </w:pPr>
    </w:lvl>
    <w:lvl w:ilvl="2" w:tplc="0409001B" w:tentative="1">
      <w:start w:val="1"/>
      <w:numFmt w:val="lowerRoman"/>
      <w:lvlText w:val="%3."/>
      <w:lvlJc w:val="right"/>
      <w:pPr>
        <w:ind w:left="5835" w:hanging="480"/>
      </w:pPr>
    </w:lvl>
    <w:lvl w:ilvl="3" w:tplc="0409000F" w:tentative="1">
      <w:start w:val="1"/>
      <w:numFmt w:val="decimal"/>
      <w:lvlText w:val="%4."/>
      <w:lvlJc w:val="left"/>
      <w:pPr>
        <w:ind w:left="6315" w:hanging="480"/>
      </w:pPr>
    </w:lvl>
    <w:lvl w:ilvl="4" w:tplc="04090019" w:tentative="1">
      <w:start w:val="1"/>
      <w:numFmt w:val="ideographTraditional"/>
      <w:lvlText w:val="%5、"/>
      <w:lvlJc w:val="left"/>
      <w:pPr>
        <w:ind w:left="6795" w:hanging="480"/>
      </w:pPr>
    </w:lvl>
    <w:lvl w:ilvl="5" w:tplc="0409001B" w:tentative="1">
      <w:start w:val="1"/>
      <w:numFmt w:val="lowerRoman"/>
      <w:lvlText w:val="%6."/>
      <w:lvlJc w:val="right"/>
      <w:pPr>
        <w:ind w:left="7275" w:hanging="480"/>
      </w:pPr>
    </w:lvl>
    <w:lvl w:ilvl="6" w:tplc="0409000F" w:tentative="1">
      <w:start w:val="1"/>
      <w:numFmt w:val="decimal"/>
      <w:lvlText w:val="%7."/>
      <w:lvlJc w:val="left"/>
      <w:pPr>
        <w:ind w:left="7755" w:hanging="480"/>
      </w:pPr>
    </w:lvl>
    <w:lvl w:ilvl="7" w:tplc="04090019" w:tentative="1">
      <w:start w:val="1"/>
      <w:numFmt w:val="ideographTraditional"/>
      <w:lvlText w:val="%8、"/>
      <w:lvlJc w:val="left"/>
      <w:pPr>
        <w:ind w:left="8235" w:hanging="480"/>
      </w:pPr>
    </w:lvl>
    <w:lvl w:ilvl="8" w:tplc="0409001B" w:tentative="1">
      <w:start w:val="1"/>
      <w:numFmt w:val="lowerRoman"/>
      <w:lvlText w:val="%9."/>
      <w:lvlJc w:val="right"/>
      <w:pPr>
        <w:ind w:left="8715" w:hanging="480"/>
      </w:pPr>
    </w:lvl>
  </w:abstractNum>
  <w:abstractNum w:abstractNumId="5" w15:restartNumberingAfterBreak="0">
    <w:nsid w:val="08D576AB"/>
    <w:multiLevelType w:val="hybridMultilevel"/>
    <w:tmpl w:val="506A483C"/>
    <w:lvl w:ilvl="0" w:tplc="D828FCA0">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090C45BE"/>
    <w:multiLevelType w:val="hybridMultilevel"/>
    <w:tmpl w:val="A1AA89BE"/>
    <w:lvl w:ilvl="0" w:tplc="D5A6EDB4">
      <w:start w:val="6"/>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0A7A16EE"/>
    <w:multiLevelType w:val="hybridMultilevel"/>
    <w:tmpl w:val="FA40164A"/>
    <w:lvl w:ilvl="0" w:tplc="58121B68">
      <w:start w:val="1"/>
      <w:numFmt w:val="decimal"/>
      <w:lvlText w:val="%1."/>
      <w:lvlJc w:val="left"/>
      <w:pPr>
        <w:tabs>
          <w:tab w:val="num" w:pos="360"/>
        </w:tabs>
        <w:ind w:left="360" w:hanging="360"/>
      </w:pPr>
      <w:rPr>
        <w:rFonts w:cs="Times New Roman" w:hint="default"/>
        <w:b w:val="0"/>
        <w:sz w:val="28"/>
        <w:szCs w:val="28"/>
        <w:u w:val="single"/>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8" w15:restartNumberingAfterBreak="0">
    <w:nsid w:val="0C850763"/>
    <w:multiLevelType w:val="hybridMultilevel"/>
    <w:tmpl w:val="A5BCADE6"/>
    <w:lvl w:ilvl="0" w:tplc="F138B300">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12E16A15"/>
    <w:multiLevelType w:val="hybridMultilevel"/>
    <w:tmpl w:val="B292FA42"/>
    <w:lvl w:ilvl="0" w:tplc="74660456">
      <w:start w:val="6"/>
      <w:numFmt w:val="bullet"/>
      <w:lvlText w:val="-"/>
      <w:lvlJc w:val="left"/>
      <w:pPr>
        <w:ind w:left="720" w:hanging="360"/>
      </w:pPr>
      <w:rPr>
        <w:rFonts w:ascii="標楷體" w:eastAsia="標楷體" w:hAnsi="標楷體" w:cs="新細明體"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0" w15:restartNumberingAfterBreak="0">
    <w:nsid w:val="140E010C"/>
    <w:multiLevelType w:val="multilevel"/>
    <w:tmpl w:val="5E122E96"/>
    <w:lvl w:ilvl="0">
      <w:start w:val="1"/>
      <w:numFmt w:val="ideographLegalTraditional"/>
      <w:suff w:val="nothing"/>
      <w:lvlText w:val="%1、"/>
      <w:lvlJc w:val="left"/>
      <w:pPr>
        <w:ind w:left="699" w:hanging="699"/>
      </w:pPr>
      <w:rPr>
        <w:rFonts w:ascii="標楷體" w:eastAsia="標楷體" w:cs="Times New Roman" w:hint="eastAsia"/>
        <w:b w:val="0"/>
        <w:i w:val="0"/>
        <w:snapToGrid/>
        <w:spacing w:val="0"/>
        <w:w w:val="100"/>
        <w:position w:val="0"/>
        <w:sz w:val="32"/>
      </w:rPr>
    </w:lvl>
    <w:lvl w:ilvl="1">
      <w:start w:val="1"/>
      <w:numFmt w:val="taiwaneseCountingThousand"/>
      <w:suff w:val="nothing"/>
      <w:lvlText w:val="%2、"/>
      <w:lvlJc w:val="left"/>
      <w:pPr>
        <w:ind w:left="1207" w:hanging="697"/>
      </w:pPr>
      <w:rPr>
        <w:rFonts w:ascii="標楷體" w:eastAsia="標楷體" w:cs="Times New Roman" w:hint="eastAsia"/>
        <w:b w:val="0"/>
        <w:i w:val="0"/>
        <w:snapToGrid/>
        <w:spacing w:val="0"/>
        <w:w w:val="100"/>
        <w:position w:val="0"/>
        <w:sz w:val="32"/>
      </w:rPr>
    </w:lvl>
    <w:lvl w:ilvl="2">
      <w:start w:val="1"/>
      <w:numFmt w:val="taiwaneseCountingThousand"/>
      <w:suff w:val="nothing"/>
      <w:lvlText w:val="(%3)"/>
      <w:lvlJc w:val="left"/>
      <w:pPr>
        <w:ind w:left="1887" w:hanging="697"/>
      </w:pPr>
      <w:rPr>
        <w:rFonts w:ascii="標楷體" w:eastAsia="標楷體" w:cs="Times New Roman" w:hint="eastAsia"/>
        <w:b w:val="0"/>
        <w:i w:val="0"/>
        <w:spacing w:val="0"/>
        <w:w w:val="100"/>
        <w:position w:val="0"/>
        <w:sz w:val="32"/>
      </w:rPr>
    </w:lvl>
    <w:lvl w:ilvl="3">
      <w:start w:val="1"/>
      <w:numFmt w:val="decimalFullWidth"/>
      <w:suff w:val="nothing"/>
      <w:lvlText w:val="%4、"/>
      <w:lvlJc w:val="left"/>
      <w:pPr>
        <w:ind w:left="1741" w:hanging="698"/>
      </w:pPr>
      <w:rPr>
        <w:rFonts w:ascii="標楷體" w:eastAsia="標楷體" w:cs="Times New Roman" w:hint="eastAsia"/>
        <w:b w:val="0"/>
        <w:i w:val="0"/>
        <w:spacing w:val="0"/>
        <w:w w:val="100"/>
        <w:position w:val="0"/>
        <w:sz w:val="32"/>
      </w:rPr>
    </w:lvl>
    <w:lvl w:ilvl="4">
      <w:start w:val="1"/>
      <w:numFmt w:val="decimalFullWidth"/>
      <w:suff w:val="nothing"/>
      <w:lvlText w:val="(%5)"/>
      <w:lvlJc w:val="left"/>
      <w:pPr>
        <w:ind w:left="2095" w:hanging="700"/>
      </w:pPr>
      <w:rPr>
        <w:rFonts w:ascii="標楷體" w:eastAsia="標楷體" w:cs="Times New Roman" w:hint="eastAsia"/>
        <w:b w:val="0"/>
        <w:i w:val="0"/>
        <w:snapToGrid/>
        <w:spacing w:val="0"/>
        <w:w w:val="100"/>
        <w:position w:val="0"/>
        <w:sz w:val="32"/>
      </w:rPr>
    </w:lvl>
    <w:lvl w:ilvl="5">
      <w:start w:val="1"/>
      <w:numFmt w:val="decimalFullWidth"/>
      <w:suff w:val="nothing"/>
      <w:lvlText w:val="&lt;%6&gt;"/>
      <w:lvlJc w:val="left"/>
      <w:pPr>
        <w:ind w:left="2444" w:hanging="715"/>
      </w:pPr>
      <w:rPr>
        <w:rFonts w:ascii="標楷體" w:eastAsia="標楷體" w:cs="Times New Roman" w:hint="eastAsia"/>
        <w:b w:val="0"/>
        <w:i w:val="0"/>
        <w:snapToGrid/>
        <w:spacing w:val="0"/>
        <w:w w:val="100"/>
        <w:position w:val="0"/>
        <w:sz w:val="32"/>
      </w:rPr>
    </w:lvl>
    <w:lvl w:ilvl="6">
      <w:start w:val="1"/>
      <w:numFmt w:val="bullet"/>
      <w:suff w:val="nothing"/>
      <w:lvlText w:val="․"/>
      <w:lvlJc w:val="left"/>
      <w:pPr>
        <w:ind w:left="2444" w:hanging="352"/>
      </w:pPr>
      <w:rPr>
        <w:rFonts w:ascii="標楷體" w:eastAsia="標楷體" w:hint="eastAsia"/>
        <w:b w:val="0"/>
        <w:i w:val="0"/>
        <w:snapToGrid/>
        <w:spacing w:val="0"/>
        <w:w w:val="100"/>
        <w:position w:val="0"/>
        <w:sz w:val="32"/>
      </w:rPr>
    </w:lvl>
    <w:lvl w:ilvl="7">
      <w:start w:val="1"/>
      <w:numFmt w:val="bullet"/>
      <w:suff w:val="nothing"/>
      <w:lvlText w:val="◇"/>
      <w:lvlJc w:val="left"/>
      <w:pPr>
        <w:ind w:left="2790" w:hanging="349"/>
      </w:pPr>
      <w:rPr>
        <w:rFonts w:ascii="標楷體" w:eastAsia="標楷體" w:hint="eastAsia"/>
        <w:b w:val="0"/>
        <w:i w:val="0"/>
        <w:snapToGrid/>
        <w:spacing w:val="0"/>
        <w:w w:val="100"/>
        <w:position w:val="0"/>
        <w:sz w:val="32"/>
      </w:rPr>
    </w:lvl>
    <w:lvl w:ilvl="8">
      <w:start w:val="1"/>
      <w:numFmt w:val="decimal"/>
      <w:lvlText w:val="%1.%2.%3.%4.%5.%6.%7.%8.%9"/>
      <w:lvlJc w:val="left"/>
      <w:pPr>
        <w:tabs>
          <w:tab w:val="num" w:pos="6195"/>
        </w:tabs>
        <w:ind w:left="5015" w:hanging="1700"/>
      </w:pPr>
      <w:rPr>
        <w:rFonts w:cs="Times New Roman" w:hint="eastAsia"/>
      </w:rPr>
    </w:lvl>
  </w:abstractNum>
  <w:abstractNum w:abstractNumId="11" w15:restartNumberingAfterBreak="0">
    <w:nsid w:val="147505E7"/>
    <w:multiLevelType w:val="hybridMultilevel"/>
    <w:tmpl w:val="5358BD3C"/>
    <w:lvl w:ilvl="0" w:tplc="2F461CBA">
      <w:start w:val="1"/>
      <w:numFmt w:val="bullet"/>
      <w:lvlText w:val=""/>
      <w:lvlJc w:val="left"/>
      <w:pPr>
        <w:ind w:left="480" w:hanging="480"/>
      </w:pPr>
      <w:rPr>
        <w:rFonts w:ascii="Wingdings" w:hAnsi="Wingdings" w:hint="default"/>
        <w:sz w:val="32"/>
        <w:szCs w:val="32"/>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1638077A"/>
    <w:multiLevelType w:val="hybridMultilevel"/>
    <w:tmpl w:val="4836B2CA"/>
    <w:lvl w:ilvl="0" w:tplc="D5303BCE">
      <w:start w:val="1"/>
      <w:numFmt w:val="decimal"/>
      <w:lvlText w:val="%1."/>
      <w:lvlJc w:val="left"/>
      <w:pPr>
        <w:ind w:left="1211" w:hanging="360"/>
      </w:pPr>
      <w:rPr>
        <w:rFonts w:hint="default"/>
        <w:b/>
      </w:rPr>
    </w:lvl>
    <w:lvl w:ilvl="1" w:tplc="04090019" w:tentative="1">
      <w:start w:val="1"/>
      <w:numFmt w:val="ideographTraditional"/>
      <w:lvlText w:val="%2、"/>
      <w:lvlJc w:val="left"/>
      <w:pPr>
        <w:ind w:left="1807" w:hanging="480"/>
      </w:pPr>
    </w:lvl>
    <w:lvl w:ilvl="2" w:tplc="0409001B" w:tentative="1">
      <w:start w:val="1"/>
      <w:numFmt w:val="lowerRoman"/>
      <w:lvlText w:val="%3."/>
      <w:lvlJc w:val="right"/>
      <w:pPr>
        <w:ind w:left="2287" w:hanging="480"/>
      </w:pPr>
    </w:lvl>
    <w:lvl w:ilvl="3" w:tplc="0409000F" w:tentative="1">
      <w:start w:val="1"/>
      <w:numFmt w:val="decimal"/>
      <w:lvlText w:val="%4."/>
      <w:lvlJc w:val="left"/>
      <w:pPr>
        <w:ind w:left="2767" w:hanging="480"/>
      </w:pPr>
    </w:lvl>
    <w:lvl w:ilvl="4" w:tplc="04090019" w:tentative="1">
      <w:start w:val="1"/>
      <w:numFmt w:val="ideographTraditional"/>
      <w:lvlText w:val="%5、"/>
      <w:lvlJc w:val="left"/>
      <w:pPr>
        <w:ind w:left="3247" w:hanging="480"/>
      </w:pPr>
    </w:lvl>
    <w:lvl w:ilvl="5" w:tplc="0409001B" w:tentative="1">
      <w:start w:val="1"/>
      <w:numFmt w:val="lowerRoman"/>
      <w:lvlText w:val="%6."/>
      <w:lvlJc w:val="right"/>
      <w:pPr>
        <w:ind w:left="3727" w:hanging="480"/>
      </w:pPr>
    </w:lvl>
    <w:lvl w:ilvl="6" w:tplc="0409000F" w:tentative="1">
      <w:start w:val="1"/>
      <w:numFmt w:val="decimal"/>
      <w:lvlText w:val="%7."/>
      <w:lvlJc w:val="left"/>
      <w:pPr>
        <w:ind w:left="4207" w:hanging="480"/>
      </w:pPr>
    </w:lvl>
    <w:lvl w:ilvl="7" w:tplc="04090019" w:tentative="1">
      <w:start w:val="1"/>
      <w:numFmt w:val="ideographTraditional"/>
      <w:lvlText w:val="%8、"/>
      <w:lvlJc w:val="left"/>
      <w:pPr>
        <w:ind w:left="4687" w:hanging="480"/>
      </w:pPr>
    </w:lvl>
    <w:lvl w:ilvl="8" w:tplc="0409001B" w:tentative="1">
      <w:start w:val="1"/>
      <w:numFmt w:val="lowerRoman"/>
      <w:lvlText w:val="%9."/>
      <w:lvlJc w:val="right"/>
      <w:pPr>
        <w:ind w:left="5167" w:hanging="480"/>
      </w:pPr>
    </w:lvl>
  </w:abstractNum>
  <w:abstractNum w:abstractNumId="13" w15:restartNumberingAfterBreak="0">
    <w:nsid w:val="202C79E9"/>
    <w:multiLevelType w:val="hybridMultilevel"/>
    <w:tmpl w:val="9A8C93E2"/>
    <w:lvl w:ilvl="0" w:tplc="0F382D4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21700203"/>
    <w:multiLevelType w:val="hybridMultilevel"/>
    <w:tmpl w:val="431C0A38"/>
    <w:lvl w:ilvl="0" w:tplc="70CCC202">
      <w:start w:val="1"/>
      <w:numFmt w:val="decimal"/>
      <w:lvlText w:val="%1."/>
      <w:lvlJc w:val="left"/>
      <w:pPr>
        <w:ind w:left="3479" w:hanging="360"/>
      </w:pPr>
      <w:rPr>
        <w:rFonts w:hint="default"/>
        <w:b/>
        <w:color w:val="auto"/>
      </w:rPr>
    </w:lvl>
    <w:lvl w:ilvl="1" w:tplc="04090019" w:tentative="1">
      <w:start w:val="1"/>
      <w:numFmt w:val="ideographTraditional"/>
      <w:lvlText w:val="%2、"/>
      <w:lvlJc w:val="left"/>
      <w:pPr>
        <w:ind w:left="2377" w:hanging="480"/>
      </w:pPr>
    </w:lvl>
    <w:lvl w:ilvl="2" w:tplc="0409001B" w:tentative="1">
      <w:start w:val="1"/>
      <w:numFmt w:val="lowerRoman"/>
      <w:lvlText w:val="%3."/>
      <w:lvlJc w:val="right"/>
      <w:pPr>
        <w:ind w:left="2857" w:hanging="480"/>
      </w:pPr>
    </w:lvl>
    <w:lvl w:ilvl="3" w:tplc="0409000F" w:tentative="1">
      <w:start w:val="1"/>
      <w:numFmt w:val="decimal"/>
      <w:lvlText w:val="%4."/>
      <w:lvlJc w:val="left"/>
      <w:pPr>
        <w:ind w:left="3337" w:hanging="480"/>
      </w:pPr>
    </w:lvl>
    <w:lvl w:ilvl="4" w:tplc="04090019" w:tentative="1">
      <w:start w:val="1"/>
      <w:numFmt w:val="ideographTraditional"/>
      <w:lvlText w:val="%5、"/>
      <w:lvlJc w:val="left"/>
      <w:pPr>
        <w:ind w:left="3817" w:hanging="480"/>
      </w:pPr>
    </w:lvl>
    <w:lvl w:ilvl="5" w:tplc="0409001B" w:tentative="1">
      <w:start w:val="1"/>
      <w:numFmt w:val="lowerRoman"/>
      <w:lvlText w:val="%6."/>
      <w:lvlJc w:val="right"/>
      <w:pPr>
        <w:ind w:left="4297" w:hanging="480"/>
      </w:pPr>
    </w:lvl>
    <w:lvl w:ilvl="6" w:tplc="0409000F" w:tentative="1">
      <w:start w:val="1"/>
      <w:numFmt w:val="decimal"/>
      <w:lvlText w:val="%7."/>
      <w:lvlJc w:val="left"/>
      <w:pPr>
        <w:ind w:left="4777" w:hanging="480"/>
      </w:pPr>
    </w:lvl>
    <w:lvl w:ilvl="7" w:tplc="04090019" w:tentative="1">
      <w:start w:val="1"/>
      <w:numFmt w:val="ideographTraditional"/>
      <w:lvlText w:val="%8、"/>
      <w:lvlJc w:val="left"/>
      <w:pPr>
        <w:ind w:left="5257" w:hanging="480"/>
      </w:pPr>
    </w:lvl>
    <w:lvl w:ilvl="8" w:tplc="0409001B" w:tentative="1">
      <w:start w:val="1"/>
      <w:numFmt w:val="lowerRoman"/>
      <w:lvlText w:val="%9."/>
      <w:lvlJc w:val="right"/>
      <w:pPr>
        <w:ind w:left="5737" w:hanging="480"/>
      </w:pPr>
    </w:lvl>
  </w:abstractNum>
  <w:abstractNum w:abstractNumId="15" w15:restartNumberingAfterBreak="0">
    <w:nsid w:val="29B66FEE"/>
    <w:multiLevelType w:val="hybridMultilevel"/>
    <w:tmpl w:val="A31838FC"/>
    <w:lvl w:ilvl="0" w:tplc="938E11B6">
      <w:start w:val="1"/>
      <w:numFmt w:val="decimal"/>
      <w:lvlText w:val="%1."/>
      <w:lvlJc w:val="left"/>
      <w:pPr>
        <w:ind w:left="480" w:hanging="480"/>
      </w:pPr>
      <w:rPr>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2F3A7ADB"/>
    <w:multiLevelType w:val="hybridMultilevel"/>
    <w:tmpl w:val="AC8ADDEC"/>
    <w:lvl w:ilvl="0" w:tplc="59F0B24C">
      <w:start w:val="1"/>
      <w:numFmt w:val="bullet"/>
      <w:lvlText w:val="-"/>
      <w:lvlJc w:val="left"/>
      <w:pPr>
        <w:ind w:left="720" w:hanging="360"/>
      </w:pPr>
      <w:rPr>
        <w:rFonts w:ascii="標楷體" w:eastAsia="標楷體" w:hAnsi="標楷體" w:cs="Times New Roman"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7" w15:restartNumberingAfterBreak="0">
    <w:nsid w:val="30AB47D3"/>
    <w:multiLevelType w:val="hybridMultilevel"/>
    <w:tmpl w:val="63C60EBE"/>
    <w:lvl w:ilvl="0" w:tplc="EBF83D7C">
      <w:start w:val="1"/>
      <w:numFmt w:val="decimal"/>
      <w:suff w:val="nothing"/>
      <w:lvlText w:val="%1."/>
      <w:lvlJc w:val="left"/>
      <w:pPr>
        <w:ind w:left="1353" w:hanging="360"/>
      </w:pPr>
      <w:rPr>
        <w:rFonts w:cs="Times New Roman" w:hint="default"/>
        <w:b/>
        <w:sz w:val="32"/>
        <w:szCs w:val="32"/>
        <w:lang w:eastAsia="zh-TW"/>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33AD2D34"/>
    <w:multiLevelType w:val="hybridMultilevel"/>
    <w:tmpl w:val="02106D6E"/>
    <w:lvl w:ilvl="0" w:tplc="0409000F">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36406AFD"/>
    <w:multiLevelType w:val="hybridMultilevel"/>
    <w:tmpl w:val="5D2A6788"/>
    <w:lvl w:ilvl="0" w:tplc="87C4DFE8">
      <w:start w:val="189"/>
      <w:numFmt w:val="bullet"/>
      <w:lvlText w:val="-"/>
      <w:lvlJc w:val="left"/>
      <w:pPr>
        <w:ind w:left="254" w:hanging="360"/>
      </w:pPr>
      <w:rPr>
        <w:rFonts w:ascii="標楷體" w:eastAsia="標楷體" w:hAnsi="標楷體" w:cs="Times New Roman" w:hint="eastAsia"/>
        <w:w w:val="90"/>
      </w:rPr>
    </w:lvl>
    <w:lvl w:ilvl="1" w:tplc="04090003" w:tentative="1">
      <w:start w:val="1"/>
      <w:numFmt w:val="bullet"/>
      <w:lvlText w:val=""/>
      <w:lvlJc w:val="left"/>
      <w:pPr>
        <w:ind w:left="854" w:hanging="480"/>
      </w:pPr>
      <w:rPr>
        <w:rFonts w:ascii="Wingdings" w:hAnsi="Wingdings" w:hint="default"/>
      </w:rPr>
    </w:lvl>
    <w:lvl w:ilvl="2" w:tplc="04090005" w:tentative="1">
      <w:start w:val="1"/>
      <w:numFmt w:val="bullet"/>
      <w:lvlText w:val=""/>
      <w:lvlJc w:val="left"/>
      <w:pPr>
        <w:ind w:left="1334" w:hanging="480"/>
      </w:pPr>
      <w:rPr>
        <w:rFonts w:ascii="Wingdings" w:hAnsi="Wingdings" w:hint="default"/>
      </w:rPr>
    </w:lvl>
    <w:lvl w:ilvl="3" w:tplc="04090001" w:tentative="1">
      <w:start w:val="1"/>
      <w:numFmt w:val="bullet"/>
      <w:lvlText w:val=""/>
      <w:lvlJc w:val="left"/>
      <w:pPr>
        <w:ind w:left="1814" w:hanging="480"/>
      </w:pPr>
      <w:rPr>
        <w:rFonts w:ascii="Wingdings" w:hAnsi="Wingdings" w:hint="default"/>
      </w:rPr>
    </w:lvl>
    <w:lvl w:ilvl="4" w:tplc="04090003" w:tentative="1">
      <w:start w:val="1"/>
      <w:numFmt w:val="bullet"/>
      <w:lvlText w:val=""/>
      <w:lvlJc w:val="left"/>
      <w:pPr>
        <w:ind w:left="2294" w:hanging="480"/>
      </w:pPr>
      <w:rPr>
        <w:rFonts w:ascii="Wingdings" w:hAnsi="Wingdings" w:hint="default"/>
      </w:rPr>
    </w:lvl>
    <w:lvl w:ilvl="5" w:tplc="04090005" w:tentative="1">
      <w:start w:val="1"/>
      <w:numFmt w:val="bullet"/>
      <w:lvlText w:val=""/>
      <w:lvlJc w:val="left"/>
      <w:pPr>
        <w:ind w:left="2774" w:hanging="480"/>
      </w:pPr>
      <w:rPr>
        <w:rFonts w:ascii="Wingdings" w:hAnsi="Wingdings" w:hint="default"/>
      </w:rPr>
    </w:lvl>
    <w:lvl w:ilvl="6" w:tplc="04090001" w:tentative="1">
      <w:start w:val="1"/>
      <w:numFmt w:val="bullet"/>
      <w:lvlText w:val=""/>
      <w:lvlJc w:val="left"/>
      <w:pPr>
        <w:ind w:left="3254" w:hanging="480"/>
      </w:pPr>
      <w:rPr>
        <w:rFonts w:ascii="Wingdings" w:hAnsi="Wingdings" w:hint="default"/>
      </w:rPr>
    </w:lvl>
    <w:lvl w:ilvl="7" w:tplc="04090003" w:tentative="1">
      <w:start w:val="1"/>
      <w:numFmt w:val="bullet"/>
      <w:lvlText w:val=""/>
      <w:lvlJc w:val="left"/>
      <w:pPr>
        <w:ind w:left="3734" w:hanging="480"/>
      </w:pPr>
      <w:rPr>
        <w:rFonts w:ascii="Wingdings" w:hAnsi="Wingdings" w:hint="default"/>
      </w:rPr>
    </w:lvl>
    <w:lvl w:ilvl="8" w:tplc="04090005" w:tentative="1">
      <w:start w:val="1"/>
      <w:numFmt w:val="bullet"/>
      <w:lvlText w:val=""/>
      <w:lvlJc w:val="left"/>
      <w:pPr>
        <w:ind w:left="4214" w:hanging="480"/>
      </w:pPr>
      <w:rPr>
        <w:rFonts w:ascii="Wingdings" w:hAnsi="Wingdings" w:hint="default"/>
      </w:rPr>
    </w:lvl>
  </w:abstractNum>
  <w:abstractNum w:abstractNumId="20" w15:restartNumberingAfterBreak="0">
    <w:nsid w:val="36B91773"/>
    <w:multiLevelType w:val="hybridMultilevel"/>
    <w:tmpl w:val="D7206A96"/>
    <w:lvl w:ilvl="0" w:tplc="D3C0F3A0">
      <w:start w:val="3"/>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396D5C93"/>
    <w:multiLevelType w:val="hybridMultilevel"/>
    <w:tmpl w:val="7B423448"/>
    <w:lvl w:ilvl="0" w:tplc="72361F06">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3C0E2E30"/>
    <w:multiLevelType w:val="hybridMultilevel"/>
    <w:tmpl w:val="9CBE9BCE"/>
    <w:lvl w:ilvl="0" w:tplc="D51E8D06">
      <w:start w:val="1"/>
      <w:numFmt w:val="decimal"/>
      <w:lvlText w:val="%1."/>
      <w:lvlJc w:val="left"/>
      <w:pPr>
        <w:ind w:left="2204" w:hanging="360"/>
      </w:pPr>
      <w:rPr>
        <w:rFonts w:hint="default"/>
        <w:b/>
      </w:rPr>
    </w:lvl>
    <w:lvl w:ilvl="1" w:tplc="04090019" w:tentative="1">
      <w:start w:val="1"/>
      <w:numFmt w:val="ideographTraditional"/>
      <w:lvlText w:val="%2、"/>
      <w:lvlJc w:val="left"/>
      <w:pPr>
        <w:ind w:left="1604" w:hanging="480"/>
      </w:pPr>
    </w:lvl>
    <w:lvl w:ilvl="2" w:tplc="0409001B" w:tentative="1">
      <w:start w:val="1"/>
      <w:numFmt w:val="lowerRoman"/>
      <w:lvlText w:val="%3."/>
      <w:lvlJc w:val="right"/>
      <w:pPr>
        <w:ind w:left="2084" w:hanging="480"/>
      </w:pPr>
    </w:lvl>
    <w:lvl w:ilvl="3" w:tplc="0409000F" w:tentative="1">
      <w:start w:val="1"/>
      <w:numFmt w:val="decimal"/>
      <w:lvlText w:val="%4."/>
      <w:lvlJc w:val="left"/>
      <w:pPr>
        <w:ind w:left="2564" w:hanging="480"/>
      </w:pPr>
    </w:lvl>
    <w:lvl w:ilvl="4" w:tplc="04090019" w:tentative="1">
      <w:start w:val="1"/>
      <w:numFmt w:val="ideographTraditional"/>
      <w:lvlText w:val="%5、"/>
      <w:lvlJc w:val="left"/>
      <w:pPr>
        <w:ind w:left="3044" w:hanging="480"/>
      </w:pPr>
    </w:lvl>
    <w:lvl w:ilvl="5" w:tplc="0409001B" w:tentative="1">
      <w:start w:val="1"/>
      <w:numFmt w:val="lowerRoman"/>
      <w:lvlText w:val="%6."/>
      <w:lvlJc w:val="right"/>
      <w:pPr>
        <w:ind w:left="3524" w:hanging="480"/>
      </w:pPr>
    </w:lvl>
    <w:lvl w:ilvl="6" w:tplc="0409000F" w:tentative="1">
      <w:start w:val="1"/>
      <w:numFmt w:val="decimal"/>
      <w:lvlText w:val="%7."/>
      <w:lvlJc w:val="left"/>
      <w:pPr>
        <w:ind w:left="4004" w:hanging="480"/>
      </w:pPr>
    </w:lvl>
    <w:lvl w:ilvl="7" w:tplc="04090019" w:tentative="1">
      <w:start w:val="1"/>
      <w:numFmt w:val="ideographTraditional"/>
      <w:lvlText w:val="%8、"/>
      <w:lvlJc w:val="left"/>
      <w:pPr>
        <w:ind w:left="4484" w:hanging="480"/>
      </w:pPr>
    </w:lvl>
    <w:lvl w:ilvl="8" w:tplc="0409001B" w:tentative="1">
      <w:start w:val="1"/>
      <w:numFmt w:val="lowerRoman"/>
      <w:lvlText w:val="%9."/>
      <w:lvlJc w:val="right"/>
      <w:pPr>
        <w:ind w:left="4964" w:hanging="480"/>
      </w:pPr>
    </w:lvl>
  </w:abstractNum>
  <w:abstractNum w:abstractNumId="23" w15:restartNumberingAfterBreak="0">
    <w:nsid w:val="3DC32623"/>
    <w:multiLevelType w:val="hybridMultilevel"/>
    <w:tmpl w:val="4DEA5B60"/>
    <w:lvl w:ilvl="0" w:tplc="D5EC666A">
      <w:start w:val="1"/>
      <w:numFmt w:val="decimal"/>
      <w:lvlText w:val="%1."/>
      <w:lvlJc w:val="left"/>
      <w:pPr>
        <w:ind w:left="1284" w:hanging="480"/>
      </w:pPr>
      <w:rPr>
        <w:b/>
      </w:rPr>
    </w:lvl>
    <w:lvl w:ilvl="1" w:tplc="04090019" w:tentative="1">
      <w:start w:val="1"/>
      <w:numFmt w:val="ideographTraditional"/>
      <w:lvlText w:val="%2、"/>
      <w:lvlJc w:val="left"/>
      <w:pPr>
        <w:ind w:left="1764" w:hanging="480"/>
      </w:pPr>
    </w:lvl>
    <w:lvl w:ilvl="2" w:tplc="0409001B" w:tentative="1">
      <w:start w:val="1"/>
      <w:numFmt w:val="lowerRoman"/>
      <w:lvlText w:val="%3."/>
      <w:lvlJc w:val="right"/>
      <w:pPr>
        <w:ind w:left="2244" w:hanging="480"/>
      </w:pPr>
    </w:lvl>
    <w:lvl w:ilvl="3" w:tplc="0409000F" w:tentative="1">
      <w:start w:val="1"/>
      <w:numFmt w:val="decimal"/>
      <w:lvlText w:val="%4."/>
      <w:lvlJc w:val="left"/>
      <w:pPr>
        <w:ind w:left="2724" w:hanging="480"/>
      </w:pPr>
    </w:lvl>
    <w:lvl w:ilvl="4" w:tplc="04090019" w:tentative="1">
      <w:start w:val="1"/>
      <w:numFmt w:val="ideographTraditional"/>
      <w:lvlText w:val="%5、"/>
      <w:lvlJc w:val="left"/>
      <w:pPr>
        <w:ind w:left="3204" w:hanging="480"/>
      </w:pPr>
    </w:lvl>
    <w:lvl w:ilvl="5" w:tplc="0409001B" w:tentative="1">
      <w:start w:val="1"/>
      <w:numFmt w:val="lowerRoman"/>
      <w:lvlText w:val="%6."/>
      <w:lvlJc w:val="right"/>
      <w:pPr>
        <w:ind w:left="3684" w:hanging="480"/>
      </w:pPr>
    </w:lvl>
    <w:lvl w:ilvl="6" w:tplc="0409000F" w:tentative="1">
      <w:start w:val="1"/>
      <w:numFmt w:val="decimal"/>
      <w:lvlText w:val="%7."/>
      <w:lvlJc w:val="left"/>
      <w:pPr>
        <w:ind w:left="4164" w:hanging="480"/>
      </w:pPr>
    </w:lvl>
    <w:lvl w:ilvl="7" w:tplc="04090019" w:tentative="1">
      <w:start w:val="1"/>
      <w:numFmt w:val="ideographTraditional"/>
      <w:lvlText w:val="%8、"/>
      <w:lvlJc w:val="left"/>
      <w:pPr>
        <w:ind w:left="4644" w:hanging="480"/>
      </w:pPr>
    </w:lvl>
    <w:lvl w:ilvl="8" w:tplc="0409001B" w:tentative="1">
      <w:start w:val="1"/>
      <w:numFmt w:val="lowerRoman"/>
      <w:lvlText w:val="%9."/>
      <w:lvlJc w:val="right"/>
      <w:pPr>
        <w:ind w:left="5124" w:hanging="480"/>
      </w:pPr>
    </w:lvl>
  </w:abstractNum>
  <w:abstractNum w:abstractNumId="24" w15:restartNumberingAfterBreak="0">
    <w:nsid w:val="40B771D9"/>
    <w:multiLevelType w:val="hybridMultilevel"/>
    <w:tmpl w:val="7BE0DB2C"/>
    <w:lvl w:ilvl="0" w:tplc="B024E2B2">
      <w:start w:val="1"/>
      <w:numFmt w:val="decimal"/>
      <w:pStyle w:val="1"/>
      <w:lvlText w:val="%1."/>
      <w:lvlJc w:val="left"/>
      <w:pPr>
        <w:tabs>
          <w:tab w:val="num" w:pos="1320"/>
        </w:tabs>
        <w:ind w:left="1320" w:hanging="360"/>
      </w:pPr>
      <w:rPr>
        <w:rFonts w:hint="eastAsia"/>
        <w:b w:val="0"/>
        <w:color w:val="000000"/>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439160BA"/>
    <w:multiLevelType w:val="hybridMultilevel"/>
    <w:tmpl w:val="808621C0"/>
    <w:lvl w:ilvl="0" w:tplc="0409000F">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43ED2F14"/>
    <w:multiLevelType w:val="hybridMultilevel"/>
    <w:tmpl w:val="3E96626C"/>
    <w:lvl w:ilvl="0" w:tplc="19FE6A9C">
      <w:start w:val="31"/>
      <w:numFmt w:val="bullet"/>
      <w:lvlText w:val="-"/>
      <w:lvlJc w:val="left"/>
      <w:pPr>
        <w:ind w:left="360" w:hanging="360"/>
      </w:pPr>
      <w:rPr>
        <w:rFonts w:ascii="標楷體" w:eastAsia="標楷體" w:hAnsi="標楷體" w:cs="Times New Roman" w:hint="eastAsia"/>
        <w:b w:val="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 w15:restartNumberingAfterBreak="0">
    <w:nsid w:val="45632E07"/>
    <w:multiLevelType w:val="hybridMultilevel"/>
    <w:tmpl w:val="1830454C"/>
    <w:lvl w:ilvl="0" w:tplc="FCE0B59A">
      <w:start w:val="1"/>
      <w:numFmt w:val="decimal"/>
      <w:lvlText w:val="%1."/>
      <w:lvlJc w:val="left"/>
      <w:pPr>
        <w:ind w:left="480" w:hanging="480"/>
      </w:pPr>
      <w:rPr>
        <w:rFonts w:ascii="標楷體" w:eastAsia="標楷體" w:hAnsi="標楷體"/>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45E07084"/>
    <w:multiLevelType w:val="hybridMultilevel"/>
    <w:tmpl w:val="431C0A38"/>
    <w:lvl w:ilvl="0" w:tplc="70CCC202">
      <w:start w:val="1"/>
      <w:numFmt w:val="decimal"/>
      <w:lvlText w:val="%1."/>
      <w:lvlJc w:val="left"/>
      <w:pPr>
        <w:ind w:left="3479" w:hanging="360"/>
      </w:pPr>
      <w:rPr>
        <w:rFonts w:hint="default"/>
        <w:b/>
        <w:color w:val="auto"/>
      </w:rPr>
    </w:lvl>
    <w:lvl w:ilvl="1" w:tplc="04090019" w:tentative="1">
      <w:start w:val="1"/>
      <w:numFmt w:val="ideographTraditional"/>
      <w:lvlText w:val="%2、"/>
      <w:lvlJc w:val="left"/>
      <w:pPr>
        <w:ind w:left="2377" w:hanging="480"/>
      </w:pPr>
    </w:lvl>
    <w:lvl w:ilvl="2" w:tplc="0409001B" w:tentative="1">
      <w:start w:val="1"/>
      <w:numFmt w:val="lowerRoman"/>
      <w:lvlText w:val="%3."/>
      <w:lvlJc w:val="right"/>
      <w:pPr>
        <w:ind w:left="2857" w:hanging="480"/>
      </w:pPr>
    </w:lvl>
    <w:lvl w:ilvl="3" w:tplc="0409000F" w:tentative="1">
      <w:start w:val="1"/>
      <w:numFmt w:val="decimal"/>
      <w:lvlText w:val="%4."/>
      <w:lvlJc w:val="left"/>
      <w:pPr>
        <w:ind w:left="3337" w:hanging="480"/>
      </w:pPr>
    </w:lvl>
    <w:lvl w:ilvl="4" w:tplc="04090019" w:tentative="1">
      <w:start w:val="1"/>
      <w:numFmt w:val="ideographTraditional"/>
      <w:lvlText w:val="%5、"/>
      <w:lvlJc w:val="left"/>
      <w:pPr>
        <w:ind w:left="3817" w:hanging="480"/>
      </w:pPr>
    </w:lvl>
    <w:lvl w:ilvl="5" w:tplc="0409001B" w:tentative="1">
      <w:start w:val="1"/>
      <w:numFmt w:val="lowerRoman"/>
      <w:lvlText w:val="%6."/>
      <w:lvlJc w:val="right"/>
      <w:pPr>
        <w:ind w:left="4297" w:hanging="480"/>
      </w:pPr>
    </w:lvl>
    <w:lvl w:ilvl="6" w:tplc="0409000F" w:tentative="1">
      <w:start w:val="1"/>
      <w:numFmt w:val="decimal"/>
      <w:lvlText w:val="%7."/>
      <w:lvlJc w:val="left"/>
      <w:pPr>
        <w:ind w:left="4777" w:hanging="480"/>
      </w:pPr>
    </w:lvl>
    <w:lvl w:ilvl="7" w:tplc="04090019" w:tentative="1">
      <w:start w:val="1"/>
      <w:numFmt w:val="ideographTraditional"/>
      <w:lvlText w:val="%8、"/>
      <w:lvlJc w:val="left"/>
      <w:pPr>
        <w:ind w:left="5257" w:hanging="480"/>
      </w:pPr>
    </w:lvl>
    <w:lvl w:ilvl="8" w:tplc="0409001B" w:tentative="1">
      <w:start w:val="1"/>
      <w:numFmt w:val="lowerRoman"/>
      <w:lvlText w:val="%9."/>
      <w:lvlJc w:val="right"/>
      <w:pPr>
        <w:ind w:left="5737" w:hanging="480"/>
      </w:pPr>
    </w:lvl>
  </w:abstractNum>
  <w:abstractNum w:abstractNumId="29" w15:restartNumberingAfterBreak="0">
    <w:nsid w:val="47280E75"/>
    <w:multiLevelType w:val="hybridMultilevel"/>
    <w:tmpl w:val="A31838FC"/>
    <w:lvl w:ilvl="0" w:tplc="938E11B6">
      <w:start w:val="1"/>
      <w:numFmt w:val="decimal"/>
      <w:lvlText w:val="%1."/>
      <w:lvlJc w:val="left"/>
      <w:pPr>
        <w:ind w:left="480" w:hanging="480"/>
      </w:pPr>
      <w:rPr>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474A2FF0"/>
    <w:multiLevelType w:val="hybridMultilevel"/>
    <w:tmpl w:val="AA9CA61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4E027882"/>
    <w:multiLevelType w:val="hybridMultilevel"/>
    <w:tmpl w:val="07685C6C"/>
    <w:lvl w:ilvl="0" w:tplc="175EE112">
      <w:start w:val="23"/>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 w15:restartNumberingAfterBreak="0">
    <w:nsid w:val="524C6CCB"/>
    <w:multiLevelType w:val="hybridMultilevel"/>
    <w:tmpl w:val="82E89566"/>
    <w:lvl w:ilvl="0" w:tplc="41BEA200">
      <w:start w:val="3"/>
      <w:numFmt w:val="bullet"/>
      <w:lvlText w:val="-"/>
      <w:lvlJc w:val="left"/>
      <w:pPr>
        <w:ind w:left="720" w:hanging="360"/>
      </w:pPr>
      <w:rPr>
        <w:rFonts w:ascii="標楷體" w:eastAsia="標楷體" w:hAnsi="標楷體" w:cs="新細明體"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33" w15:restartNumberingAfterBreak="0">
    <w:nsid w:val="55985E3F"/>
    <w:multiLevelType w:val="hybridMultilevel"/>
    <w:tmpl w:val="46220028"/>
    <w:lvl w:ilvl="0" w:tplc="D390F7CE">
      <w:start w:val="1"/>
      <w:numFmt w:val="taiwaneseCountingThousand"/>
      <w:lvlText w:val="(%1)"/>
      <w:lvlJc w:val="left"/>
      <w:pPr>
        <w:ind w:left="804" w:hanging="804"/>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573259CB"/>
    <w:multiLevelType w:val="hybridMultilevel"/>
    <w:tmpl w:val="C49AC5B4"/>
    <w:lvl w:ilvl="0" w:tplc="2E665EBE">
      <w:start w:val="1"/>
      <w:numFmt w:val="decimal"/>
      <w:lvlText w:val="%1、"/>
      <w:lvlJc w:val="left"/>
      <w:pPr>
        <w:ind w:left="1046" w:hanging="480"/>
      </w:pPr>
      <w:rPr>
        <w:rFonts w:hint="eastAsia"/>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35" w15:restartNumberingAfterBreak="0">
    <w:nsid w:val="578C6D7E"/>
    <w:multiLevelType w:val="hybridMultilevel"/>
    <w:tmpl w:val="8C5E618A"/>
    <w:lvl w:ilvl="0" w:tplc="0409000F">
      <w:start w:val="1"/>
      <w:numFmt w:val="decimal"/>
      <w:lvlText w:val="%1."/>
      <w:lvlJc w:val="left"/>
      <w:pPr>
        <w:ind w:left="600" w:hanging="480"/>
      </w:pPr>
    </w:lvl>
    <w:lvl w:ilvl="1" w:tplc="04090019" w:tentative="1">
      <w:start w:val="1"/>
      <w:numFmt w:val="ideographTraditional"/>
      <w:lvlText w:val="%2、"/>
      <w:lvlJc w:val="left"/>
      <w:pPr>
        <w:ind w:left="1080" w:hanging="480"/>
      </w:pPr>
    </w:lvl>
    <w:lvl w:ilvl="2" w:tplc="0409001B" w:tentative="1">
      <w:start w:val="1"/>
      <w:numFmt w:val="lowerRoman"/>
      <w:lvlText w:val="%3."/>
      <w:lvlJc w:val="right"/>
      <w:pPr>
        <w:ind w:left="1560" w:hanging="480"/>
      </w:pPr>
    </w:lvl>
    <w:lvl w:ilvl="3" w:tplc="0409000F" w:tentative="1">
      <w:start w:val="1"/>
      <w:numFmt w:val="decimal"/>
      <w:lvlText w:val="%4."/>
      <w:lvlJc w:val="left"/>
      <w:pPr>
        <w:ind w:left="2040" w:hanging="480"/>
      </w:pPr>
    </w:lvl>
    <w:lvl w:ilvl="4" w:tplc="04090019" w:tentative="1">
      <w:start w:val="1"/>
      <w:numFmt w:val="ideographTraditional"/>
      <w:lvlText w:val="%5、"/>
      <w:lvlJc w:val="left"/>
      <w:pPr>
        <w:ind w:left="2520" w:hanging="480"/>
      </w:pPr>
    </w:lvl>
    <w:lvl w:ilvl="5" w:tplc="0409001B" w:tentative="1">
      <w:start w:val="1"/>
      <w:numFmt w:val="lowerRoman"/>
      <w:lvlText w:val="%6."/>
      <w:lvlJc w:val="right"/>
      <w:pPr>
        <w:ind w:left="3000" w:hanging="480"/>
      </w:pPr>
    </w:lvl>
    <w:lvl w:ilvl="6" w:tplc="0409000F" w:tentative="1">
      <w:start w:val="1"/>
      <w:numFmt w:val="decimal"/>
      <w:lvlText w:val="%7."/>
      <w:lvlJc w:val="left"/>
      <w:pPr>
        <w:ind w:left="3480" w:hanging="480"/>
      </w:pPr>
    </w:lvl>
    <w:lvl w:ilvl="7" w:tplc="04090019" w:tentative="1">
      <w:start w:val="1"/>
      <w:numFmt w:val="ideographTraditional"/>
      <w:lvlText w:val="%8、"/>
      <w:lvlJc w:val="left"/>
      <w:pPr>
        <w:ind w:left="3960" w:hanging="480"/>
      </w:pPr>
    </w:lvl>
    <w:lvl w:ilvl="8" w:tplc="0409001B" w:tentative="1">
      <w:start w:val="1"/>
      <w:numFmt w:val="lowerRoman"/>
      <w:lvlText w:val="%9."/>
      <w:lvlJc w:val="right"/>
      <w:pPr>
        <w:ind w:left="4440" w:hanging="480"/>
      </w:pPr>
    </w:lvl>
  </w:abstractNum>
  <w:abstractNum w:abstractNumId="36" w15:restartNumberingAfterBreak="0">
    <w:nsid w:val="5B9B0FA7"/>
    <w:multiLevelType w:val="hybridMultilevel"/>
    <w:tmpl w:val="7F708920"/>
    <w:lvl w:ilvl="0" w:tplc="47D043DC">
      <w:start w:val="1"/>
      <w:numFmt w:val="bullet"/>
      <w:lvlText w:val=""/>
      <w:lvlJc w:val="left"/>
      <w:pPr>
        <w:ind w:left="480" w:hanging="480"/>
      </w:pPr>
      <w:rPr>
        <w:rFonts w:ascii="Wingdings" w:eastAsia="標楷體" w:hAnsi="Wingdings" w:hint="default"/>
        <w:sz w:val="16"/>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7" w15:restartNumberingAfterBreak="0">
    <w:nsid w:val="5DF428D0"/>
    <w:multiLevelType w:val="hybridMultilevel"/>
    <w:tmpl w:val="D4BCB4D4"/>
    <w:lvl w:ilvl="0" w:tplc="9ADEDF08">
      <w:start w:val="1"/>
      <w:numFmt w:val="decimal"/>
      <w:lvlText w:val="%1."/>
      <w:lvlJc w:val="left"/>
      <w:pPr>
        <w:ind w:left="840" w:hanging="360"/>
      </w:pPr>
      <w:rPr>
        <w:rFonts w:eastAsia="Times New Roman" w:hint="default"/>
        <w:b w:val="0"/>
        <w:sz w:val="24"/>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8" w15:restartNumberingAfterBreak="0">
    <w:nsid w:val="635F6C70"/>
    <w:multiLevelType w:val="hybridMultilevel"/>
    <w:tmpl w:val="6054CF96"/>
    <w:lvl w:ilvl="0" w:tplc="6236355C">
      <w:start w:val="1"/>
      <w:numFmt w:val="decimal"/>
      <w:lvlText w:val="%1."/>
      <w:lvlJc w:val="left"/>
      <w:pPr>
        <w:ind w:left="600" w:hanging="360"/>
      </w:pPr>
      <w:rPr>
        <w:rFonts w:hint="default"/>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39" w15:restartNumberingAfterBreak="0">
    <w:nsid w:val="698E2CA5"/>
    <w:multiLevelType w:val="hybridMultilevel"/>
    <w:tmpl w:val="431C0A38"/>
    <w:lvl w:ilvl="0" w:tplc="70CCC202">
      <w:start w:val="1"/>
      <w:numFmt w:val="decimal"/>
      <w:lvlText w:val="%1."/>
      <w:lvlJc w:val="left"/>
      <w:pPr>
        <w:ind w:left="3479" w:hanging="360"/>
      </w:pPr>
      <w:rPr>
        <w:rFonts w:hint="default"/>
        <w:b/>
        <w:color w:val="auto"/>
      </w:rPr>
    </w:lvl>
    <w:lvl w:ilvl="1" w:tplc="04090019" w:tentative="1">
      <w:start w:val="1"/>
      <w:numFmt w:val="ideographTraditional"/>
      <w:lvlText w:val="%2、"/>
      <w:lvlJc w:val="left"/>
      <w:pPr>
        <w:ind w:left="2377" w:hanging="480"/>
      </w:pPr>
    </w:lvl>
    <w:lvl w:ilvl="2" w:tplc="0409001B" w:tentative="1">
      <w:start w:val="1"/>
      <w:numFmt w:val="lowerRoman"/>
      <w:lvlText w:val="%3."/>
      <w:lvlJc w:val="right"/>
      <w:pPr>
        <w:ind w:left="2857" w:hanging="480"/>
      </w:pPr>
    </w:lvl>
    <w:lvl w:ilvl="3" w:tplc="0409000F" w:tentative="1">
      <w:start w:val="1"/>
      <w:numFmt w:val="decimal"/>
      <w:lvlText w:val="%4."/>
      <w:lvlJc w:val="left"/>
      <w:pPr>
        <w:ind w:left="3337" w:hanging="480"/>
      </w:pPr>
    </w:lvl>
    <w:lvl w:ilvl="4" w:tplc="04090019" w:tentative="1">
      <w:start w:val="1"/>
      <w:numFmt w:val="ideographTraditional"/>
      <w:lvlText w:val="%5、"/>
      <w:lvlJc w:val="left"/>
      <w:pPr>
        <w:ind w:left="3817" w:hanging="480"/>
      </w:pPr>
    </w:lvl>
    <w:lvl w:ilvl="5" w:tplc="0409001B" w:tentative="1">
      <w:start w:val="1"/>
      <w:numFmt w:val="lowerRoman"/>
      <w:lvlText w:val="%6."/>
      <w:lvlJc w:val="right"/>
      <w:pPr>
        <w:ind w:left="4297" w:hanging="480"/>
      </w:pPr>
    </w:lvl>
    <w:lvl w:ilvl="6" w:tplc="0409000F" w:tentative="1">
      <w:start w:val="1"/>
      <w:numFmt w:val="decimal"/>
      <w:lvlText w:val="%7."/>
      <w:lvlJc w:val="left"/>
      <w:pPr>
        <w:ind w:left="4777" w:hanging="480"/>
      </w:pPr>
    </w:lvl>
    <w:lvl w:ilvl="7" w:tplc="04090019" w:tentative="1">
      <w:start w:val="1"/>
      <w:numFmt w:val="ideographTraditional"/>
      <w:lvlText w:val="%8、"/>
      <w:lvlJc w:val="left"/>
      <w:pPr>
        <w:ind w:left="5257" w:hanging="480"/>
      </w:pPr>
    </w:lvl>
    <w:lvl w:ilvl="8" w:tplc="0409001B" w:tentative="1">
      <w:start w:val="1"/>
      <w:numFmt w:val="lowerRoman"/>
      <w:lvlText w:val="%9."/>
      <w:lvlJc w:val="right"/>
      <w:pPr>
        <w:ind w:left="5737" w:hanging="480"/>
      </w:pPr>
    </w:lvl>
  </w:abstractNum>
  <w:abstractNum w:abstractNumId="40" w15:restartNumberingAfterBreak="0">
    <w:nsid w:val="69DA0C4F"/>
    <w:multiLevelType w:val="hybridMultilevel"/>
    <w:tmpl w:val="B62EBA22"/>
    <w:lvl w:ilvl="0" w:tplc="97203A80">
      <w:start w:val="32"/>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1" w15:restartNumberingAfterBreak="0">
    <w:nsid w:val="6C5F54DE"/>
    <w:multiLevelType w:val="hybridMultilevel"/>
    <w:tmpl w:val="312A9E76"/>
    <w:lvl w:ilvl="0" w:tplc="D828FCA0">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 w15:restartNumberingAfterBreak="0">
    <w:nsid w:val="749E29C5"/>
    <w:multiLevelType w:val="hybridMultilevel"/>
    <w:tmpl w:val="2CE21E24"/>
    <w:lvl w:ilvl="0" w:tplc="D27C710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79FC1CF8"/>
    <w:multiLevelType w:val="hybridMultilevel"/>
    <w:tmpl w:val="95CC3728"/>
    <w:lvl w:ilvl="0" w:tplc="1BB8E700">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4" w15:restartNumberingAfterBreak="0">
    <w:nsid w:val="7CEF1F23"/>
    <w:multiLevelType w:val="hybridMultilevel"/>
    <w:tmpl w:val="C49AC5B4"/>
    <w:lvl w:ilvl="0" w:tplc="2E665EBE">
      <w:start w:val="1"/>
      <w:numFmt w:val="decimal"/>
      <w:lvlText w:val="%1、"/>
      <w:lvlJc w:val="left"/>
      <w:pPr>
        <w:ind w:left="1046" w:hanging="480"/>
      </w:pPr>
      <w:rPr>
        <w:rFonts w:hint="eastAsia"/>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45" w15:restartNumberingAfterBreak="0">
    <w:nsid w:val="7F4370E7"/>
    <w:multiLevelType w:val="hybridMultilevel"/>
    <w:tmpl w:val="9A8C93E2"/>
    <w:lvl w:ilvl="0" w:tplc="0F382D4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8"/>
  </w:num>
  <w:num w:numId="2">
    <w:abstractNumId w:val="3"/>
  </w:num>
  <w:num w:numId="3">
    <w:abstractNumId w:val="0"/>
  </w:num>
  <w:num w:numId="4">
    <w:abstractNumId w:val="21"/>
  </w:num>
  <w:num w:numId="5">
    <w:abstractNumId w:val="16"/>
  </w:num>
  <w:num w:numId="6">
    <w:abstractNumId w:val="19"/>
  </w:num>
  <w:num w:numId="7">
    <w:abstractNumId w:val="26"/>
  </w:num>
  <w:num w:numId="8">
    <w:abstractNumId w:val="27"/>
  </w:num>
  <w:num w:numId="9">
    <w:abstractNumId w:val="43"/>
  </w:num>
  <w:num w:numId="10">
    <w:abstractNumId w:val="6"/>
  </w:num>
  <w:num w:numId="11">
    <w:abstractNumId w:val="9"/>
  </w:num>
  <w:num w:numId="12">
    <w:abstractNumId w:val="20"/>
  </w:num>
  <w:num w:numId="13">
    <w:abstractNumId w:val="32"/>
  </w:num>
  <w:num w:numId="14">
    <w:abstractNumId w:val="31"/>
  </w:num>
  <w:num w:numId="15">
    <w:abstractNumId w:val="22"/>
  </w:num>
  <w:num w:numId="16">
    <w:abstractNumId w:val="4"/>
  </w:num>
  <w:num w:numId="17">
    <w:abstractNumId w:val="17"/>
  </w:num>
  <w:num w:numId="18">
    <w:abstractNumId w:val="40"/>
  </w:num>
  <w:num w:numId="19">
    <w:abstractNumId w:val="5"/>
  </w:num>
  <w:num w:numId="20">
    <w:abstractNumId w:val="41"/>
  </w:num>
  <w:num w:numId="21">
    <w:abstractNumId w:val="28"/>
  </w:num>
  <w:num w:numId="22">
    <w:abstractNumId w:val="39"/>
  </w:num>
  <w:num w:numId="23">
    <w:abstractNumId w:val="14"/>
  </w:num>
  <w:num w:numId="24">
    <w:abstractNumId w:val="10"/>
  </w:num>
  <w:num w:numId="25">
    <w:abstractNumId w:val="7"/>
  </w:num>
  <w:num w:numId="26">
    <w:abstractNumId w:val="24"/>
  </w:num>
  <w:num w:numId="27">
    <w:abstractNumId w:val="12"/>
  </w:num>
  <w:num w:numId="28">
    <w:abstractNumId w:val="36"/>
  </w:num>
  <w:num w:numId="29">
    <w:abstractNumId w:val="11"/>
  </w:num>
  <w:num w:numId="30">
    <w:abstractNumId w:val="34"/>
  </w:num>
  <w:num w:numId="31">
    <w:abstractNumId w:val="44"/>
  </w:num>
  <w:num w:numId="32">
    <w:abstractNumId w:val="37"/>
  </w:num>
  <w:num w:numId="33">
    <w:abstractNumId w:val="35"/>
  </w:num>
  <w:num w:numId="34">
    <w:abstractNumId w:val="33"/>
  </w:num>
  <w:num w:numId="35">
    <w:abstractNumId w:val="23"/>
  </w:num>
  <w:num w:numId="36">
    <w:abstractNumId w:val="38"/>
  </w:num>
  <w:num w:numId="37">
    <w:abstractNumId w:val="29"/>
  </w:num>
  <w:num w:numId="38">
    <w:abstractNumId w:val="15"/>
  </w:num>
  <w:num w:numId="39">
    <w:abstractNumId w:val="45"/>
  </w:num>
  <w:num w:numId="40">
    <w:abstractNumId w:val="13"/>
  </w:num>
  <w:num w:numId="41">
    <w:abstractNumId w:val="42"/>
  </w:num>
  <w:num w:numId="42">
    <w:abstractNumId w:val="1"/>
  </w:num>
  <w:num w:numId="43">
    <w:abstractNumId w:val="30"/>
  </w:num>
  <w:num w:numId="44">
    <w:abstractNumId w:val="2"/>
  </w:num>
  <w:num w:numId="45">
    <w:abstractNumId w:val="18"/>
  </w:num>
  <w:num w:numId="4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mirrorMargin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evenAndOddHeaders/>
  <w:drawingGridHorizontalSpacing w:val="120"/>
  <w:displayHorizontalDrawingGridEvery w:val="0"/>
  <w:displayVerticalDrawingGridEvery w:val="2"/>
  <w:characterSpacingControl w:val="compressPunctuation"/>
  <w:hdrShapeDefaults>
    <o:shapedefaults v:ext="edit" spidmax="2049"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36AC"/>
    <w:rsid w:val="000001AB"/>
    <w:rsid w:val="000005AB"/>
    <w:rsid w:val="000007D6"/>
    <w:rsid w:val="00000AD1"/>
    <w:rsid w:val="00000E19"/>
    <w:rsid w:val="0000117A"/>
    <w:rsid w:val="00001469"/>
    <w:rsid w:val="000016A4"/>
    <w:rsid w:val="00001797"/>
    <w:rsid w:val="00001928"/>
    <w:rsid w:val="00001E3F"/>
    <w:rsid w:val="00001E54"/>
    <w:rsid w:val="00002588"/>
    <w:rsid w:val="000026C7"/>
    <w:rsid w:val="0000287C"/>
    <w:rsid w:val="0000289B"/>
    <w:rsid w:val="000029E8"/>
    <w:rsid w:val="00002A50"/>
    <w:rsid w:val="00002AD5"/>
    <w:rsid w:val="00002F66"/>
    <w:rsid w:val="00002FA8"/>
    <w:rsid w:val="00002FE8"/>
    <w:rsid w:val="00002FF3"/>
    <w:rsid w:val="00003062"/>
    <w:rsid w:val="00003092"/>
    <w:rsid w:val="000030E3"/>
    <w:rsid w:val="000030E8"/>
    <w:rsid w:val="0000332A"/>
    <w:rsid w:val="00003414"/>
    <w:rsid w:val="000035BC"/>
    <w:rsid w:val="00003A15"/>
    <w:rsid w:val="00003BB8"/>
    <w:rsid w:val="00003C31"/>
    <w:rsid w:val="00003D52"/>
    <w:rsid w:val="00003DFC"/>
    <w:rsid w:val="00003E0F"/>
    <w:rsid w:val="00004256"/>
    <w:rsid w:val="0000459D"/>
    <w:rsid w:val="000045D9"/>
    <w:rsid w:val="00004898"/>
    <w:rsid w:val="00004A85"/>
    <w:rsid w:val="00004AEE"/>
    <w:rsid w:val="00004BA2"/>
    <w:rsid w:val="00004BC8"/>
    <w:rsid w:val="00004CB6"/>
    <w:rsid w:val="00004DC7"/>
    <w:rsid w:val="00004EB0"/>
    <w:rsid w:val="00005086"/>
    <w:rsid w:val="00005185"/>
    <w:rsid w:val="00005591"/>
    <w:rsid w:val="000056BE"/>
    <w:rsid w:val="00005A35"/>
    <w:rsid w:val="00005BA0"/>
    <w:rsid w:val="00005C92"/>
    <w:rsid w:val="00005F92"/>
    <w:rsid w:val="0000669E"/>
    <w:rsid w:val="00006897"/>
    <w:rsid w:val="00006977"/>
    <w:rsid w:val="00006E45"/>
    <w:rsid w:val="0000707C"/>
    <w:rsid w:val="000071B4"/>
    <w:rsid w:val="00007732"/>
    <w:rsid w:val="00007940"/>
    <w:rsid w:val="00007A8C"/>
    <w:rsid w:val="00007F5E"/>
    <w:rsid w:val="000102E5"/>
    <w:rsid w:val="00010B35"/>
    <w:rsid w:val="00010B5E"/>
    <w:rsid w:val="00011062"/>
    <w:rsid w:val="0001129C"/>
    <w:rsid w:val="00011558"/>
    <w:rsid w:val="000118CE"/>
    <w:rsid w:val="000118F5"/>
    <w:rsid w:val="00011FA8"/>
    <w:rsid w:val="0001203E"/>
    <w:rsid w:val="0001208F"/>
    <w:rsid w:val="000121F7"/>
    <w:rsid w:val="00012225"/>
    <w:rsid w:val="00012491"/>
    <w:rsid w:val="0001253D"/>
    <w:rsid w:val="000128D6"/>
    <w:rsid w:val="00012D77"/>
    <w:rsid w:val="00012DBF"/>
    <w:rsid w:val="00012E2E"/>
    <w:rsid w:val="000130A3"/>
    <w:rsid w:val="00013276"/>
    <w:rsid w:val="000135A9"/>
    <w:rsid w:val="00013773"/>
    <w:rsid w:val="000137E7"/>
    <w:rsid w:val="00013CDE"/>
    <w:rsid w:val="00013D65"/>
    <w:rsid w:val="00013F86"/>
    <w:rsid w:val="000142A7"/>
    <w:rsid w:val="0001436A"/>
    <w:rsid w:val="00014672"/>
    <w:rsid w:val="00014702"/>
    <w:rsid w:val="00014AF3"/>
    <w:rsid w:val="00014BA0"/>
    <w:rsid w:val="00014F93"/>
    <w:rsid w:val="00015157"/>
    <w:rsid w:val="0001520D"/>
    <w:rsid w:val="00015405"/>
    <w:rsid w:val="000158DD"/>
    <w:rsid w:val="00015C65"/>
    <w:rsid w:val="00015EFF"/>
    <w:rsid w:val="00016087"/>
    <w:rsid w:val="00016220"/>
    <w:rsid w:val="000165BF"/>
    <w:rsid w:val="000165E1"/>
    <w:rsid w:val="000166B0"/>
    <w:rsid w:val="00016719"/>
    <w:rsid w:val="00016A03"/>
    <w:rsid w:val="00016C37"/>
    <w:rsid w:val="00016D72"/>
    <w:rsid w:val="00016D90"/>
    <w:rsid w:val="00016EC6"/>
    <w:rsid w:val="000172B9"/>
    <w:rsid w:val="0001733C"/>
    <w:rsid w:val="00017808"/>
    <w:rsid w:val="00017A3C"/>
    <w:rsid w:val="00017F2D"/>
    <w:rsid w:val="0002043D"/>
    <w:rsid w:val="000206F1"/>
    <w:rsid w:val="000208E2"/>
    <w:rsid w:val="000208E4"/>
    <w:rsid w:val="00020921"/>
    <w:rsid w:val="0002092E"/>
    <w:rsid w:val="00020C53"/>
    <w:rsid w:val="00020C80"/>
    <w:rsid w:val="00020D10"/>
    <w:rsid w:val="00020DB3"/>
    <w:rsid w:val="00021479"/>
    <w:rsid w:val="000215BD"/>
    <w:rsid w:val="0002176D"/>
    <w:rsid w:val="00021B47"/>
    <w:rsid w:val="00021D02"/>
    <w:rsid w:val="00021E53"/>
    <w:rsid w:val="00022463"/>
    <w:rsid w:val="00022530"/>
    <w:rsid w:val="000226DE"/>
    <w:rsid w:val="00022A84"/>
    <w:rsid w:val="00022B9D"/>
    <w:rsid w:val="00023079"/>
    <w:rsid w:val="000231C0"/>
    <w:rsid w:val="00023222"/>
    <w:rsid w:val="0002358B"/>
    <w:rsid w:val="0002392C"/>
    <w:rsid w:val="00023AE4"/>
    <w:rsid w:val="00023B49"/>
    <w:rsid w:val="00023D7E"/>
    <w:rsid w:val="00023E46"/>
    <w:rsid w:val="0002418E"/>
    <w:rsid w:val="00024241"/>
    <w:rsid w:val="00024372"/>
    <w:rsid w:val="0002449A"/>
    <w:rsid w:val="0002450A"/>
    <w:rsid w:val="0002466E"/>
    <w:rsid w:val="00024951"/>
    <w:rsid w:val="00024F0C"/>
    <w:rsid w:val="00025356"/>
    <w:rsid w:val="000254CD"/>
    <w:rsid w:val="00025729"/>
    <w:rsid w:val="00025730"/>
    <w:rsid w:val="00025BD3"/>
    <w:rsid w:val="00025D0E"/>
    <w:rsid w:val="00025DDA"/>
    <w:rsid w:val="00025DE4"/>
    <w:rsid w:val="00025EF1"/>
    <w:rsid w:val="00025F3D"/>
    <w:rsid w:val="00025FBB"/>
    <w:rsid w:val="00026135"/>
    <w:rsid w:val="00026170"/>
    <w:rsid w:val="000266CE"/>
    <w:rsid w:val="000267E5"/>
    <w:rsid w:val="000268C5"/>
    <w:rsid w:val="00026AAC"/>
    <w:rsid w:val="00026ADB"/>
    <w:rsid w:val="00026B29"/>
    <w:rsid w:val="00026E66"/>
    <w:rsid w:val="00026E9A"/>
    <w:rsid w:val="000270A7"/>
    <w:rsid w:val="0002769A"/>
    <w:rsid w:val="000277AE"/>
    <w:rsid w:val="000278BE"/>
    <w:rsid w:val="00027FB1"/>
    <w:rsid w:val="00030011"/>
    <w:rsid w:val="0003029A"/>
    <w:rsid w:val="000306A7"/>
    <w:rsid w:val="00030701"/>
    <w:rsid w:val="0003092E"/>
    <w:rsid w:val="00030ABC"/>
    <w:rsid w:val="00030D92"/>
    <w:rsid w:val="00030E57"/>
    <w:rsid w:val="00030E8C"/>
    <w:rsid w:val="00030FA4"/>
    <w:rsid w:val="00031048"/>
    <w:rsid w:val="000310BF"/>
    <w:rsid w:val="00031149"/>
    <w:rsid w:val="00031298"/>
    <w:rsid w:val="00031384"/>
    <w:rsid w:val="000314AA"/>
    <w:rsid w:val="00031612"/>
    <w:rsid w:val="00031822"/>
    <w:rsid w:val="000318E6"/>
    <w:rsid w:val="000322D4"/>
    <w:rsid w:val="000324FE"/>
    <w:rsid w:val="00032871"/>
    <w:rsid w:val="000329F3"/>
    <w:rsid w:val="00032AA6"/>
    <w:rsid w:val="00033185"/>
    <w:rsid w:val="0003330E"/>
    <w:rsid w:val="000333EF"/>
    <w:rsid w:val="00033644"/>
    <w:rsid w:val="0003372F"/>
    <w:rsid w:val="00033863"/>
    <w:rsid w:val="0003386B"/>
    <w:rsid w:val="000338BD"/>
    <w:rsid w:val="00033A6F"/>
    <w:rsid w:val="00033AB2"/>
    <w:rsid w:val="00033DD8"/>
    <w:rsid w:val="0003417A"/>
    <w:rsid w:val="00034A03"/>
    <w:rsid w:val="00034A86"/>
    <w:rsid w:val="00034B4C"/>
    <w:rsid w:val="00034BF5"/>
    <w:rsid w:val="00034CBF"/>
    <w:rsid w:val="00034FA8"/>
    <w:rsid w:val="0003500F"/>
    <w:rsid w:val="000352C2"/>
    <w:rsid w:val="00035348"/>
    <w:rsid w:val="000355F4"/>
    <w:rsid w:val="000356B6"/>
    <w:rsid w:val="00035856"/>
    <w:rsid w:val="0003585F"/>
    <w:rsid w:val="0003587E"/>
    <w:rsid w:val="000358EF"/>
    <w:rsid w:val="00035EFB"/>
    <w:rsid w:val="000360C1"/>
    <w:rsid w:val="000361B3"/>
    <w:rsid w:val="00036495"/>
    <w:rsid w:val="0003650C"/>
    <w:rsid w:val="00036804"/>
    <w:rsid w:val="00036A14"/>
    <w:rsid w:val="00036AD2"/>
    <w:rsid w:val="000370BB"/>
    <w:rsid w:val="000372B3"/>
    <w:rsid w:val="000373ED"/>
    <w:rsid w:val="00037674"/>
    <w:rsid w:val="000377BF"/>
    <w:rsid w:val="000379E7"/>
    <w:rsid w:val="00037A0D"/>
    <w:rsid w:val="00037A1B"/>
    <w:rsid w:val="00037A3B"/>
    <w:rsid w:val="00037A66"/>
    <w:rsid w:val="00037DCF"/>
    <w:rsid w:val="00037E73"/>
    <w:rsid w:val="00037EA1"/>
    <w:rsid w:val="00040281"/>
    <w:rsid w:val="00040687"/>
    <w:rsid w:val="00040725"/>
    <w:rsid w:val="00040764"/>
    <w:rsid w:val="000409B8"/>
    <w:rsid w:val="00040A55"/>
    <w:rsid w:val="00040BA1"/>
    <w:rsid w:val="00040BEC"/>
    <w:rsid w:val="00041128"/>
    <w:rsid w:val="00041654"/>
    <w:rsid w:val="0004176D"/>
    <w:rsid w:val="00041955"/>
    <w:rsid w:val="00041B21"/>
    <w:rsid w:val="00041D0D"/>
    <w:rsid w:val="00041D1E"/>
    <w:rsid w:val="0004210D"/>
    <w:rsid w:val="00042136"/>
    <w:rsid w:val="000421FE"/>
    <w:rsid w:val="00042319"/>
    <w:rsid w:val="00042584"/>
    <w:rsid w:val="00042610"/>
    <w:rsid w:val="000428D8"/>
    <w:rsid w:val="00042902"/>
    <w:rsid w:val="00042A05"/>
    <w:rsid w:val="00042D6C"/>
    <w:rsid w:val="000432D2"/>
    <w:rsid w:val="00043315"/>
    <w:rsid w:val="0004347A"/>
    <w:rsid w:val="00043595"/>
    <w:rsid w:val="00043776"/>
    <w:rsid w:val="00043AFF"/>
    <w:rsid w:val="00043ED0"/>
    <w:rsid w:val="0004455E"/>
    <w:rsid w:val="00044842"/>
    <w:rsid w:val="0004486C"/>
    <w:rsid w:val="00044ABB"/>
    <w:rsid w:val="00044BB6"/>
    <w:rsid w:val="00044E54"/>
    <w:rsid w:val="000455BE"/>
    <w:rsid w:val="000455C8"/>
    <w:rsid w:val="0004585E"/>
    <w:rsid w:val="00045951"/>
    <w:rsid w:val="00045A22"/>
    <w:rsid w:val="00045A45"/>
    <w:rsid w:val="00045AD7"/>
    <w:rsid w:val="00045BB4"/>
    <w:rsid w:val="00045C0D"/>
    <w:rsid w:val="00045C67"/>
    <w:rsid w:val="00045DFD"/>
    <w:rsid w:val="0004628F"/>
    <w:rsid w:val="000462DE"/>
    <w:rsid w:val="000465A7"/>
    <w:rsid w:val="000465CA"/>
    <w:rsid w:val="00046757"/>
    <w:rsid w:val="00046782"/>
    <w:rsid w:val="00046796"/>
    <w:rsid w:val="00046823"/>
    <w:rsid w:val="000469FD"/>
    <w:rsid w:val="00046B8E"/>
    <w:rsid w:val="00046BA4"/>
    <w:rsid w:val="00046BAE"/>
    <w:rsid w:val="00046BFF"/>
    <w:rsid w:val="00046C94"/>
    <w:rsid w:val="00046CD0"/>
    <w:rsid w:val="00046D1F"/>
    <w:rsid w:val="00046ED0"/>
    <w:rsid w:val="00046F01"/>
    <w:rsid w:val="000472D1"/>
    <w:rsid w:val="0004754F"/>
    <w:rsid w:val="0004765D"/>
    <w:rsid w:val="0004766A"/>
    <w:rsid w:val="00047B09"/>
    <w:rsid w:val="00047DF0"/>
    <w:rsid w:val="0005012C"/>
    <w:rsid w:val="00050192"/>
    <w:rsid w:val="000503FF"/>
    <w:rsid w:val="000506A4"/>
    <w:rsid w:val="000506B4"/>
    <w:rsid w:val="000506CA"/>
    <w:rsid w:val="000507CC"/>
    <w:rsid w:val="00050874"/>
    <w:rsid w:val="00050902"/>
    <w:rsid w:val="0005108E"/>
    <w:rsid w:val="0005117B"/>
    <w:rsid w:val="00051211"/>
    <w:rsid w:val="000514BA"/>
    <w:rsid w:val="0005165D"/>
    <w:rsid w:val="00051B42"/>
    <w:rsid w:val="00052039"/>
    <w:rsid w:val="000521D5"/>
    <w:rsid w:val="000522F9"/>
    <w:rsid w:val="000523CE"/>
    <w:rsid w:val="000523DD"/>
    <w:rsid w:val="00052742"/>
    <w:rsid w:val="000528DF"/>
    <w:rsid w:val="00052959"/>
    <w:rsid w:val="000529AA"/>
    <w:rsid w:val="00052A1D"/>
    <w:rsid w:val="00052AD5"/>
    <w:rsid w:val="00052E40"/>
    <w:rsid w:val="00052F31"/>
    <w:rsid w:val="0005344C"/>
    <w:rsid w:val="000537EA"/>
    <w:rsid w:val="00053DC6"/>
    <w:rsid w:val="00053F05"/>
    <w:rsid w:val="00053F6B"/>
    <w:rsid w:val="00053F89"/>
    <w:rsid w:val="0005452F"/>
    <w:rsid w:val="00054746"/>
    <w:rsid w:val="0005487E"/>
    <w:rsid w:val="000548AF"/>
    <w:rsid w:val="000549B9"/>
    <w:rsid w:val="00054A85"/>
    <w:rsid w:val="00054C67"/>
    <w:rsid w:val="00054D9C"/>
    <w:rsid w:val="00054DAD"/>
    <w:rsid w:val="00054EB3"/>
    <w:rsid w:val="00054FBB"/>
    <w:rsid w:val="0005522E"/>
    <w:rsid w:val="00055309"/>
    <w:rsid w:val="0005549A"/>
    <w:rsid w:val="000557E6"/>
    <w:rsid w:val="00055A07"/>
    <w:rsid w:val="00055AD5"/>
    <w:rsid w:val="00055EA4"/>
    <w:rsid w:val="00056248"/>
    <w:rsid w:val="0005643D"/>
    <w:rsid w:val="0005655F"/>
    <w:rsid w:val="000568C2"/>
    <w:rsid w:val="000569C0"/>
    <w:rsid w:val="00056C2E"/>
    <w:rsid w:val="00056EFE"/>
    <w:rsid w:val="00056F73"/>
    <w:rsid w:val="0005751F"/>
    <w:rsid w:val="000575EC"/>
    <w:rsid w:val="00060019"/>
    <w:rsid w:val="000600A1"/>
    <w:rsid w:val="000601EB"/>
    <w:rsid w:val="00060297"/>
    <w:rsid w:val="000602CE"/>
    <w:rsid w:val="0006041D"/>
    <w:rsid w:val="00060459"/>
    <w:rsid w:val="0006080A"/>
    <w:rsid w:val="000608C3"/>
    <w:rsid w:val="00060C5C"/>
    <w:rsid w:val="00060D45"/>
    <w:rsid w:val="00060F11"/>
    <w:rsid w:val="00060F27"/>
    <w:rsid w:val="0006135D"/>
    <w:rsid w:val="00061397"/>
    <w:rsid w:val="00061746"/>
    <w:rsid w:val="00061AB6"/>
    <w:rsid w:val="00061D63"/>
    <w:rsid w:val="00061E4E"/>
    <w:rsid w:val="00061ED6"/>
    <w:rsid w:val="000620FD"/>
    <w:rsid w:val="0006228F"/>
    <w:rsid w:val="000624EB"/>
    <w:rsid w:val="00062647"/>
    <w:rsid w:val="000628B7"/>
    <w:rsid w:val="00062AD4"/>
    <w:rsid w:val="00062B5A"/>
    <w:rsid w:val="00062B8C"/>
    <w:rsid w:val="00062EE5"/>
    <w:rsid w:val="000630A3"/>
    <w:rsid w:val="000630D8"/>
    <w:rsid w:val="000632F3"/>
    <w:rsid w:val="0006351A"/>
    <w:rsid w:val="00063557"/>
    <w:rsid w:val="00063AAB"/>
    <w:rsid w:val="00063B43"/>
    <w:rsid w:val="00063B5C"/>
    <w:rsid w:val="000642C5"/>
    <w:rsid w:val="000646BC"/>
    <w:rsid w:val="00064723"/>
    <w:rsid w:val="000648B3"/>
    <w:rsid w:val="00064907"/>
    <w:rsid w:val="0006493F"/>
    <w:rsid w:val="000649DB"/>
    <w:rsid w:val="00064FBD"/>
    <w:rsid w:val="00064FD3"/>
    <w:rsid w:val="000654A7"/>
    <w:rsid w:val="0006559D"/>
    <w:rsid w:val="00065784"/>
    <w:rsid w:val="000657F8"/>
    <w:rsid w:val="00065CFB"/>
    <w:rsid w:val="00065E26"/>
    <w:rsid w:val="000661AE"/>
    <w:rsid w:val="000661EE"/>
    <w:rsid w:val="000661FC"/>
    <w:rsid w:val="000663D7"/>
    <w:rsid w:val="00066498"/>
    <w:rsid w:val="00066602"/>
    <w:rsid w:val="00066647"/>
    <w:rsid w:val="00066684"/>
    <w:rsid w:val="00066860"/>
    <w:rsid w:val="00066A9B"/>
    <w:rsid w:val="00066BA2"/>
    <w:rsid w:val="00066C29"/>
    <w:rsid w:val="00066E21"/>
    <w:rsid w:val="0006719A"/>
    <w:rsid w:val="0006745D"/>
    <w:rsid w:val="00067460"/>
    <w:rsid w:val="00067476"/>
    <w:rsid w:val="0006753F"/>
    <w:rsid w:val="00067550"/>
    <w:rsid w:val="000675DD"/>
    <w:rsid w:val="00067686"/>
    <w:rsid w:val="00067931"/>
    <w:rsid w:val="00067BB3"/>
    <w:rsid w:val="00067BDF"/>
    <w:rsid w:val="00067BFA"/>
    <w:rsid w:val="00067CA0"/>
    <w:rsid w:val="00067D83"/>
    <w:rsid w:val="00067D95"/>
    <w:rsid w:val="00070024"/>
    <w:rsid w:val="0007010A"/>
    <w:rsid w:val="000703B9"/>
    <w:rsid w:val="00070469"/>
    <w:rsid w:val="00070719"/>
    <w:rsid w:val="00070723"/>
    <w:rsid w:val="00070979"/>
    <w:rsid w:val="00070E7A"/>
    <w:rsid w:val="00070E8D"/>
    <w:rsid w:val="000711FD"/>
    <w:rsid w:val="000713E5"/>
    <w:rsid w:val="00071712"/>
    <w:rsid w:val="0007194B"/>
    <w:rsid w:val="00071992"/>
    <w:rsid w:val="00071A95"/>
    <w:rsid w:val="00071AAD"/>
    <w:rsid w:val="00071B13"/>
    <w:rsid w:val="00071C3E"/>
    <w:rsid w:val="00071DE3"/>
    <w:rsid w:val="00071E7D"/>
    <w:rsid w:val="00071EC6"/>
    <w:rsid w:val="0007209C"/>
    <w:rsid w:val="000721A9"/>
    <w:rsid w:val="000721CE"/>
    <w:rsid w:val="00072890"/>
    <w:rsid w:val="00072F2E"/>
    <w:rsid w:val="0007333F"/>
    <w:rsid w:val="00073728"/>
    <w:rsid w:val="00073985"/>
    <w:rsid w:val="00073A53"/>
    <w:rsid w:val="00073A62"/>
    <w:rsid w:val="00073B6E"/>
    <w:rsid w:val="000740A4"/>
    <w:rsid w:val="000741B2"/>
    <w:rsid w:val="00074602"/>
    <w:rsid w:val="000746B4"/>
    <w:rsid w:val="00074846"/>
    <w:rsid w:val="000749F1"/>
    <w:rsid w:val="00074C9B"/>
    <w:rsid w:val="00074F27"/>
    <w:rsid w:val="00074FE9"/>
    <w:rsid w:val="00074FF7"/>
    <w:rsid w:val="000751EB"/>
    <w:rsid w:val="00075618"/>
    <w:rsid w:val="0007589D"/>
    <w:rsid w:val="00075A12"/>
    <w:rsid w:val="000760F0"/>
    <w:rsid w:val="00076231"/>
    <w:rsid w:val="000765C9"/>
    <w:rsid w:val="0007695F"/>
    <w:rsid w:val="00076BE4"/>
    <w:rsid w:val="00076C65"/>
    <w:rsid w:val="00076F5B"/>
    <w:rsid w:val="00077628"/>
    <w:rsid w:val="000777DD"/>
    <w:rsid w:val="0007792A"/>
    <w:rsid w:val="00077A0F"/>
    <w:rsid w:val="00077A5D"/>
    <w:rsid w:val="00077B08"/>
    <w:rsid w:val="00077B10"/>
    <w:rsid w:val="00077B62"/>
    <w:rsid w:val="00077DFB"/>
    <w:rsid w:val="00077EA0"/>
    <w:rsid w:val="000801FC"/>
    <w:rsid w:val="0008020D"/>
    <w:rsid w:val="00080237"/>
    <w:rsid w:val="000802EC"/>
    <w:rsid w:val="000803E6"/>
    <w:rsid w:val="00080581"/>
    <w:rsid w:val="00080A73"/>
    <w:rsid w:val="00080D6C"/>
    <w:rsid w:val="00080ED1"/>
    <w:rsid w:val="00080F48"/>
    <w:rsid w:val="000811DF"/>
    <w:rsid w:val="000813DA"/>
    <w:rsid w:val="000815FC"/>
    <w:rsid w:val="000818EF"/>
    <w:rsid w:val="00081A61"/>
    <w:rsid w:val="00081C87"/>
    <w:rsid w:val="00081F55"/>
    <w:rsid w:val="00082231"/>
    <w:rsid w:val="00082260"/>
    <w:rsid w:val="000826C9"/>
    <w:rsid w:val="000828E8"/>
    <w:rsid w:val="00082CFA"/>
    <w:rsid w:val="00082D33"/>
    <w:rsid w:val="00083034"/>
    <w:rsid w:val="000830FD"/>
    <w:rsid w:val="000831E8"/>
    <w:rsid w:val="00083810"/>
    <w:rsid w:val="00083D8B"/>
    <w:rsid w:val="00083E5F"/>
    <w:rsid w:val="00083F0A"/>
    <w:rsid w:val="0008400A"/>
    <w:rsid w:val="00084151"/>
    <w:rsid w:val="000845A3"/>
    <w:rsid w:val="0008478F"/>
    <w:rsid w:val="000848BD"/>
    <w:rsid w:val="00084A45"/>
    <w:rsid w:val="00084A5B"/>
    <w:rsid w:val="00084AC7"/>
    <w:rsid w:val="000850A8"/>
    <w:rsid w:val="0008514A"/>
    <w:rsid w:val="0008519F"/>
    <w:rsid w:val="0008559C"/>
    <w:rsid w:val="00085932"/>
    <w:rsid w:val="00085B50"/>
    <w:rsid w:val="00085B73"/>
    <w:rsid w:val="00085D35"/>
    <w:rsid w:val="00085D86"/>
    <w:rsid w:val="00085EB2"/>
    <w:rsid w:val="000860F8"/>
    <w:rsid w:val="0008660C"/>
    <w:rsid w:val="0008692E"/>
    <w:rsid w:val="00086AFE"/>
    <w:rsid w:val="00086CAE"/>
    <w:rsid w:val="00086DA0"/>
    <w:rsid w:val="000875ED"/>
    <w:rsid w:val="000876EE"/>
    <w:rsid w:val="0008771D"/>
    <w:rsid w:val="0008773D"/>
    <w:rsid w:val="000879F1"/>
    <w:rsid w:val="00087A02"/>
    <w:rsid w:val="00087A64"/>
    <w:rsid w:val="00087D8A"/>
    <w:rsid w:val="00087DC9"/>
    <w:rsid w:val="000904C4"/>
    <w:rsid w:val="0009061E"/>
    <w:rsid w:val="00090B58"/>
    <w:rsid w:val="000910B7"/>
    <w:rsid w:val="0009143B"/>
    <w:rsid w:val="00091696"/>
    <w:rsid w:val="000917A2"/>
    <w:rsid w:val="00091970"/>
    <w:rsid w:val="00091DB3"/>
    <w:rsid w:val="00091E6F"/>
    <w:rsid w:val="00092490"/>
    <w:rsid w:val="000924D9"/>
    <w:rsid w:val="0009261A"/>
    <w:rsid w:val="000927DA"/>
    <w:rsid w:val="000928DE"/>
    <w:rsid w:val="00092A3B"/>
    <w:rsid w:val="00092A65"/>
    <w:rsid w:val="00092C62"/>
    <w:rsid w:val="0009321D"/>
    <w:rsid w:val="000934FA"/>
    <w:rsid w:val="00093709"/>
    <w:rsid w:val="000938B8"/>
    <w:rsid w:val="000939BA"/>
    <w:rsid w:val="00093AC9"/>
    <w:rsid w:val="00093D31"/>
    <w:rsid w:val="00093E90"/>
    <w:rsid w:val="00093F5F"/>
    <w:rsid w:val="0009443F"/>
    <w:rsid w:val="00094637"/>
    <w:rsid w:val="00094837"/>
    <w:rsid w:val="00094873"/>
    <w:rsid w:val="00094875"/>
    <w:rsid w:val="000948A1"/>
    <w:rsid w:val="00094A8D"/>
    <w:rsid w:val="00094B88"/>
    <w:rsid w:val="00094C95"/>
    <w:rsid w:val="00094CDE"/>
    <w:rsid w:val="00094DB5"/>
    <w:rsid w:val="00095073"/>
    <w:rsid w:val="00095290"/>
    <w:rsid w:val="000955D9"/>
    <w:rsid w:val="000957E4"/>
    <w:rsid w:val="00095AB4"/>
    <w:rsid w:val="00095B39"/>
    <w:rsid w:val="00095B9D"/>
    <w:rsid w:val="00095BE9"/>
    <w:rsid w:val="00096021"/>
    <w:rsid w:val="000961B9"/>
    <w:rsid w:val="000961BB"/>
    <w:rsid w:val="00096714"/>
    <w:rsid w:val="00096734"/>
    <w:rsid w:val="000967DE"/>
    <w:rsid w:val="0009706F"/>
    <w:rsid w:val="00097083"/>
    <w:rsid w:val="000971F6"/>
    <w:rsid w:val="000978B5"/>
    <w:rsid w:val="000979FB"/>
    <w:rsid w:val="00097BFB"/>
    <w:rsid w:val="00097D75"/>
    <w:rsid w:val="00097E65"/>
    <w:rsid w:val="00097E93"/>
    <w:rsid w:val="000A05DC"/>
    <w:rsid w:val="000A082E"/>
    <w:rsid w:val="000A0ACA"/>
    <w:rsid w:val="000A0E49"/>
    <w:rsid w:val="000A155D"/>
    <w:rsid w:val="000A194C"/>
    <w:rsid w:val="000A19F3"/>
    <w:rsid w:val="000A1A8E"/>
    <w:rsid w:val="000A1B6B"/>
    <w:rsid w:val="000A1CDB"/>
    <w:rsid w:val="000A253B"/>
    <w:rsid w:val="000A26B2"/>
    <w:rsid w:val="000A2823"/>
    <w:rsid w:val="000A2C2E"/>
    <w:rsid w:val="000A2D5D"/>
    <w:rsid w:val="000A2FD9"/>
    <w:rsid w:val="000A321B"/>
    <w:rsid w:val="000A325E"/>
    <w:rsid w:val="000A3416"/>
    <w:rsid w:val="000A34C3"/>
    <w:rsid w:val="000A354F"/>
    <w:rsid w:val="000A393C"/>
    <w:rsid w:val="000A4166"/>
    <w:rsid w:val="000A4942"/>
    <w:rsid w:val="000A4C96"/>
    <w:rsid w:val="000A562C"/>
    <w:rsid w:val="000A56F7"/>
    <w:rsid w:val="000A5787"/>
    <w:rsid w:val="000A582D"/>
    <w:rsid w:val="000A596D"/>
    <w:rsid w:val="000A5C75"/>
    <w:rsid w:val="000A60F1"/>
    <w:rsid w:val="000A65A1"/>
    <w:rsid w:val="000A6621"/>
    <w:rsid w:val="000A67BB"/>
    <w:rsid w:val="000A6A39"/>
    <w:rsid w:val="000A6BB5"/>
    <w:rsid w:val="000A6F45"/>
    <w:rsid w:val="000A75B8"/>
    <w:rsid w:val="000A7C3C"/>
    <w:rsid w:val="000A7C75"/>
    <w:rsid w:val="000A7E3F"/>
    <w:rsid w:val="000A7F3E"/>
    <w:rsid w:val="000B00E0"/>
    <w:rsid w:val="000B02B9"/>
    <w:rsid w:val="000B04AF"/>
    <w:rsid w:val="000B0B67"/>
    <w:rsid w:val="000B0DEB"/>
    <w:rsid w:val="000B1517"/>
    <w:rsid w:val="000B1629"/>
    <w:rsid w:val="000B18B3"/>
    <w:rsid w:val="000B1AA1"/>
    <w:rsid w:val="000B1B6D"/>
    <w:rsid w:val="000B1D61"/>
    <w:rsid w:val="000B20B9"/>
    <w:rsid w:val="000B2324"/>
    <w:rsid w:val="000B24F3"/>
    <w:rsid w:val="000B2A11"/>
    <w:rsid w:val="000B2AFF"/>
    <w:rsid w:val="000B2CEC"/>
    <w:rsid w:val="000B31DB"/>
    <w:rsid w:val="000B34C7"/>
    <w:rsid w:val="000B35C4"/>
    <w:rsid w:val="000B37DC"/>
    <w:rsid w:val="000B3850"/>
    <w:rsid w:val="000B4001"/>
    <w:rsid w:val="000B410F"/>
    <w:rsid w:val="000B41D4"/>
    <w:rsid w:val="000B422E"/>
    <w:rsid w:val="000B4398"/>
    <w:rsid w:val="000B453F"/>
    <w:rsid w:val="000B485A"/>
    <w:rsid w:val="000B4A13"/>
    <w:rsid w:val="000B4B13"/>
    <w:rsid w:val="000B4D7F"/>
    <w:rsid w:val="000B4E39"/>
    <w:rsid w:val="000B5039"/>
    <w:rsid w:val="000B54CA"/>
    <w:rsid w:val="000B5599"/>
    <w:rsid w:val="000B5606"/>
    <w:rsid w:val="000B567C"/>
    <w:rsid w:val="000B585B"/>
    <w:rsid w:val="000B5989"/>
    <w:rsid w:val="000B5D05"/>
    <w:rsid w:val="000B5E79"/>
    <w:rsid w:val="000B5F86"/>
    <w:rsid w:val="000B63A8"/>
    <w:rsid w:val="000B675F"/>
    <w:rsid w:val="000B67D1"/>
    <w:rsid w:val="000B712E"/>
    <w:rsid w:val="000B715E"/>
    <w:rsid w:val="000B7503"/>
    <w:rsid w:val="000B75C1"/>
    <w:rsid w:val="000B7720"/>
    <w:rsid w:val="000B7987"/>
    <w:rsid w:val="000B7B76"/>
    <w:rsid w:val="000B7C74"/>
    <w:rsid w:val="000B7F35"/>
    <w:rsid w:val="000C0263"/>
    <w:rsid w:val="000C036E"/>
    <w:rsid w:val="000C03FE"/>
    <w:rsid w:val="000C0451"/>
    <w:rsid w:val="000C0871"/>
    <w:rsid w:val="000C0939"/>
    <w:rsid w:val="000C0B29"/>
    <w:rsid w:val="000C0C0E"/>
    <w:rsid w:val="000C0CD5"/>
    <w:rsid w:val="000C0F14"/>
    <w:rsid w:val="000C1878"/>
    <w:rsid w:val="000C1BE1"/>
    <w:rsid w:val="000C1BF5"/>
    <w:rsid w:val="000C1D75"/>
    <w:rsid w:val="000C26F4"/>
    <w:rsid w:val="000C27AE"/>
    <w:rsid w:val="000C27BA"/>
    <w:rsid w:val="000C2830"/>
    <w:rsid w:val="000C2923"/>
    <w:rsid w:val="000C2BA9"/>
    <w:rsid w:val="000C2D2D"/>
    <w:rsid w:val="000C2E83"/>
    <w:rsid w:val="000C2EE5"/>
    <w:rsid w:val="000C2F55"/>
    <w:rsid w:val="000C3488"/>
    <w:rsid w:val="000C35DF"/>
    <w:rsid w:val="000C3AD7"/>
    <w:rsid w:val="000C3B13"/>
    <w:rsid w:val="000C3CA0"/>
    <w:rsid w:val="000C3EE2"/>
    <w:rsid w:val="000C4292"/>
    <w:rsid w:val="000C42F0"/>
    <w:rsid w:val="000C44E9"/>
    <w:rsid w:val="000C458D"/>
    <w:rsid w:val="000C469B"/>
    <w:rsid w:val="000C491B"/>
    <w:rsid w:val="000C4A64"/>
    <w:rsid w:val="000C4B09"/>
    <w:rsid w:val="000C4D6B"/>
    <w:rsid w:val="000C4D79"/>
    <w:rsid w:val="000C4FB1"/>
    <w:rsid w:val="000C5709"/>
    <w:rsid w:val="000C5713"/>
    <w:rsid w:val="000C5932"/>
    <w:rsid w:val="000C5E22"/>
    <w:rsid w:val="000C60A7"/>
    <w:rsid w:val="000C6372"/>
    <w:rsid w:val="000C6567"/>
    <w:rsid w:val="000C6A6C"/>
    <w:rsid w:val="000C6E73"/>
    <w:rsid w:val="000C71BF"/>
    <w:rsid w:val="000C7550"/>
    <w:rsid w:val="000D0560"/>
    <w:rsid w:val="000D079B"/>
    <w:rsid w:val="000D1829"/>
    <w:rsid w:val="000D1958"/>
    <w:rsid w:val="000D19D7"/>
    <w:rsid w:val="000D1A2F"/>
    <w:rsid w:val="000D1A89"/>
    <w:rsid w:val="000D1B00"/>
    <w:rsid w:val="000D1E35"/>
    <w:rsid w:val="000D1E43"/>
    <w:rsid w:val="000D1F0E"/>
    <w:rsid w:val="000D22D2"/>
    <w:rsid w:val="000D2417"/>
    <w:rsid w:val="000D257F"/>
    <w:rsid w:val="000D25FA"/>
    <w:rsid w:val="000D2719"/>
    <w:rsid w:val="000D27CF"/>
    <w:rsid w:val="000D283D"/>
    <w:rsid w:val="000D2B6E"/>
    <w:rsid w:val="000D2CAA"/>
    <w:rsid w:val="000D2CAF"/>
    <w:rsid w:val="000D2F54"/>
    <w:rsid w:val="000D35A5"/>
    <w:rsid w:val="000D37B5"/>
    <w:rsid w:val="000D3F20"/>
    <w:rsid w:val="000D4387"/>
    <w:rsid w:val="000D4A46"/>
    <w:rsid w:val="000D4BAE"/>
    <w:rsid w:val="000D4C33"/>
    <w:rsid w:val="000D51F6"/>
    <w:rsid w:val="000D5205"/>
    <w:rsid w:val="000D58D1"/>
    <w:rsid w:val="000D590A"/>
    <w:rsid w:val="000D5936"/>
    <w:rsid w:val="000D5DE5"/>
    <w:rsid w:val="000D5F2C"/>
    <w:rsid w:val="000D6044"/>
    <w:rsid w:val="000D62D8"/>
    <w:rsid w:val="000D6661"/>
    <w:rsid w:val="000D67C1"/>
    <w:rsid w:val="000D6D46"/>
    <w:rsid w:val="000D7015"/>
    <w:rsid w:val="000D7665"/>
    <w:rsid w:val="000D7979"/>
    <w:rsid w:val="000D79DC"/>
    <w:rsid w:val="000D7C2F"/>
    <w:rsid w:val="000D7C39"/>
    <w:rsid w:val="000D7C4A"/>
    <w:rsid w:val="000E0040"/>
    <w:rsid w:val="000E0383"/>
    <w:rsid w:val="000E067D"/>
    <w:rsid w:val="000E0763"/>
    <w:rsid w:val="000E0907"/>
    <w:rsid w:val="000E0ACC"/>
    <w:rsid w:val="000E0D77"/>
    <w:rsid w:val="000E0E6E"/>
    <w:rsid w:val="000E0F8C"/>
    <w:rsid w:val="000E1174"/>
    <w:rsid w:val="000E1383"/>
    <w:rsid w:val="000E1422"/>
    <w:rsid w:val="000E1695"/>
    <w:rsid w:val="000E16F3"/>
    <w:rsid w:val="000E1854"/>
    <w:rsid w:val="000E1914"/>
    <w:rsid w:val="000E1B63"/>
    <w:rsid w:val="000E1DAA"/>
    <w:rsid w:val="000E2552"/>
    <w:rsid w:val="000E2643"/>
    <w:rsid w:val="000E29A8"/>
    <w:rsid w:val="000E2A63"/>
    <w:rsid w:val="000E2ADE"/>
    <w:rsid w:val="000E2C9B"/>
    <w:rsid w:val="000E332F"/>
    <w:rsid w:val="000E3679"/>
    <w:rsid w:val="000E3787"/>
    <w:rsid w:val="000E38D7"/>
    <w:rsid w:val="000E3AD3"/>
    <w:rsid w:val="000E3BD7"/>
    <w:rsid w:val="000E3C3B"/>
    <w:rsid w:val="000E3DD9"/>
    <w:rsid w:val="000E4057"/>
    <w:rsid w:val="000E4357"/>
    <w:rsid w:val="000E45CB"/>
    <w:rsid w:val="000E46BF"/>
    <w:rsid w:val="000E475F"/>
    <w:rsid w:val="000E4B6E"/>
    <w:rsid w:val="000E4C60"/>
    <w:rsid w:val="000E5022"/>
    <w:rsid w:val="000E5039"/>
    <w:rsid w:val="000E50A5"/>
    <w:rsid w:val="000E513F"/>
    <w:rsid w:val="000E5491"/>
    <w:rsid w:val="000E5A4B"/>
    <w:rsid w:val="000E5B66"/>
    <w:rsid w:val="000E5F32"/>
    <w:rsid w:val="000E610D"/>
    <w:rsid w:val="000E618C"/>
    <w:rsid w:val="000E61F3"/>
    <w:rsid w:val="000E621D"/>
    <w:rsid w:val="000E6256"/>
    <w:rsid w:val="000E6311"/>
    <w:rsid w:val="000E65AC"/>
    <w:rsid w:val="000E66AE"/>
    <w:rsid w:val="000E67CC"/>
    <w:rsid w:val="000E6882"/>
    <w:rsid w:val="000E72DC"/>
    <w:rsid w:val="000E784E"/>
    <w:rsid w:val="000E78E9"/>
    <w:rsid w:val="000E7AE2"/>
    <w:rsid w:val="000E7B50"/>
    <w:rsid w:val="000F036C"/>
    <w:rsid w:val="000F039C"/>
    <w:rsid w:val="000F04AA"/>
    <w:rsid w:val="000F0783"/>
    <w:rsid w:val="000F092E"/>
    <w:rsid w:val="000F0C16"/>
    <w:rsid w:val="000F1519"/>
    <w:rsid w:val="000F15CB"/>
    <w:rsid w:val="000F1729"/>
    <w:rsid w:val="000F1787"/>
    <w:rsid w:val="000F1BFE"/>
    <w:rsid w:val="000F1D48"/>
    <w:rsid w:val="000F1E28"/>
    <w:rsid w:val="000F22DD"/>
    <w:rsid w:val="000F238A"/>
    <w:rsid w:val="000F267B"/>
    <w:rsid w:val="000F2798"/>
    <w:rsid w:val="000F29A2"/>
    <w:rsid w:val="000F2B43"/>
    <w:rsid w:val="000F2B45"/>
    <w:rsid w:val="000F2B94"/>
    <w:rsid w:val="000F2D6A"/>
    <w:rsid w:val="000F3017"/>
    <w:rsid w:val="000F3189"/>
    <w:rsid w:val="000F37B1"/>
    <w:rsid w:val="000F37C8"/>
    <w:rsid w:val="000F3B66"/>
    <w:rsid w:val="000F3BE5"/>
    <w:rsid w:val="000F3C6F"/>
    <w:rsid w:val="000F3ED9"/>
    <w:rsid w:val="000F4057"/>
    <w:rsid w:val="000F44DC"/>
    <w:rsid w:val="000F4540"/>
    <w:rsid w:val="000F4BA2"/>
    <w:rsid w:val="000F4BE0"/>
    <w:rsid w:val="000F4C77"/>
    <w:rsid w:val="000F4E82"/>
    <w:rsid w:val="000F4FC6"/>
    <w:rsid w:val="000F4FCA"/>
    <w:rsid w:val="000F5256"/>
    <w:rsid w:val="000F53EA"/>
    <w:rsid w:val="000F589C"/>
    <w:rsid w:val="000F5BFC"/>
    <w:rsid w:val="000F5E5E"/>
    <w:rsid w:val="000F5E7B"/>
    <w:rsid w:val="000F5F25"/>
    <w:rsid w:val="000F5F27"/>
    <w:rsid w:val="000F600F"/>
    <w:rsid w:val="000F602E"/>
    <w:rsid w:val="000F6323"/>
    <w:rsid w:val="000F6357"/>
    <w:rsid w:val="000F635D"/>
    <w:rsid w:val="000F66EC"/>
    <w:rsid w:val="000F6774"/>
    <w:rsid w:val="000F6DA0"/>
    <w:rsid w:val="000F6E5E"/>
    <w:rsid w:val="000F6FF6"/>
    <w:rsid w:val="000F70DF"/>
    <w:rsid w:val="000F71CB"/>
    <w:rsid w:val="000F71F1"/>
    <w:rsid w:val="000F79E6"/>
    <w:rsid w:val="000F7B4A"/>
    <w:rsid w:val="000F7D09"/>
    <w:rsid w:val="00100166"/>
    <w:rsid w:val="0010023D"/>
    <w:rsid w:val="00100256"/>
    <w:rsid w:val="0010040B"/>
    <w:rsid w:val="001005C0"/>
    <w:rsid w:val="001005F4"/>
    <w:rsid w:val="001009AF"/>
    <w:rsid w:val="00100A4E"/>
    <w:rsid w:val="00100B57"/>
    <w:rsid w:val="00100FBC"/>
    <w:rsid w:val="00101929"/>
    <w:rsid w:val="0010197F"/>
    <w:rsid w:val="00101A8C"/>
    <w:rsid w:val="00101C33"/>
    <w:rsid w:val="00101FE4"/>
    <w:rsid w:val="001020D3"/>
    <w:rsid w:val="00102323"/>
    <w:rsid w:val="00102395"/>
    <w:rsid w:val="001028F1"/>
    <w:rsid w:val="0010296D"/>
    <w:rsid w:val="0010299F"/>
    <w:rsid w:val="00102A4B"/>
    <w:rsid w:val="00102D2B"/>
    <w:rsid w:val="00102E28"/>
    <w:rsid w:val="00102FA1"/>
    <w:rsid w:val="001035B1"/>
    <w:rsid w:val="00103A27"/>
    <w:rsid w:val="00103C71"/>
    <w:rsid w:val="00103C87"/>
    <w:rsid w:val="00103EF5"/>
    <w:rsid w:val="00104380"/>
    <w:rsid w:val="00104669"/>
    <w:rsid w:val="001046BE"/>
    <w:rsid w:val="0010475D"/>
    <w:rsid w:val="00104898"/>
    <w:rsid w:val="00104A75"/>
    <w:rsid w:val="00104C38"/>
    <w:rsid w:val="00105077"/>
    <w:rsid w:val="0010527E"/>
    <w:rsid w:val="001053A1"/>
    <w:rsid w:val="0010541B"/>
    <w:rsid w:val="0010548D"/>
    <w:rsid w:val="001054BC"/>
    <w:rsid w:val="00105507"/>
    <w:rsid w:val="00105763"/>
    <w:rsid w:val="00105BAA"/>
    <w:rsid w:val="00105BFB"/>
    <w:rsid w:val="00105F0E"/>
    <w:rsid w:val="0010621B"/>
    <w:rsid w:val="001065D4"/>
    <w:rsid w:val="00106649"/>
    <w:rsid w:val="00106A51"/>
    <w:rsid w:val="00107202"/>
    <w:rsid w:val="00107363"/>
    <w:rsid w:val="0010757D"/>
    <w:rsid w:val="00107581"/>
    <w:rsid w:val="001075AE"/>
    <w:rsid w:val="00107900"/>
    <w:rsid w:val="00107996"/>
    <w:rsid w:val="00107ABC"/>
    <w:rsid w:val="00107E57"/>
    <w:rsid w:val="00107F3D"/>
    <w:rsid w:val="00107FFD"/>
    <w:rsid w:val="001103E0"/>
    <w:rsid w:val="001103E9"/>
    <w:rsid w:val="0011045B"/>
    <w:rsid w:val="00110618"/>
    <w:rsid w:val="001106FA"/>
    <w:rsid w:val="00110783"/>
    <w:rsid w:val="00110BBC"/>
    <w:rsid w:val="00110F39"/>
    <w:rsid w:val="00110F5A"/>
    <w:rsid w:val="001114BD"/>
    <w:rsid w:val="001115CB"/>
    <w:rsid w:val="0011177F"/>
    <w:rsid w:val="00111811"/>
    <w:rsid w:val="00111C71"/>
    <w:rsid w:val="001120DB"/>
    <w:rsid w:val="00112745"/>
    <w:rsid w:val="00112785"/>
    <w:rsid w:val="00112857"/>
    <w:rsid w:val="00112A90"/>
    <w:rsid w:val="00112ADA"/>
    <w:rsid w:val="00112CE7"/>
    <w:rsid w:val="001132C2"/>
    <w:rsid w:val="00113583"/>
    <w:rsid w:val="00113681"/>
    <w:rsid w:val="00113A7C"/>
    <w:rsid w:val="00113B80"/>
    <w:rsid w:val="00113C20"/>
    <w:rsid w:val="00113EB2"/>
    <w:rsid w:val="00113EDA"/>
    <w:rsid w:val="00113F4F"/>
    <w:rsid w:val="0011421B"/>
    <w:rsid w:val="001142A0"/>
    <w:rsid w:val="00114403"/>
    <w:rsid w:val="0011459D"/>
    <w:rsid w:val="001145F5"/>
    <w:rsid w:val="001149F5"/>
    <w:rsid w:val="00114DF7"/>
    <w:rsid w:val="00114E80"/>
    <w:rsid w:val="00115043"/>
    <w:rsid w:val="00115551"/>
    <w:rsid w:val="00115B15"/>
    <w:rsid w:val="00115D65"/>
    <w:rsid w:val="001166E1"/>
    <w:rsid w:val="0011679A"/>
    <w:rsid w:val="00116A1C"/>
    <w:rsid w:val="00116CA2"/>
    <w:rsid w:val="00116E92"/>
    <w:rsid w:val="001174E7"/>
    <w:rsid w:val="00117794"/>
    <w:rsid w:val="001178BE"/>
    <w:rsid w:val="00117A28"/>
    <w:rsid w:val="00117ADA"/>
    <w:rsid w:val="00117CE7"/>
    <w:rsid w:val="00117D02"/>
    <w:rsid w:val="00117D47"/>
    <w:rsid w:val="00117E59"/>
    <w:rsid w:val="001200CE"/>
    <w:rsid w:val="001201E5"/>
    <w:rsid w:val="00120399"/>
    <w:rsid w:val="00120588"/>
    <w:rsid w:val="00120C09"/>
    <w:rsid w:val="00120E23"/>
    <w:rsid w:val="0012130A"/>
    <w:rsid w:val="001213A8"/>
    <w:rsid w:val="001214B5"/>
    <w:rsid w:val="00121605"/>
    <w:rsid w:val="001216DC"/>
    <w:rsid w:val="001217C3"/>
    <w:rsid w:val="00121A1F"/>
    <w:rsid w:val="00121AAA"/>
    <w:rsid w:val="00121E71"/>
    <w:rsid w:val="00122140"/>
    <w:rsid w:val="001223FC"/>
    <w:rsid w:val="00122456"/>
    <w:rsid w:val="00122AB2"/>
    <w:rsid w:val="001233CE"/>
    <w:rsid w:val="001235A8"/>
    <w:rsid w:val="001236F0"/>
    <w:rsid w:val="00123CE4"/>
    <w:rsid w:val="00123CFE"/>
    <w:rsid w:val="001240F8"/>
    <w:rsid w:val="001242A1"/>
    <w:rsid w:val="001242BC"/>
    <w:rsid w:val="00124326"/>
    <w:rsid w:val="00124FF6"/>
    <w:rsid w:val="00125385"/>
    <w:rsid w:val="00125834"/>
    <w:rsid w:val="00125C1E"/>
    <w:rsid w:val="00125E9E"/>
    <w:rsid w:val="00126327"/>
    <w:rsid w:val="001268CD"/>
    <w:rsid w:val="00126A66"/>
    <w:rsid w:val="00126ADC"/>
    <w:rsid w:val="00126B52"/>
    <w:rsid w:val="00126DC9"/>
    <w:rsid w:val="00126E59"/>
    <w:rsid w:val="00126EFB"/>
    <w:rsid w:val="00126FE6"/>
    <w:rsid w:val="00127232"/>
    <w:rsid w:val="001275B7"/>
    <w:rsid w:val="00127774"/>
    <w:rsid w:val="00127A5C"/>
    <w:rsid w:val="00127B48"/>
    <w:rsid w:val="00127D3B"/>
    <w:rsid w:val="00127DCA"/>
    <w:rsid w:val="00127E69"/>
    <w:rsid w:val="00127EC9"/>
    <w:rsid w:val="001306C6"/>
    <w:rsid w:val="00130719"/>
    <w:rsid w:val="00130765"/>
    <w:rsid w:val="001307F9"/>
    <w:rsid w:val="00130A89"/>
    <w:rsid w:val="00130D8B"/>
    <w:rsid w:val="00131052"/>
    <w:rsid w:val="0013107E"/>
    <w:rsid w:val="00131285"/>
    <w:rsid w:val="00131647"/>
    <w:rsid w:val="001318E6"/>
    <w:rsid w:val="00131A47"/>
    <w:rsid w:val="00131D34"/>
    <w:rsid w:val="00131D8E"/>
    <w:rsid w:val="0013218F"/>
    <w:rsid w:val="0013240B"/>
    <w:rsid w:val="001325DA"/>
    <w:rsid w:val="0013260E"/>
    <w:rsid w:val="0013273F"/>
    <w:rsid w:val="0013298D"/>
    <w:rsid w:val="00132B46"/>
    <w:rsid w:val="00132D8A"/>
    <w:rsid w:val="00132DEE"/>
    <w:rsid w:val="0013303E"/>
    <w:rsid w:val="00133094"/>
    <w:rsid w:val="00133662"/>
    <w:rsid w:val="00133A56"/>
    <w:rsid w:val="00133D6C"/>
    <w:rsid w:val="00133F87"/>
    <w:rsid w:val="00134333"/>
    <w:rsid w:val="001344B4"/>
    <w:rsid w:val="001347BB"/>
    <w:rsid w:val="0013492D"/>
    <w:rsid w:val="001349DF"/>
    <w:rsid w:val="00134AA5"/>
    <w:rsid w:val="00134B70"/>
    <w:rsid w:val="00134C56"/>
    <w:rsid w:val="00134CB2"/>
    <w:rsid w:val="00134FD9"/>
    <w:rsid w:val="00135133"/>
    <w:rsid w:val="00135333"/>
    <w:rsid w:val="00135355"/>
    <w:rsid w:val="00135387"/>
    <w:rsid w:val="00135471"/>
    <w:rsid w:val="0013547A"/>
    <w:rsid w:val="001357D4"/>
    <w:rsid w:val="001357FA"/>
    <w:rsid w:val="001358C4"/>
    <w:rsid w:val="0013592D"/>
    <w:rsid w:val="0013596D"/>
    <w:rsid w:val="001359DC"/>
    <w:rsid w:val="00135A5E"/>
    <w:rsid w:val="00135A6B"/>
    <w:rsid w:val="00135BA3"/>
    <w:rsid w:val="0013607C"/>
    <w:rsid w:val="001363C5"/>
    <w:rsid w:val="0013667D"/>
    <w:rsid w:val="001366E5"/>
    <w:rsid w:val="00136956"/>
    <w:rsid w:val="00136D76"/>
    <w:rsid w:val="001372EB"/>
    <w:rsid w:val="00137533"/>
    <w:rsid w:val="001375A4"/>
    <w:rsid w:val="00137B95"/>
    <w:rsid w:val="00137CB2"/>
    <w:rsid w:val="00137E66"/>
    <w:rsid w:val="00137E75"/>
    <w:rsid w:val="00137EED"/>
    <w:rsid w:val="00137F3B"/>
    <w:rsid w:val="00137F40"/>
    <w:rsid w:val="00140290"/>
    <w:rsid w:val="00140AEE"/>
    <w:rsid w:val="00140D33"/>
    <w:rsid w:val="00140F9F"/>
    <w:rsid w:val="00141200"/>
    <w:rsid w:val="00141519"/>
    <w:rsid w:val="001417F8"/>
    <w:rsid w:val="0014189B"/>
    <w:rsid w:val="00142115"/>
    <w:rsid w:val="00142439"/>
    <w:rsid w:val="001424AE"/>
    <w:rsid w:val="00142672"/>
    <w:rsid w:val="00143216"/>
    <w:rsid w:val="00143381"/>
    <w:rsid w:val="00143828"/>
    <w:rsid w:val="00143BAA"/>
    <w:rsid w:val="00143C96"/>
    <w:rsid w:val="001442DE"/>
    <w:rsid w:val="001442EA"/>
    <w:rsid w:val="001445CA"/>
    <w:rsid w:val="001446C9"/>
    <w:rsid w:val="00144C8B"/>
    <w:rsid w:val="00144E38"/>
    <w:rsid w:val="00144E5A"/>
    <w:rsid w:val="001453C1"/>
    <w:rsid w:val="00145403"/>
    <w:rsid w:val="001454D2"/>
    <w:rsid w:val="001455C0"/>
    <w:rsid w:val="00145653"/>
    <w:rsid w:val="00145960"/>
    <w:rsid w:val="00145987"/>
    <w:rsid w:val="00145FC1"/>
    <w:rsid w:val="001460B3"/>
    <w:rsid w:val="00146383"/>
    <w:rsid w:val="001466B3"/>
    <w:rsid w:val="001470C8"/>
    <w:rsid w:val="001472EB"/>
    <w:rsid w:val="0014779B"/>
    <w:rsid w:val="00147BB2"/>
    <w:rsid w:val="00147E1E"/>
    <w:rsid w:val="00150007"/>
    <w:rsid w:val="00150008"/>
    <w:rsid w:val="00150439"/>
    <w:rsid w:val="00150447"/>
    <w:rsid w:val="00150481"/>
    <w:rsid w:val="0015074F"/>
    <w:rsid w:val="00150762"/>
    <w:rsid w:val="0015083C"/>
    <w:rsid w:val="001509F9"/>
    <w:rsid w:val="00150A9D"/>
    <w:rsid w:val="00150DD3"/>
    <w:rsid w:val="001511B9"/>
    <w:rsid w:val="001512F4"/>
    <w:rsid w:val="0015166F"/>
    <w:rsid w:val="00151814"/>
    <w:rsid w:val="001518EC"/>
    <w:rsid w:val="00151CB5"/>
    <w:rsid w:val="00151E6B"/>
    <w:rsid w:val="00151F4B"/>
    <w:rsid w:val="00151F62"/>
    <w:rsid w:val="00152014"/>
    <w:rsid w:val="00152824"/>
    <w:rsid w:val="00152E6D"/>
    <w:rsid w:val="001533C9"/>
    <w:rsid w:val="001534C1"/>
    <w:rsid w:val="001537F4"/>
    <w:rsid w:val="00153956"/>
    <w:rsid w:val="00153C99"/>
    <w:rsid w:val="00153D3A"/>
    <w:rsid w:val="00153F75"/>
    <w:rsid w:val="00154010"/>
    <w:rsid w:val="00154159"/>
    <w:rsid w:val="001543D8"/>
    <w:rsid w:val="00154459"/>
    <w:rsid w:val="00154A40"/>
    <w:rsid w:val="00154AF3"/>
    <w:rsid w:val="00154D42"/>
    <w:rsid w:val="00154DED"/>
    <w:rsid w:val="001551E3"/>
    <w:rsid w:val="00155914"/>
    <w:rsid w:val="00155BCF"/>
    <w:rsid w:val="001562A1"/>
    <w:rsid w:val="0015654D"/>
    <w:rsid w:val="00156555"/>
    <w:rsid w:val="0015679E"/>
    <w:rsid w:val="00156923"/>
    <w:rsid w:val="00156A58"/>
    <w:rsid w:val="00156D93"/>
    <w:rsid w:val="00156E05"/>
    <w:rsid w:val="001574E8"/>
    <w:rsid w:val="001576D4"/>
    <w:rsid w:val="001576FF"/>
    <w:rsid w:val="00157A6B"/>
    <w:rsid w:val="00157D1C"/>
    <w:rsid w:val="00157E9E"/>
    <w:rsid w:val="00157EA6"/>
    <w:rsid w:val="00157F0F"/>
    <w:rsid w:val="00157FE2"/>
    <w:rsid w:val="001601AF"/>
    <w:rsid w:val="001602AF"/>
    <w:rsid w:val="0016041A"/>
    <w:rsid w:val="00160936"/>
    <w:rsid w:val="00160948"/>
    <w:rsid w:val="00160B5F"/>
    <w:rsid w:val="00160D4B"/>
    <w:rsid w:val="00161101"/>
    <w:rsid w:val="0016110F"/>
    <w:rsid w:val="00161521"/>
    <w:rsid w:val="001615A2"/>
    <w:rsid w:val="0016164A"/>
    <w:rsid w:val="001617B7"/>
    <w:rsid w:val="001619E2"/>
    <w:rsid w:val="001619FF"/>
    <w:rsid w:val="00161A52"/>
    <w:rsid w:val="00162027"/>
    <w:rsid w:val="00162169"/>
    <w:rsid w:val="001621BD"/>
    <w:rsid w:val="00162475"/>
    <w:rsid w:val="0016283D"/>
    <w:rsid w:val="00162A7D"/>
    <w:rsid w:val="00162AB4"/>
    <w:rsid w:val="00162BA7"/>
    <w:rsid w:val="00162BB1"/>
    <w:rsid w:val="00162DA2"/>
    <w:rsid w:val="00162DFF"/>
    <w:rsid w:val="00162F24"/>
    <w:rsid w:val="001630EE"/>
    <w:rsid w:val="00163335"/>
    <w:rsid w:val="0016334B"/>
    <w:rsid w:val="00163927"/>
    <w:rsid w:val="00163A97"/>
    <w:rsid w:val="00164060"/>
    <w:rsid w:val="00164475"/>
    <w:rsid w:val="0016490E"/>
    <w:rsid w:val="00164A84"/>
    <w:rsid w:val="00164AFA"/>
    <w:rsid w:val="00164B34"/>
    <w:rsid w:val="00164C7F"/>
    <w:rsid w:val="00164CEB"/>
    <w:rsid w:val="00164D24"/>
    <w:rsid w:val="00164F92"/>
    <w:rsid w:val="0016509C"/>
    <w:rsid w:val="001655F3"/>
    <w:rsid w:val="00165873"/>
    <w:rsid w:val="0016595C"/>
    <w:rsid w:val="00165FC6"/>
    <w:rsid w:val="00166388"/>
    <w:rsid w:val="0016639E"/>
    <w:rsid w:val="00166541"/>
    <w:rsid w:val="00166895"/>
    <w:rsid w:val="00166B0E"/>
    <w:rsid w:val="00166B5B"/>
    <w:rsid w:val="00166BF0"/>
    <w:rsid w:val="00166E17"/>
    <w:rsid w:val="00167017"/>
    <w:rsid w:val="00167151"/>
    <w:rsid w:val="00167169"/>
    <w:rsid w:val="001671D0"/>
    <w:rsid w:val="001675EE"/>
    <w:rsid w:val="00167961"/>
    <w:rsid w:val="00167B65"/>
    <w:rsid w:val="00167DCF"/>
    <w:rsid w:val="00170142"/>
    <w:rsid w:val="0017042C"/>
    <w:rsid w:val="0017094A"/>
    <w:rsid w:val="001709A5"/>
    <w:rsid w:val="00170CC3"/>
    <w:rsid w:val="00170DD8"/>
    <w:rsid w:val="001711B4"/>
    <w:rsid w:val="0017124C"/>
    <w:rsid w:val="001712C6"/>
    <w:rsid w:val="00171358"/>
    <w:rsid w:val="001716CD"/>
    <w:rsid w:val="00171795"/>
    <w:rsid w:val="001717CE"/>
    <w:rsid w:val="00171DD8"/>
    <w:rsid w:val="00171E47"/>
    <w:rsid w:val="00171E6D"/>
    <w:rsid w:val="00171E8C"/>
    <w:rsid w:val="00171FA3"/>
    <w:rsid w:val="001722ED"/>
    <w:rsid w:val="0017272C"/>
    <w:rsid w:val="00173149"/>
    <w:rsid w:val="0017358F"/>
    <w:rsid w:val="0017362F"/>
    <w:rsid w:val="001736B2"/>
    <w:rsid w:val="001736DE"/>
    <w:rsid w:val="0017378E"/>
    <w:rsid w:val="00173808"/>
    <w:rsid w:val="00173862"/>
    <w:rsid w:val="00173A07"/>
    <w:rsid w:val="00173B14"/>
    <w:rsid w:val="00173DF5"/>
    <w:rsid w:val="00174218"/>
    <w:rsid w:val="001742CB"/>
    <w:rsid w:val="001742CD"/>
    <w:rsid w:val="00174350"/>
    <w:rsid w:val="00174352"/>
    <w:rsid w:val="0017481E"/>
    <w:rsid w:val="0017484D"/>
    <w:rsid w:val="00174A7C"/>
    <w:rsid w:val="00174B07"/>
    <w:rsid w:val="00174F20"/>
    <w:rsid w:val="001754B3"/>
    <w:rsid w:val="0017553F"/>
    <w:rsid w:val="0017554A"/>
    <w:rsid w:val="00175720"/>
    <w:rsid w:val="00175B60"/>
    <w:rsid w:val="00175C94"/>
    <w:rsid w:val="00175DAF"/>
    <w:rsid w:val="001761D6"/>
    <w:rsid w:val="001761FD"/>
    <w:rsid w:val="00176228"/>
    <w:rsid w:val="00176275"/>
    <w:rsid w:val="00176435"/>
    <w:rsid w:val="0017644D"/>
    <w:rsid w:val="001764D6"/>
    <w:rsid w:val="001769AA"/>
    <w:rsid w:val="00176A19"/>
    <w:rsid w:val="00176AD9"/>
    <w:rsid w:val="00176C45"/>
    <w:rsid w:val="00176D1D"/>
    <w:rsid w:val="00176DED"/>
    <w:rsid w:val="00176E1F"/>
    <w:rsid w:val="00176FDA"/>
    <w:rsid w:val="00177221"/>
    <w:rsid w:val="001774A2"/>
    <w:rsid w:val="001774B7"/>
    <w:rsid w:val="001775B1"/>
    <w:rsid w:val="00177649"/>
    <w:rsid w:val="00177BD2"/>
    <w:rsid w:val="00180179"/>
    <w:rsid w:val="00180524"/>
    <w:rsid w:val="0018077B"/>
    <w:rsid w:val="00180AF7"/>
    <w:rsid w:val="00180B62"/>
    <w:rsid w:val="00180B99"/>
    <w:rsid w:val="00180EB6"/>
    <w:rsid w:val="00180F69"/>
    <w:rsid w:val="00181197"/>
    <w:rsid w:val="00181388"/>
    <w:rsid w:val="00181398"/>
    <w:rsid w:val="0018170B"/>
    <w:rsid w:val="001819E4"/>
    <w:rsid w:val="00181F92"/>
    <w:rsid w:val="00182376"/>
    <w:rsid w:val="0018247C"/>
    <w:rsid w:val="001826BD"/>
    <w:rsid w:val="001827F2"/>
    <w:rsid w:val="001829A6"/>
    <w:rsid w:val="00182A63"/>
    <w:rsid w:val="00182B67"/>
    <w:rsid w:val="00182C3F"/>
    <w:rsid w:val="00182E1D"/>
    <w:rsid w:val="00182E51"/>
    <w:rsid w:val="0018309C"/>
    <w:rsid w:val="00183366"/>
    <w:rsid w:val="0018338A"/>
    <w:rsid w:val="001837B5"/>
    <w:rsid w:val="00183C13"/>
    <w:rsid w:val="00183C7A"/>
    <w:rsid w:val="001840B4"/>
    <w:rsid w:val="001840E3"/>
    <w:rsid w:val="001844D8"/>
    <w:rsid w:val="00184739"/>
    <w:rsid w:val="001847B6"/>
    <w:rsid w:val="001847ED"/>
    <w:rsid w:val="001849E8"/>
    <w:rsid w:val="00184C4F"/>
    <w:rsid w:val="00184E33"/>
    <w:rsid w:val="00185049"/>
    <w:rsid w:val="00185144"/>
    <w:rsid w:val="00185220"/>
    <w:rsid w:val="00185222"/>
    <w:rsid w:val="00185241"/>
    <w:rsid w:val="0018529E"/>
    <w:rsid w:val="0018541D"/>
    <w:rsid w:val="001855D2"/>
    <w:rsid w:val="00185691"/>
    <w:rsid w:val="001858C0"/>
    <w:rsid w:val="001858D1"/>
    <w:rsid w:val="00185A01"/>
    <w:rsid w:val="001865AC"/>
    <w:rsid w:val="00186664"/>
    <w:rsid w:val="0018680D"/>
    <w:rsid w:val="00186BD0"/>
    <w:rsid w:val="00187160"/>
    <w:rsid w:val="0018716B"/>
    <w:rsid w:val="0018768A"/>
    <w:rsid w:val="0018785C"/>
    <w:rsid w:val="00187C2C"/>
    <w:rsid w:val="00187D3F"/>
    <w:rsid w:val="0019042F"/>
    <w:rsid w:val="0019079D"/>
    <w:rsid w:val="00190A79"/>
    <w:rsid w:val="00190BA2"/>
    <w:rsid w:val="001915B0"/>
    <w:rsid w:val="001916B3"/>
    <w:rsid w:val="001918F4"/>
    <w:rsid w:val="0019199B"/>
    <w:rsid w:val="00191BAD"/>
    <w:rsid w:val="00191E0F"/>
    <w:rsid w:val="00192078"/>
    <w:rsid w:val="00192187"/>
    <w:rsid w:val="0019219D"/>
    <w:rsid w:val="00192251"/>
    <w:rsid w:val="00192372"/>
    <w:rsid w:val="001923C3"/>
    <w:rsid w:val="001923F6"/>
    <w:rsid w:val="001924CC"/>
    <w:rsid w:val="0019271E"/>
    <w:rsid w:val="001929D9"/>
    <w:rsid w:val="00192BD3"/>
    <w:rsid w:val="00192C3F"/>
    <w:rsid w:val="00192C7E"/>
    <w:rsid w:val="00192D27"/>
    <w:rsid w:val="001931E1"/>
    <w:rsid w:val="0019337B"/>
    <w:rsid w:val="00193509"/>
    <w:rsid w:val="001935C6"/>
    <w:rsid w:val="0019368C"/>
    <w:rsid w:val="001936FD"/>
    <w:rsid w:val="0019375A"/>
    <w:rsid w:val="001937AD"/>
    <w:rsid w:val="00193AE8"/>
    <w:rsid w:val="00193BC4"/>
    <w:rsid w:val="00193CA0"/>
    <w:rsid w:val="00193FEC"/>
    <w:rsid w:val="0019411D"/>
    <w:rsid w:val="00194169"/>
    <w:rsid w:val="00194234"/>
    <w:rsid w:val="00194448"/>
    <w:rsid w:val="001945D9"/>
    <w:rsid w:val="001946C9"/>
    <w:rsid w:val="00194853"/>
    <w:rsid w:val="00194A7D"/>
    <w:rsid w:val="00194C69"/>
    <w:rsid w:val="00194F0B"/>
    <w:rsid w:val="00194F58"/>
    <w:rsid w:val="001950E1"/>
    <w:rsid w:val="0019529A"/>
    <w:rsid w:val="001953D2"/>
    <w:rsid w:val="001954C9"/>
    <w:rsid w:val="00195675"/>
    <w:rsid w:val="001957B8"/>
    <w:rsid w:val="00195B5F"/>
    <w:rsid w:val="00195DB2"/>
    <w:rsid w:val="00195E12"/>
    <w:rsid w:val="00195F09"/>
    <w:rsid w:val="0019605F"/>
    <w:rsid w:val="0019612C"/>
    <w:rsid w:val="0019631D"/>
    <w:rsid w:val="0019635F"/>
    <w:rsid w:val="001963D2"/>
    <w:rsid w:val="00196491"/>
    <w:rsid w:val="00196696"/>
    <w:rsid w:val="001966C0"/>
    <w:rsid w:val="001967F4"/>
    <w:rsid w:val="001967F5"/>
    <w:rsid w:val="0019686F"/>
    <w:rsid w:val="001978EF"/>
    <w:rsid w:val="00197926"/>
    <w:rsid w:val="00197B07"/>
    <w:rsid w:val="00197C14"/>
    <w:rsid w:val="00197E30"/>
    <w:rsid w:val="00197EBB"/>
    <w:rsid w:val="001A012A"/>
    <w:rsid w:val="001A016E"/>
    <w:rsid w:val="001A02E4"/>
    <w:rsid w:val="001A04F9"/>
    <w:rsid w:val="001A07B1"/>
    <w:rsid w:val="001A07BF"/>
    <w:rsid w:val="001A0A15"/>
    <w:rsid w:val="001A0EEB"/>
    <w:rsid w:val="001A1372"/>
    <w:rsid w:val="001A13EC"/>
    <w:rsid w:val="001A14A4"/>
    <w:rsid w:val="001A15F7"/>
    <w:rsid w:val="001A1762"/>
    <w:rsid w:val="001A1AB2"/>
    <w:rsid w:val="001A1F3B"/>
    <w:rsid w:val="001A245C"/>
    <w:rsid w:val="001A25AD"/>
    <w:rsid w:val="001A2897"/>
    <w:rsid w:val="001A2959"/>
    <w:rsid w:val="001A2997"/>
    <w:rsid w:val="001A2A39"/>
    <w:rsid w:val="001A2A4D"/>
    <w:rsid w:val="001A2B55"/>
    <w:rsid w:val="001A2BAF"/>
    <w:rsid w:val="001A2C25"/>
    <w:rsid w:val="001A2E1A"/>
    <w:rsid w:val="001A316F"/>
    <w:rsid w:val="001A31CD"/>
    <w:rsid w:val="001A3346"/>
    <w:rsid w:val="001A3503"/>
    <w:rsid w:val="001A351F"/>
    <w:rsid w:val="001A373F"/>
    <w:rsid w:val="001A3799"/>
    <w:rsid w:val="001A3A33"/>
    <w:rsid w:val="001A3D72"/>
    <w:rsid w:val="001A3DBF"/>
    <w:rsid w:val="001A3E0B"/>
    <w:rsid w:val="001A4493"/>
    <w:rsid w:val="001A47A7"/>
    <w:rsid w:val="001A4DB6"/>
    <w:rsid w:val="001A4E56"/>
    <w:rsid w:val="001A4F4C"/>
    <w:rsid w:val="001A4FE1"/>
    <w:rsid w:val="001A52A4"/>
    <w:rsid w:val="001A55A3"/>
    <w:rsid w:val="001A5C44"/>
    <w:rsid w:val="001A60FE"/>
    <w:rsid w:val="001A615C"/>
    <w:rsid w:val="001A6199"/>
    <w:rsid w:val="001A647F"/>
    <w:rsid w:val="001A65C0"/>
    <w:rsid w:val="001A6602"/>
    <w:rsid w:val="001A6846"/>
    <w:rsid w:val="001A6849"/>
    <w:rsid w:val="001A6880"/>
    <w:rsid w:val="001A6AEC"/>
    <w:rsid w:val="001A6C86"/>
    <w:rsid w:val="001A6D3C"/>
    <w:rsid w:val="001A6DCE"/>
    <w:rsid w:val="001A6E53"/>
    <w:rsid w:val="001A704F"/>
    <w:rsid w:val="001A73BE"/>
    <w:rsid w:val="001A766B"/>
    <w:rsid w:val="001A7866"/>
    <w:rsid w:val="001B0034"/>
    <w:rsid w:val="001B00F6"/>
    <w:rsid w:val="001B0176"/>
    <w:rsid w:val="001B04D1"/>
    <w:rsid w:val="001B05C7"/>
    <w:rsid w:val="001B0686"/>
    <w:rsid w:val="001B0820"/>
    <w:rsid w:val="001B096B"/>
    <w:rsid w:val="001B0E2E"/>
    <w:rsid w:val="001B1175"/>
    <w:rsid w:val="001B1180"/>
    <w:rsid w:val="001B136F"/>
    <w:rsid w:val="001B1596"/>
    <w:rsid w:val="001B173E"/>
    <w:rsid w:val="001B17C7"/>
    <w:rsid w:val="001B1BE6"/>
    <w:rsid w:val="001B1D6F"/>
    <w:rsid w:val="001B1F74"/>
    <w:rsid w:val="001B21C5"/>
    <w:rsid w:val="001B231C"/>
    <w:rsid w:val="001B23EC"/>
    <w:rsid w:val="001B24B3"/>
    <w:rsid w:val="001B25DF"/>
    <w:rsid w:val="001B2DE2"/>
    <w:rsid w:val="001B2E99"/>
    <w:rsid w:val="001B33C7"/>
    <w:rsid w:val="001B3745"/>
    <w:rsid w:val="001B37D7"/>
    <w:rsid w:val="001B3862"/>
    <w:rsid w:val="001B3C20"/>
    <w:rsid w:val="001B40A0"/>
    <w:rsid w:val="001B40B4"/>
    <w:rsid w:val="001B41EE"/>
    <w:rsid w:val="001B4754"/>
    <w:rsid w:val="001B4896"/>
    <w:rsid w:val="001B4A64"/>
    <w:rsid w:val="001B4A7A"/>
    <w:rsid w:val="001B4B62"/>
    <w:rsid w:val="001B4BB7"/>
    <w:rsid w:val="001B4D93"/>
    <w:rsid w:val="001B4D9E"/>
    <w:rsid w:val="001B5570"/>
    <w:rsid w:val="001B5654"/>
    <w:rsid w:val="001B59A2"/>
    <w:rsid w:val="001B59EB"/>
    <w:rsid w:val="001B5E65"/>
    <w:rsid w:val="001B5F07"/>
    <w:rsid w:val="001B5F4B"/>
    <w:rsid w:val="001B6036"/>
    <w:rsid w:val="001B6038"/>
    <w:rsid w:val="001B60EC"/>
    <w:rsid w:val="001B616A"/>
    <w:rsid w:val="001B664B"/>
    <w:rsid w:val="001B666A"/>
    <w:rsid w:val="001B675D"/>
    <w:rsid w:val="001B6836"/>
    <w:rsid w:val="001B6950"/>
    <w:rsid w:val="001B6E52"/>
    <w:rsid w:val="001B6EB1"/>
    <w:rsid w:val="001B74CF"/>
    <w:rsid w:val="001B7619"/>
    <w:rsid w:val="001B7882"/>
    <w:rsid w:val="001B7C10"/>
    <w:rsid w:val="001B7C33"/>
    <w:rsid w:val="001B7D5B"/>
    <w:rsid w:val="001B7F9C"/>
    <w:rsid w:val="001C0031"/>
    <w:rsid w:val="001C0061"/>
    <w:rsid w:val="001C0214"/>
    <w:rsid w:val="001C0296"/>
    <w:rsid w:val="001C02FB"/>
    <w:rsid w:val="001C061A"/>
    <w:rsid w:val="001C0661"/>
    <w:rsid w:val="001C073F"/>
    <w:rsid w:val="001C0802"/>
    <w:rsid w:val="001C08F5"/>
    <w:rsid w:val="001C0953"/>
    <w:rsid w:val="001C0C06"/>
    <w:rsid w:val="001C0E77"/>
    <w:rsid w:val="001C0F40"/>
    <w:rsid w:val="001C1158"/>
    <w:rsid w:val="001C12C3"/>
    <w:rsid w:val="001C1431"/>
    <w:rsid w:val="001C1A82"/>
    <w:rsid w:val="001C1ABD"/>
    <w:rsid w:val="001C20FB"/>
    <w:rsid w:val="001C2152"/>
    <w:rsid w:val="001C2153"/>
    <w:rsid w:val="001C25F5"/>
    <w:rsid w:val="001C26F5"/>
    <w:rsid w:val="001C285E"/>
    <w:rsid w:val="001C2886"/>
    <w:rsid w:val="001C2BAC"/>
    <w:rsid w:val="001C2BCC"/>
    <w:rsid w:val="001C2C49"/>
    <w:rsid w:val="001C3051"/>
    <w:rsid w:val="001C3485"/>
    <w:rsid w:val="001C3589"/>
    <w:rsid w:val="001C35A6"/>
    <w:rsid w:val="001C3777"/>
    <w:rsid w:val="001C3CAA"/>
    <w:rsid w:val="001C4235"/>
    <w:rsid w:val="001C4316"/>
    <w:rsid w:val="001C4521"/>
    <w:rsid w:val="001C4582"/>
    <w:rsid w:val="001C45CD"/>
    <w:rsid w:val="001C4AF2"/>
    <w:rsid w:val="001C4C0C"/>
    <w:rsid w:val="001C4E38"/>
    <w:rsid w:val="001C4E5F"/>
    <w:rsid w:val="001C51A6"/>
    <w:rsid w:val="001C51EE"/>
    <w:rsid w:val="001C529C"/>
    <w:rsid w:val="001C52B2"/>
    <w:rsid w:val="001C5427"/>
    <w:rsid w:val="001C5917"/>
    <w:rsid w:val="001C59E7"/>
    <w:rsid w:val="001C5A1A"/>
    <w:rsid w:val="001C5A33"/>
    <w:rsid w:val="001C5D50"/>
    <w:rsid w:val="001C5FE1"/>
    <w:rsid w:val="001C6452"/>
    <w:rsid w:val="001C64E8"/>
    <w:rsid w:val="001C690A"/>
    <w:rsid w:val="001C6AA1"/>
    <w:rsid w:val="001C6B6B"/>
    <w:rsid w:val="001C6C94"/>
    <w:rsid w:val="001C6D65"/>
    <w:rsid w:val="001C6E0F"/>
    <w:rsid w:val="001C73E2"/>
    <w:rsid w:val="001C7417"/>
    <w:rsid w:val="001C7B7A"/>
    <w:rsid w:val="001C7BF8"/>
    <w:rsid w:val="001C7C49"/>
    <w:rsid w:val="001D038A"/>
    <w:rsid w:val="001D0491"/>
    <w:rsid w:val="001D074D"/>
    <w:rsid w:val="001D09B3"/>
    <w:rsid w:val="001D0BB9"/>
    <w:rsid w:val="001D0C86"/>
    <w:rsid w:val="001D0D04"/>
    <w:rsid w:val="001D0D45"/>
    <w:rsid w:val="001D0F97"/>
    <w:rsid w:val="001D1050"/>
    <w:rsid w:val="001D109B"/>
    <w:rsid w:val="001D15D6"/>
    <w:rsid w:val="001D16B9"/>
    <w:rsid w:val="001D171E"/>
    <w:rsid w:val="001D18A4"/>
    <w:rsid w:val="001D1A47"/>
    <w:rsid w:val="001D1D6B"/>
    <w:rsid w:val="001D1D7C"/>
    <w:rsid w:val="001D1E63"/>
    <w:rsid w:val="001D1F3A"/>
    <w:rsid w:val="001D219B"/>
    <w:rsid w:val="001D2352"/>
    <w:rsid w:val="001D2395"/>
    <w:rsid w:val="001D2734"/>
    <w:rsid w:val="001D28C2"/>
    <w:rsid w:val="001D29F0"/>
    <w:rsid w:val="001D2BF1"/>
    <w:rsid w:val="001D32D0"/>
    <w:rsid w:val="001D3508"/>
    <w:rsid w:val="001D3A62"/>
    <w:rsid w:val="001D3A8C"/>
    <w:rsid w:val="001D3ACF"/>
    <w:rsid w:val="001D3AEF"/>
    <w:rsid w:val="001D3DD2"/>
    <w:rsid w:val="001D3EFD"/>
    <w:rsid w:val="001D3FE7"/>
    <w:rsid w:val="001D4156"/>
    <w:rsid w:val="001D4207"/>
    <w:rsid w:val="001D4311"/>
    <w:rsid w:val="001D4682"/>
    <w:rsid w:val="001D49A6"/>
    <w:rsid w:val="001D539D"/>
    <w:rsid w:val="001D5457"/>
    <w:rsid w:val="001D54D2"/>
    <w:rsid w:val="001D5538"/>
    <w:rsid w:val="001D5574"/>
    <w:rsid w:val="001D5609"/>
    <w:rsid w:val="001D565E"/>
    <w:rsid w:val="001D5696"/>
    <w:rsid w:val="001D59A1"/>
    <w:rsid w:val="001D5AD3"/>
    <w:rsid w:val="001D5B04"/>
    <w:rsid w:val="001D5C52"/>
    <w:rsid w:val="001D5DE9"/>
    <w:rsid w:val="001D60FE"/>
    <w:rsid w:val="001D627F"/>
    <w:rsid w:val="001D6978"/>
    <w:rsid w:val="001D6B23"/>
    <w:rsid w:val="001D6D64"/>
    <w:rsid w:val="001D6F2B"/>
    <w:rsid w:val="001D6F9B"/>
    <w:rsid w:val="001D7115"/>
    <w:rsid w:val="001D71F5"/>
    <w:rsid w:val="001D72CE"/>
    <w:rsid w:val="001D7556"/>
    <w:rsid w:val="001D7728"/>
    <w:rsid w:val="001D7AB1"/>
    <w:rsid w:val="001E0073"/>
    <w:rsid w:val="001E01B0"/>
    <w:rsid w:val="001E030E"/>
    <w:rsid w:val="001E0576"/>
    <w:rsid w:val="001E0707"/>
    <w:rsid w:val="001E0840"/>
    <w:rsid w:val="001E0983"/>
    <w:rsid w:val="001E0AEC"/>
    <w:rsid w:val="001E0BA2"/>
    <w:rsid w:val="001E0C18"/>
    <w:rsid w:val="001E0DE6"/>
    <w:rsid w:val="001E100B"/>
    <w:rsid w:val="001E135E"/>
    <w:rsid w:val="001E140F"/>
    <w:rsid w:val="001E157A"/>
    <w:rsid w:val="001E1B3D"/>
    <w:rsid w:val="001E1B49"/>
    <w:rsid w:val="001E1B58"/>
    <w:rsid w:val="001E1D8F"/>
    <w:rsid w:val="001E225B"/>
    <w:rsid w:val="001E26ED"/>
    <w:rsid w:val="001E28AA"/>
    <w:rsid w:val="001E2966"/>
    <w:rsid w:val="001E2998"/>
    <w:rsid w:val="001E2A61"/>
    <w:rsid w:val="001E2E06"/>
    <w:rsid w:val="001E3394"/>
    <w:rsid w:val="001E353D"/>
    <w:rsid w:val="001E367B"/>
    <w:rsid w:val="001E3A32"/>
    <w:rsid w:val="001E3DC8"/>
    <w:rsid w:val="001E3DE2"/>
    <w:rsid w:val="001E3E2D"/>
    <w:rsid w:val="001E4245"/>
    <w:rsid w:val="001E4715"/>
    <w:rsid w:val="001E4C26"/>
    <w:rsid w:val="001E4C8B"/>
    <w:rsid w:val="001E4CE3"/>
    <w:rsid w:val="001E4E51"/>
    <w:rsid w:val="001E51F6"/>
    <w:rsid w:val="001E52C5"/>
    <w:rsid w:val="001E5531"/>
    <w:rsid w:val="001E5813"/>
    <w:rsid w:val="001E585B"/>
    <w:rsid w:val="001E58AB"/>
    <w:rsid w:val="001E5A67"/>
    <w:rsid w:val="001E5CB5"/>
    <w:rsid w:val="001E6047"/>
    <w:rsid w:val="001E6552"/>
    <w:rsid w:val="001E6874"/>
    <w:rsid w:val="001E68E1"/>
    <w:rsid w:val="001E6F2E"/>
    <w:rsid w:val="001E7744"/>
    <w:rsid w:val="001E78EE"/>
    <w:rsid w:val="001E7BB5"/>
    <w:rsid w:val="001E7BEB"/>
    <w:rsid w:val="001F0910"/>
    <w:rsid w:val="001F0932"/>
    <w:rsid w:val="001F09D1"/>
    <w:rsid w:val="001F0AEC"/>
    <w:rsid w:val="001F0EA1"/>
    <w:rsid w:val="001F0FCB"/>
    <w:rsid w:val="001F1032"/>
    <w:rsid w:val="001F1079"/>
    <w:rsid w:val="001F10A4"/>
    <w:rsid w:val="001F10C4"/>
    <w:rsid w:val="001F10F4"/>
    <w:rsid w:val="001F1363"/>
    <w:rsid w:val="001F1397"/>
    <w:rsid w:val="001F15F2"/>
    <w:rsid w:val="001F1679"/>
    <w:rsid w:val="001F17A5"/>
    <w:rsid w:val="001F2025"/>
    <w:rsid w:val="001F205E"/>
    <w:rsid w:val="001F209B"/>
    <w:rsid w:val="001F20E9"/>
    <w:rsid w:val="001F2291"/>
    <w:rsid w:val="001F22F8"/>
    <w:rsid w:val="001F237D"/>
    <w:rsid w:val="001F259A"/>
    <w:rsid w:val="001F25D9"/>
    <w:rsid w:val="001F2AAF"/>
    <w:rsid w:val="001F2B3D"/>
    <w:rsid w:val="001F2E8F"/>
    <w:rsid w:val="001F3759"/>
    <w:rsid w:val="001F3A9D"/>
    <w:rsid w:val="001F3B17"/>
    <w:rsid w:val="001F3BC8"/>
    <w:rsid w:val="001F4025"/>
    <w:rsid w:val="001F41DB"/>
    <w:rsid w:val="001F44F1"/>
    <w:rsid w:val="001F4C56"/>
    <w:rsid w:val="001F4F62"/>
    <w:rsid w:val="001F4FAC"/>
    <w:rsid w:val="001F5B22"/>
    <w:rsid w:val="001F5D51"/>
    <w:rsid w:val="001F6275"/>
    <w:rsid w:val="001F62C3"/>
    <w:rsid w:val="001F6778"/>
    <w:rsid w:val="001F67D9"/>
    <w:rsid w:val="001F6C7B"/>
    <w:rsid w:val="001F6D9E"/>
    <w:rsid w:val="001F6D9F"/>
    <w:rsid w:val="001F708E"/>
    <w:rsid w:val="001F7115"/>
    <w:rsid w:val="001F765A"/>
    <w:rsid w:val="001F7802"/>
    <w:rsid w:val="001F7DE8"/>
    <w:rsid w:val="001F7FA3"/>
    <w:rsid w:val="0020040C"/>
    <w:rsid w:val="0020081F"/>
    <w:rsid w:val="002008DB"/>
    <w:rsid w:val="00200EF8"/>
    <w:rsid w:val="00201C80"/>
    <w:rsid w:val="00201E2A"/>
    <w:rsid w:val="00201ECF"/>
    <w:rsid w:val="00201FED"/>
    <w:rsid w:val="002022CA"/>
    <w:rsid w:val="002022FD"/>
    <w:rsid w:val="002025E5"/>
    <w:rsid w:val="0020263A"/>
    <w:rsid w:val="002026C2"/>
    <w:rsid w:val="002027A8"/>
    <w:rsid w:val="00202936"/>
    <w:rsid w:val="002029B8"/>
    <w:rsid w:val="00202AA4"/>
    <w:rsid w:val="00202B9E"/>
    <w:rsid w:val="00202ED4"/>
    <w:rsid w:val="0020349F"/>
    <w:rsid w:val="002035D2"/>
    <w:rsid w:val="00203781"/>
    <w:rsid w:val="00203837"/>
    <w:rsid w:val="002038CD"/>
    <w:rsid w:val="00203A54"/>
    <w:rsid w:val="00203B9F"/>
    <w:rsid w:val="002043B6"/>
    <w:rsid w:val="002044B1"/>
    <w:rsid w:val="002045CE"/>
    <w:rsid w:val="00204755"/>
    <w:rsid w:val="00204B9A"/>
    <w:rsid w:val="00204FB4"/>
    <w:rsid w:val="002054E3"/>
    <w:rsid w:val="0020592B"/>
    <w:rsid w:val="00205B4F"/>
    <w:rsid w:val="00205E6F"/>
    <w:rsid w:val="002062DC"/>
    <w:rsid w:val="00206525"/>
    <w:rsid w:val="00206843"/>
    <w:rsid w:val="00206A6F"/>
    <w:rsid w:val="00206F8D"/>
    <w:rsid w:val="00207069"/>
    <w:rsid w:val="0020728E"/>
    <w:rsid w:val="002076AD"/>
    <w:rsid w:val="002077B6"/>
    <w:rsid w:val="00207DD7"/>
    <w:rsid w:val="00207F13"/>
    <w:rsid w:val="002100F8"/>
    <w:rsid w:val="002105FA"/>
    <w:rsid w:val="0021070A"/>
    <w:rsid w:val="002111E8"/>
    <w:rsid w:val="00211737"/>
    <w:rsid w:val="00211778"/>
    <w:rsid w:val="00211915"/>
    <w:rsid w:val="00211E49"/>
    <w:rsid w:val="00211F7D"/>
    <w:rsid w:val="002120ED"/>
    <w:rsid w:val="002123D6"/>
    <w:rsid w:val="002127D5"/>
    <w:rsid w:val="002128CB"/>
    <w:rsid w:val="00212B5A"/>
    <w:rsid w:val="00212E83"/>
    <w:rsid w:val="00212FF3"/>
    <w:rsid w:val="0021301D"/>
    <w:rsid w:val="00213289"/>
    <w:rsid w:val="002133FA"/>
    <w:rsid w:val="00213734"/>
    <w:rsid w:val="002139EC"/>
    <w:rsid w:val="00213BB6"/>
    <w:rsid w:val="00214152"/>
    <w:rsid w:val="0021460B"/>
    <w:rsid w:val="00214653"/>
    <w:rsid w:val="0021467D"/>
    <w:rsid w:val="00214BD1"/>
    <w:rsid w:val="00214E0E"/>
    <w:rsid w:val="00214E38"/>
    <w:rsid w:val="00214E95"/>
    <w:rsid w:val="00214ED3"/>
    <w:rsid w:val="00214F41"/>
    <w:rsid w:val="00214FE6"/>
    <w:rsid w:val="0021503E"/>
    <w:rsid w:val="0021576A"/>
    <w:rsid w:val="00215791"/>
    <w:rsid w:val="0021587C"/>
    <w:rsid w:val="00215A14"/>
    <w:rsid w:val="00215CEF"/>
    <w:rsid w:val="00215D3B"/>
    <w:rsid w:val="00215E40"/>
    <w:rsid w:val="00215E86"/>
    <w:rsid w:val="002164CE"/>
    <w:rsid w:val="0021669B"/>
    <w:rsid w:val="0021675F"/>
    <w:rsid w:val="00216A7E"/>
    <w:rsid w:val="00216D89"/>
    <w:rsid w:val="00216DD8"/>
    <w:rsid w:val="00216E14"/>
    <w:rsid w:val="00216F49"/>
    <w:rsid w:val="0021707E"/>
    <w:rsid w:val="00217325"/>
    <w:rsid w:val="00217926"/>
    <w:rsid w:val="00217A0B"/>
    <w:rsid w:val="00217A67"/>
    <w:rsid w:val="00217EBE"/>
    <w:rsid w:val="00220135"/>
    <w:rsid w:val="00220211"/>
    <w:rsid w:val="002202DE"/>
    <w:rsid w:val="002205B9"/>
    <w:rsid w:val="00220617"/>
    <w:rsid w:val="00220737"/>
    <w:rsid w:val="00220789"/>
    <w:rsid w:val="002208F3"/>
    <w:rsid w:val="002209C1"/>
    <w:rsid w:val="00220C51"/>
    <w:rsid w:val="00220E7C"/>
    <w:rsid w:val="00221259"/>
    <w:rsid w:val="00221424"/>
    <w:rsid w:val="00221828"/>
    <w:rsid w:val="00221A3A"/>
    <w:rsid w:val="00221C04"/>
    <w:rsid w:val="002220E2"/>
    <w:rsid w:val="00222145"/>
    <w:rsid w:val="00222594"/>
    <w:rsid w:val="00222802"/>
    <w:rsid w:val="00222857"/>
    <w:rsid w:val="0022289E"/>
    <w:rsid w:val="00222A96"/>
    <w:rsid w:val="00222BC2"/>
    <w:rsid w:val="00222BE2"/>
    <w:rsid w:val="00222D53"/>
    <w:rsid w:val="00222D63"/>
    <w:rsid w:val="0022300D"/>
    <w:rsid w:val="0022304F"/>
    <w:rsid w:val="00223122"/>
    <w:rsid w:val="0022315B"/>
    <w:rsid w:val="002232D9"/>
    <w:rsid w:val="002233A3"/>
    <w:rsid w:val="00223E09"/>
    <w:rsid w:val="00224115"/>
    <w:rsid w:val="002241BC"/>
    <w:rsid w:val="00224255"/>
    <w:rsid w:val="00224481"/>
    <w:rsid w:val="002244B7"/>
    <w:rsid w:val="00224865"/>
    <w:rsid w:val="00224997"/>
    <w:rsid w:val="00224DDB"/>
    <w:rsid w:val="00224E52"/>
    <w:rsid w:val="0022557E"/>
    <w:rsid w:val="002258DA"/>
    <w:rsid w:val="002259AF"/>
    <w:rsid w:val="00225EC4"/>
    <w:rsid w:val="00225FD3"/>
    <w:rsid w:val="0022659B"/>
    <w:rsid w:val="002265CF"/>
    <w:rsid w:val="0022684F"/>
    <w:rsid w:val="00226977"/>
    <w:rsid w:val="002269AD"/>
    <w:rsid w:val="00226BDD"/>
    <w:rsid w:val="00226CFD"/>
    <w:rsid w:val="00226ECF"/>
    <w:rsid w:val="002276D5"/>
    <w:rsid w:val="00227A96"/>
    <w:rsid w:val="00227B88"/>
    <w:rsid w:val="002300FD"/>
    <w:rsid w:val="0023058A"/>
    <w:rsid w:val="00230771"/>
    <w:rsid w:val="00230BCA"/>
    <w:rsid w:val="00230D60"/>
    <w:rsid w:val="00230E23"/>
    <w:rsid w:val="00230E3F"/>
    <w:rsid w:val="00230F83"/>
    <w:rsid w:val="0023110E"/>
    <w:rsid w:val="00231529"/>
    <w:rsid w:val="00231545"/>
    <w:rsid w:val="0023190D"/>
    <w:rsid w:val="002319E3"/>
    <w:rsid w:val="00231A42"/>
    <w:rsid w:val="00231CAF"/>
    <w:rsid w:val="00232162"/>
    <w:rsid w:val="0023232D"/>
    <w:rsid w:val="00232428"/>
    <w:rsid w:val="00232562"/>
    <w:rsid w:val="00232A69"/>
    <w:rsid w:val="00232B7D"/>
    <w:rsid w:val="00232E38"/>
    <w:rsid w:val="00232FA7"/>
    <w:rsid w:val="00233209"/>
    <w:rsid w:val="0023329C"/>
    <w:rsid w:val="00233349"/>
    <w:rsid w:val="0023349C"/>
    <w:rsid w:val="002334A4"/>
    <w:rsid w:val="00233AFE"/>
    <w:rsid w:val="00233B17"/>
    <w:rsid w:val="00233C01"/>
    <w:rsid w:val="00233C48"/>
    <w:rsid w:val="00233E56"/>
    <w:rsid w:val="00233E77"/>
    <w:rsid w:val="00234230"/>
    <w:rsid w:val="0023424C"/>
    <w:rsid w:val="00234286"/>
    <w:rsid w:val="00234386"/>
    <w:rsid w:val="0023453B"/>
    <w:rsid w:val="0023469A"/>
    <w:rsid w:val="00234792"/>
    <w:rsid w:val="00234E0C"/>
    <w:rsid w:val="00235064"/>
    <w:rsid w:val="002351C5"/>
    <w:rsid w:val="00235768"/>
    <w:rsid w:val="002357A6"/>
    <w:rsid w:val="00235A6C"/>
    <w:rsid w:val="00235C16"/>
    <w:rsid w:val="00235CF3"/>
    <w:rsid w:val="00235D7B"/>
    <w:rsid w:val="00236046"/>
    <w:rsid w:val="002364C6"/>
    <w:rsid w:val="00236A42"/>
    <w:rsid w:val="00236F4E"/>
    <w:rsid w:val="0023725C"/>
    <w:rsid w:val="0023725E"/>
    <w:rsid w:val="002372DC"/>
    <w:rsid w:val="00237531"/>
    <w:rsid w:val="002378F2"/>
    <w:rsid w:val="00237E69"/>
    <w:rsid w:val="00237EFE"/>
    <w:rsid w:val="00237F52"/>
    <w:rsid w:val="00240328"/>
    <w:rsid w:val="00240435"/>
    <w:rsid w:val="00240574"/>
    <w:rsid w:val="002405EB"/>
    <w:rsid w:val="0024064C"/>
    <w:rsid w:val="0024077F"/>
    <w:rsid w:val="002409B4"/>
    <w:rsid w:val="00240DA6"/>
    <w:rsid w:val="00240E02"/>
    <w:rsid w:val="00240FB5"/>
    <w:rsid w:val="0024120C"/>
    <w:rsid w:val="00241394"/>
    <w:rsid w:val="00241892"/>
    <w:rsid w:val="002418B8"/>
    <w:rsid w:val="002420CD"/>
    <w:rsid w:val="00242259"/>
    <w:rsid w:val="0024239F"/>
    <w:rsid w:val="0024248C"/>
    <w:rsid w:val="002424AF"/>
    <w:rsid w:val="0024268C"/>
    <w:rsid w:val="00242894"/>
    <w:rsid w:val="002429B5"/>
    <w:rsid w:val="00242BCA"/>
    <w:rsid w:val="00242C86"/>
    <w:rsid w:val="00243024"/>
    <w:rsid w:val="002434F3"/>
    <w:rsid w:val="00243ABF"/>
    <w:rsid w:val="00243C4D"/>
    <w:rsid w:val="00244093"/>
    <w:rsid w:val="00244212"/>
    <w:rsid w:val="00244300"/>
    <w:rsid w:val="002443E6"/>
    <w:rsid w:val="002445A9"/>
    <w:rsid w:val="002445E2"/>
    <w:rsid w:val="002447E8"/>
    <w:rsid w:val="0024485C"/>
    <w:rsid w:val="00244B11"/>
    <w:rsid w:val="00244D14"/>
    <w:rsid w:val="00244F3B"/>
    <w:rsid w:val="002450A9"/>
    <w:rsid w:val="00245100"/>
    <w:rsid w:val="002452EF"/>
    <w:rsid w:val="00245896"/>
    <w:rsid w:val="00245929"/>
    <w:rsid w:val="00245AA9"/>
    <w:rsid w:val="00245B79"/>
    <w:rsid w:val="00246104"/>
    <w:rsid w:val="00246349"/>
    <w:rsid w:val="002463DA"/>
    <w:rsid w:val="002464BD"/>
    <w:rsid w:val="00246657"/>
    <w:rsid w:val="002466B6"/>
    <w:rsid w:val="002466E3"/>
    <w:rsid w:val="00246881"/>
    <w:rsid w:val="002468F8"/>
    <w:rsid w:val="0024707A"/>
    <w:rsid w:val="0024709B"/>
    <w:rsid w:val="00247204"/>
    <w:rsid w:val="00247330"/>
    <w:rsid w:val="0024774C"/>
    <w:rsid w:val="002477BF"/>
    <w:rsid w:val="002477D9"/>
    <w:rsid w:val="00247B6B"/>
    <w:rsid w:val="00247C3F"/>
    <w:rsid w:val="00247DDD"/>
    <w:rsid w:val="00247E0E"/>
    <w:rsid w:val="00247E4F"/>
    <w:rsid w:val="00247F31"/>
    <w:rsid w:val="002500AE"/>
    <w:rsid w:val="002502DD"/>
    <w:rsid w:val="0025041A"/>
    <w:rsid w:val="00250596"/>
    <w:rsid w:val="002505EA"/>
    <w:rsid w:val="002506C7"/>
    <w:rsid w:val="0025105A"/>
    <w:rsid w:val="00251535"/>
    <w:rsid w:val="00251B1D"/>
    <w:rsid w:val="00251B7F"/>
    <w:rsid w:val="00251D55"/>
    <w:rsid w:val="00251D77"/>
    <w:rsid w:val="00251EAE"/>
    <w:rsid w:val="00252147"/>
    <w:rsid w:val="00252629"/>
    <w:rsid w:val="00252894"/>
    <w:rsid w:val="0025291D"/>
    <w:rsid w:val="0025295B"/>
    <w:rsid w:val="00252966"/>
    <w:rsid w:val="00252B97"/>
    <w:rsid w:val="00252C3C"/>
    <w:rsid w:val="00252C42"/>
    <w:rsid w:val="00252DC0"/>
    <w:rsid w:val="00253238"/>
    <w:rsid w:val="00253458"/>
    <w:rsid w:val="002534C4"/>
    <w:rsid w:val="00253615"/>
    <w:rsid w:val="0025367A"/>
    <w:rsid w:val="0025376B"/>
    <w:rsid w:val="00253785"/>
    <w:rsid w:val="00253847"/>
    <w:rsid w:val="00253B9F"/>
    <w:rsid w:val="00253FF8"/>
    <w:rsid w:val="0025404D"/>
    <w:rsid w:val="00254269"/>
    <w:rsid w:val="002542E9"/>
    <w:rsid w:val="00254454"/>
    <w:rsid w:val="0025469F"/>
    <w:rsid w:val="00254711"/>
    <w:rsid w:val="00254EB0"/>
    <w:rsid w:val="00255283"/>
    <w:rsid w:val="00255308"/>
    <w:rsid w:val="00255447"/>
    <w:rsid w:val="00255587"/>
    <w:rsid w:val="002556B0"/>
    <w:rsid w:val="002558A1"/>
    <w:rsid w:val="00255B82"/>
    <w:rsid w:val="0025600E"/>
    <w:rsid w:val="00256613"/>
    <w:rsid w:val="00256758"/>
    <w:rsid w:val="00256B81"/>
    <w:rsid w:val="00256CA5"/>
    <w:rsid w:val="00256D80"/>
    <w:rsid w:val="00256D81"/>
    <w:rsid w:val="00256DE2"/>
    <w:rsid w:val="00256FEE"/>
    <w:rsid w:val="00257225"/>
    <w:rsid w:val="00257693"/>
    <w:rsid w:val="00257877"/>
    <w:rsid w:val="0025795E"/>
    <w:rsid w:val="00257EB1"/>
    <w:rsid w:val="00257F15"/>
    <w:rsid w:val="00257F23"/>
    <w:rsid w:val="002605FF"/>
    <w:rsid w:val="00260674"/>
    <w:rsid w:val="00260D4C"/>
    <w:rsid w:val="00260EC4"/>
    <w:rsid w:val="0026148C"/>
    <w:rsid w:val="002614B7"/>
    <w:rsid w:val="002615FD"/>
    <w:rsid w:val="00261AAC"/>
    <w:rsid w:val="00261E51"/>
    <w:rsid w:val="00261E87"/>
    <w:rsid w:val="002621E8"/>
    <w:rsid w:val="002628BF"/>
    <w:rsid w:val="00262B22"/>
    <w:rsid w:val="00262C98"/>
    <w:rsid w:val="00262EA9"/>
    <w:rsid w:val="002630CE"/>
    <w:rsid w:val="00263367"/>
    <w:rsid w:val="00263591"/>
    <w:rsid w:val="002635AE"/>
    <w:rsid w:val="0026363A"/>
    <w:rsid w:val="00263731"/>
    <w:rsid w:val="00263940"/>
    <w:rsid w:val="00263979"/>
    <w:rsid w:val="00263BA3"/>
    <w:rsid w:val="00264046"/>
    <w:rsid w:val="002644FB"/>
    <w:rsid w:val="00264CC6"/>
    <w:rsid w:val="00264DBE"/>
    <w:rsid w:val="00264DF5"/>
    <w:rsid w:val="00264E8A"/>
    <w:rsid w:val="00264F29"/>
    <w:rsid w:val="002654A5"/>
    <w:rsid w:val="002655C8"/>
    <w:rsid w:val="0026569E"/>
    <w:rsid w:val="00265ADC"/>
    <w:rsid w:val="002661CE"/>
    <w:rsid w:val="00266701"/>
    <w:rsid w:val="00266726"/>
    <w:rsid w:val="00266C07"/>
    <w:rsid w:val="00266F6E"/>
    <w:rsid w:val="002677E9"/>
    <w:rsid w:val="002701DA"/>
    <w:rsid w:val="0027024E"/>
    <w:rsid w:val="002702EB"/>
    <w:rsid w:val="002704B5"/>
    <w:rsid w:val="002705C7"/>
    <w:rsid w:val="002706BF"/>
    <w:rsid w:val="002706ED"/>
    <w:rsid w:val="0027076F"/>
    <w:rsid w:val="002708DC"/>
    <w:rsid w:val="00270BE7"/>
    <w:rsid w:val="00270C1A"/>
    <w:rsid w:val="00270C73"/>
    <w:rsid w:val="00271371"/>
    <w:rsid w:val="002713B3"/>
    <w:rsid w:val="0027143C"/>
    <w:rsid w:val="002715B5"/>
    <w:rsid w:val="002719CD"/>
    <w:rsid w:val="00271B85"/>
    <w:rsid w:val="00271BE5"/>
    <w:rsid w:val="00271CE6"/>
    <w:rsid w:val="00271FD1"/>
    <w:rsid w:val="002723FF"/>
    <w:rsid w:val="002726C3"/>
    <w:rsid w:val="00272798"/>
    <w:rsid w:val="00272C3F"/>
    <w:rsid w:val="002732E7"/>
    <w:rsid w:val="00273503"/>
    <w:rsid w:val="00273557"/>
    <w:rsid w:val="002739BD"/>
    <w:rsid w:val="00273A15"/>
    <w:rsid w:val="00273BDD"/>
    <w:rsid w:val="00273E24"/>
    <w:rsid w:val="00273F3B"/>
    <w:rsid w:val="0027437B"/>
    <w:rsid w:val="002747B2"/>
    <w:rsid w:val="00274EE5"/>
    <w:rsid w:val="00275A79"/>
    <w:rsid w:val="00275B66"/>
    <w:rsid w:val="00275E1F"/>
    <w:rsid w:val="00275E34"/>
    <w:rsid w:val="00276098"/>
    <w:rsid w:val="002760D8"/>
    <w:rsid w:val="002761E2"/>
    <w:rsid w:val="002763C0"/>
    <w:rsid w:val="002765E5"/>
    <w:rsid w:val="00276641"/>
    <w:rsid w:val="0027689C"/>
    <w:rsid w:val="002768B2"/>
    <w:rsid w:val="00276CD5"/>
    <w:rsid w:val="00276E23"/>
    <w:rsid w:val="00276E44"/>
    <w:rsid w:val="002770DC"/>
    <w:rsid w:val="002771F7"/>
    <w:rsid w:val="002777DE"/>
    <w:rsid w:val="0027790F"/>
    <w:rsid w:val="00277A44"/>
    <w:rsid w:val="00277B35"/>
    <w:rsid w:val="00277B9C"/>
    <w:rsid w:val="00277BE2"/>
    <w:rsid w:val="00277BF0"/>
    <w:rsid w:val="00277DA4"/>
    <w:rsid w:val="00277E33"/>
    <w:rsid w:val="00280983"/>
    <w:rsid w:val="00280AAF"/>
    <w:rsid w:val="00280C79"/>
    <w:rsid w:val="00280FF5"/>
    <w:rsid w:val="00281648"/>
    <w:rsid w:val="002817A3"/>
    <w:rsid w:val="00281947"/>
    <w:rsid w:val="0028197D"/>
    <w:rsid w:val="00281F96"/>
    <w:rsid w:val="002824F1"/>
    <w:rsid w:val="002829A0"/>
    <w:rsid w:val="00282CDC"/>
    <w:rsid w:val="00282CE6"/>
    <w:rsid w:val="00282E71"/>
    <w:rsid w:val="00282F36"/>
    <w:rsid w:val="00282F83"/>
    <w:rsid w:val="002830DE"/>
    <w:rsid w:val="0028323C"/>
    <w:rsid w:val="002832F3"/>
    <w:rsid w:val="0028365D"/>
    <w:rsid w:val="00283895"/>
    <w:rsid w:val="002839EF"/>
    <w:rsid w:val="00283A86"/>
    <w:rsid w:val="00283C9F"/>
    <w:rsid w:val="00283FDA"/>
    <w:rsid w:val="00284312"/>
    <w:rsid w:val="00284695"/>
    <w:rsid w:val="00284788"/>
    <w:rsid w:val="00284FFB"/>
    <w:rsid w:val="0028502C"/>
    <w:rsid w:val="0028514A"/>
    <w:rsid w:val="002854F7"/>
    <w:rsid w:val="0028557D"/>
    <w:rsid w:val="00285A65"/>
    <w:rsid w:val="00285E7D"/>
    <w:rsid w:val="00286053"/>
    <w:rsid w:val="002860AB"/>
    <w:rsid w:val="002860EA"/>
    <w:rsid w:val="002862E7"/>
    <w:rsid w:val="002863D2"/>
    <w:rsid w:val="002866DB"/>
    <w:rsid w:val="00286907"/>
    <w:rsid w:val="00286B6F"/>
    <w:rsid w:val="00287312"/>
    <w:rsid w:val="0028737A"/>
    <w:rsid w:val="002873A5"/>
    <w:rsid w:val="00287435"/>
    <w:rsid w:val="00287459"/>
    <w:rsid w:val="00287764"/>
    <w:rsid w:val="00287B8F"/>
    <w:rsid w:val="00287BCB"/>
    <w:rsid w:val="00287BF3"/>
    <w:rsid w:val="00287CDB"/>
    <w:rsid w:val="00287CF8"/>
    <w:rsid w:val="002901B3"/>
    <w:rsid w:val="002907CD"/>
    <w:rsid w:val="00290A58"/>
    <w:rsid w:val="00290B71"/>
    <w:rsid w:val="00290EC7"/>
    <w:rsid w:val="00290EE5"/>
    <w:rsid w:val="0029114D"/>
    <w:rsid w:val="00291279"/>
    <w:rsid w:val="00291678"/>
    <w:rsid w:val="002916AA"/>
    <w:rsid w:val="002916D9"/>
    <w:rsid w:val="00291771"/>
    <w:rsid w:val="0029179B"/>
    <w:rsid w:val="002918AF"/>
    <w:rsid w:val="002918C3"/>
    <w:rsid w:val="00291900"/>
    <w:rsid w:val="0029199A"/>
    <w:rsid w:val="00291C15"/>
    <w:rsid w:val="00291C86"/>
    <w:rsid w:val="00291DEB"/>
    <w:rsid w:val="00291E6B"/>
    <w:rsid w:val="00292064"/>
    <w:rsid w:val="00292106"/>
    <w:rsid w:val="002924C4"/>
    <w:rsid w:val="00292901"/>
    <w:rsid w:val="00292B15"/>
    <w:rsid w:val="00292B37"/>
    <w:rsid w:val="00292B8B"/>
    <w:rsid w:val="0029305A"/>
    <w:rsid w:val="002931E2"/>
    <w:rsid w:val="002932A6"/>
    <w:rsid w:val="00293838"/>
    <w:rsid w:val="002938CE"/>
    <w:rsid w:val="00293F01"/>
    <w:rsid w:val="00294228"/>
    <w:rsid w:val="0029432B"/>
    <w:rsid w:val="0029472C"/>
    <w:rsid w:val="00294862"/>
    <w:rsid w:val="00294878"/>
    <w:rsid w:val="0029499A"/>
    <w:rsid w:val="00294EBD"/>
    <w:rsid w:val="00294F1D"/>
    <w:rsid w:val="00294F64"/>
    <w:rsid w:val="002950EC"/>
    <w:rsid w:val="00295A59"/>
    <w:rsid w:val="00295A7C"/>
    <w:rsid w:val="00295D35"/>
    <w:rsid w:val="00295F1E"/>
    <w:rsid w:val="002960F9"/>
    <w:rsid w:val="0029619D"/>
    <w:rsid w:val="00296316"/>
    <w:rsid w:val="00296319"/>
    <w:rsid w:val="002969DC"/>
    <w:rsid w:val="00296BEE"/>
    <w:rsid w:val="00296D6C"/>
    <w:rsid w:val="00297030"/>
    <w:rsid w:val="0029759B"/>
    <w:rsid w:val="00297768"/>
    <w:rsid w:val="0029784E"/>
    <w:rsid w:val="00297C1F"/>
    <w:rsid w:val="00297EC8"/>
    <w:rsid w:val="002A00AD"/>
    <w:rsid w:val="002A0127"/>
    <w:rsid w:val="002A0192"/>
    <w:rsid w:val="002A060C"/>
    <w:rsid w:val="002A0848"/>
    <w:rsid w:val="002A0886"/>
    <w:rsid w:val="002A0981"/>
    <w:rsid w:val="002A0B2F"/>
    <w:rsid w:val="002A0D02"/>
    <w:rsid w:val="002A1142"/>
    <w:rsid w:val="002A124D"/>
    <w:rsid w:val="002A1453"/>
    <w:rsid w:val="002A17F1"/>
    <w:rsid w:val="002A188D"/>
    <w:rsid w:val="002A1A65"/>
    <w:rsid w:val="002A1C69"/>
    <w:rsid w:val="002A1D46"/>
    <w:rsid w:val="002A20C1"/>
    <w:rsid w:val="002A20E5"/>
    <w:rsid w:val="002A2373"/>
    <w:rsid w:val="002A23F2"/>
    <w:rsid w:val="002A286E"/>
    <w:rsid w:val="002A28BC"/>
    <w:rsid w:val="002A2993"/>
    <w:rsid w:val="002A2CC1"/>
    <w:rsid w:val="002A2E5D"/>
    <w:rsid w:val="002A2E60"/>
    <w:rsid w:val="002A2F16"/>
    <w:rsid w:val="002A33B4"/>
    <w:rsid w:val="002A3690"/>
    <w:rsid w:val="002A36FF"/>
    <w:rsid w:val="002A38A6"/>
    <w:rsid w:val="002A38FE"/>
    <w:rsid w:val="002A3A28"/>
    <w:rsid w:val="002A3ABB"/>
    <w:rsid w:val="002A3B87"/>
    <w:rsid w:val="002A3B9E"/>
    <w:rsid w:val="002A3CE9"/>
    <w:rsid w:val="002A3DF0"/>
    <w:rsid w:val="002A410A"/>
    <w:rsid w:val="002A457E"/>
    <w:rsid w:val="002A46C4"/>
    <w:rsid w:val="002A47D6"/>
    <w:rsid w:val="002A4B2D"/>
    <w:rsid w:val="002A4B34"/>
    <w:rsid w:val="002A4BA6"/>
    <w:rsid w:val="002A4F2A"/>
    <w:rsid w:val="002A5215"/>
    <w:rsid w:val="002A568B"/>
    <w:rsid w:val="002A5696"/>
    <w:rsid w:val="002A5C62"/>
    <w:rsid w:val="002A5DDF"/>
    <w:rsid w:val="002A5F7F"/>
    <w:rsid w:val="002A62D8"/>
    <w:rsid w:val="002A6301"/>
    <w:rsid w:val="002A6328"/>
    <w:rsid w:val="002A637F"/>
    <w:rsid w:val="002A66D3"/>
    <w:rsid w:val="002A6805"/>
    <w:rsid w:val="002A6D57"/>
    <w:rsid w:val="002A6DB6"/>
    <w:rsid w:val="002A6E55"/>
    <w:rsid w:val="002A6ED8"/>
    <w:rsid w:val="002A7572"/>
    <w:rsid w:val="002A76BE"/>
    <w:rsid w:val="002A7770"/>
    <w:rsid w:val="002A7A6C"/>
    <w:rsid w:val="002A7AA6"/>
    <w:rsid w:val="002A7BF2"/>
    <w:rsid w:val="002A7CCA"/>
    <w:rsid w:val="002B011D"/>
    <w:rsid w:val="002B0212"/>
    <w:rsid w:val="002B0400"/>
    <w:rsid w:val="002B04A7"/>
    <w:rsid w:val="002B04AB"/>
    <w:rsid w:val="002B0603"/>
    <w:rsid w:val="002B069F"/>
    <w:rsid w:val="002B06F3"/>
    <w:rsid w:val="002B099E"/>
    <w:rsid w:val="002B0A7D"/>
    <w:rsid w:val="002B0C68"/>
    <w:rsid w:val="002B0F58"/>
    <w:rsid w:val="002B16E8"/>
    <w:rsid w:val="002B20D9"/>
    <w:rsid w:val="002B2105"/>
    <w:rsid w:val="002B2126"/>
    <w:rsid w:val="002B21E1"/>
    <w:rsid w:val="002B25F6"/>
    <w:rsid w:val="002B2A34"/>
    <w:rsid w:val="002B2BE5"/>
    <w:rsid w:val="002B2D66"/>
    <w:rsid w:val="002B2FD0"/>
    <w:rsid w:val="002B3274"/>
    <w:rsid w:val="002B35FB"/>
    <w:rsid w:val="002B3609"/>
    <w:rsid w:val="002B37D9"/>
    <w:rsid w:val="002B3812"/>
    <w:rsid w:val="002B3930"/>
    <w:rsid w:val="002B3A33"/>
    <w:rsid w:val="002B49F6"/>
    <w:rsid w:val="002B4A5E"/>
    <w:rsid w:val="002B4B29"/>
    <w:rsid w:val="002B4D37"/>
    <w:rsid w:val="002B4E42"/>
    <w:rsid w:val="002B52F0"/>
    <w:rsid w:val="002B561B"/>
    <w:rsid w:val="002B5870"/>
    <w:rsid w:val="002B5B3D"/>
    <w:rsid w:val="002B6473"/>
    <w:rsid w:val="002B6508"/>
    <w:rsid w:val="002B6703"/>
    <w:rsid w:val="002B6B23"/>
    <w:rsid w:val="002B6C40"/>
    <w:rsid w:val="002B738E"/>
    <w:rsid w:val="002B74DA"/>
    <w:rsid w:val="002B7810"/>
    <w:rsid w:val="002B7855"/>
    <w:rsid w:val="002B7B63"/>
    <w:rsid w:val="002B7D3B"/>
    <w:rsid w:val="002B7FEB"/>
    <w:rsid w:val="002C016E"/>
    <w:rsid w:val="002C0651"/>
    <w:rsid w:val="002C0713"/>
    <w:rsid w:val="002C090F"/>
    <w:rsid w:val="002C09C9"/>
    <w:rsid w:val="002C0DF4"/>
    <w:rsid w:val="002C0E5B"/>
    <w:rsid w:val="002C0EE8"/>
    <w:rsid w:val="002C12F4"/>
    <w:rsid w:val="002C1465"/>
    <w:rsid w:val="002C15D2"/>
    <w:rsid w:val="002C182F"/>
    <w:rsid w:val="002C184F"/>
    <w:rsid w:val="002C1A1A"/>
    <w:rsid w:val="002C1AE3"/>
    <w:rsid w:val="002C1CA2"/>
    <w:rsid w:val="002C1D83"/>
    <w:rsid w:val="002C1DE5"/>
    <w:rsid w:val="002C22F9"/>
    <w:rsid w:val="002C2388"/>
    <w:rsid w:val="002C2392"/>
    <w:rsid w:val="002C29D5"/>
    <w:rsid w:val="002C2ADD"/>
    <w:rsid w:val="002C2E5A"/>
    <w:rsid w:val="002C2F73"/>
    <w:rsid w:val="002C31EE"/>
    <w:rsid w:val="002C329B"/>
    <w:rsid w:val="002C32AC"/>
    <w:rsid w:val="002C33B9"/>
    <w:rsid w:val="002C369B"/>
    <w:rsid w:val="002C37A6"/>
    <w:rsid w:val="002C38AB"/>
    <w:rsid w:val="002C3F51"/>
    <w:rsid w:val="002C419E"/>
    <w:rsid w:val="002C435F"/>
    <w:rsid w:val="002C471F"/>
    <w:rsid w:val="002C48C5"/>
    <w:rsid w:val="002C49F3"/>
    <w:rsid w:val="002C4A04"/>
    <w:rsid w:val="002C4BE7"/>
    <w:rsid w:val="002C4BE8"/>
    <w:rsid w:val="002C4C4C"/>
    <w:rsid w:val="002C509E"/>
    <w:rsid w:val="002C521B"/>
    <w:rsid w:val="002C5364"/>
    <w:rsid w:val="002C556B"/>
    <w:rsid w:val="002C56EB"/>
    <w:rsid w:val="002C5994"/>
    <w:rsid w:val="002C5A72"/>
    <w:rsid w:val="002C5D0D"/>
    <w:rsid w:val="002C5E47"/>
    <w:rsid w:val="002C5EAB"/>
    <w:rsid w:val="002C5ECA"/>
    <w:rsid w:val="002C6782"/>
    <w:rsid w:val="002C696E"/>
    <w:rsid w:val="002C6AA6"/>
    <w:rsid w:val="002C6B31"/>
    <w:rsid w:val="002C6C13"/>
    <w:rsid w:val="002C6CC2"/>
    <w:rsid w:val="002C6DAA"/>
    <w:rsid w:val="002C6DE4"/>
    <w:rsid w:val="002C6E21"/>
    <w:rsid w:val="002C7979"/>
    <w:rsid w:val="002C7A46"/>
    <w:rsid w:val="002C7C5F"/>
    <w:rsid w:val="002C7C76"/>
    <w:rsid w:val="002C7D46"/>
    <w:rsid w:val="002C7FCB"/>
    <w:rsid w:val="002D02AB"/>
    <w:rsid w:val="002D0426"/>
    <w:rsid w:val="002D060E"/>
    <w:rsid w:val="002D0A57"/>
    <w:rsid w:val="002D0B13"/>
    <w:rsid w:val="002D0D8D"/>
    <w:rsid w:val="002D10DB"/>
    <w:rsid w:val="002D1299"/>
    <w:rsid w:val="002D1461"/>
    <w:rsid w:val="002D1611"/>
    <w:rsid w:val="002D17D4"/>
    <w:rsid w:val="002D184A"/>
    <w:rsid w:val="002D19BF"/>
    <w:rsid w:val="002D1DAB"/>
    <w:rsid w:val="002D1FA4"/>
    <w:rsid w:val="002D2206"/>
    <w:rsid w:val="002D2405"/>
    <w:rsid w:val="002D2A88"/>
    <w:rsid w:val="002D2AB0"/>
    <w:rsid w:val="002D2D6B"/>
    <w:rsid w:val="002D2E3D"/>
    <w:rsid w:val="002D2E9E"/>
    <w:rsid w:val="002D35C4"/>
    <w:rsid w:val="002D3756"/>
    <w:rsid w:val="002D3879"/>
    <w:rsid w:val="002D3B02"/>
    <w:rsid w:val="002D3E0B"/>
    <w:rsid w:val="002D3F64"/>
    <w:rsid w:val="002D4091"/>
    <w:rsid w:val="002D41DD"/>
    <w:rsid w:val="002D441B"/>
    <w:rsid w:val="002D459C"/>
    <w:rsid w:val="002D4740"/>
    <w:rsid w:val="002D47FA"/>
    <w:rsid w:val="002D48FE"/>
    <w:rsid w:val="002D4A30"/>
    <w:rsid w:val="002D4C43"/>
    <w:rsid w:val="002D4E4F"/>
    <w:rsid w:val="002D503C"/>
    <w:rsid w:val="002D50E5"/>
    <w:rsid w:val="002D516B"/>
    <w:rsid w:val="002D529E"/>
    <w:rsid w:val="002D55C7"/>
    <w:rsid w:val="002D56D5"/>
    <w:rsid w:val="002D5799"/>
    <w:rsid w:val="002D5B31"/>
    <w:rsid w:val="002D5FD4"/>
    <w:rsid w:val="002D607D"/>
    <w:rsid w:val="002D61B9"/>
    <w:rsid w:val="002D6202"/>
    <w:rsid w:val="002D6373"/>
    <w:rsid w:val="002D637E"/>
    <w:rsid w:val="002D639B"/>
    <w:rsid w:val="002D642C"/>
    <w:rsid w:val="002D65B7"/>
    <w:rsid w:val="002D6691"/>
    <w:rsid w:val="002D6697"/>
    <w:rsid w:val="002D6793"/>
    <w:rsid w:val="002D69E1"/>
    <w:rsid w:val="002D6E61"/>
    <w:rsid w:val="002D6EC2"/>
    <w:rsid w:val="002D7046"/>
    <w:rsid w:val="002D7293"/>
    <w:rsid w:val="002D74D1"/>
    <w:rsid w:val="002D7556"/>
    <w:rsid w:val="002D7647"/>
    <w:rsid w:val="002D7889"/>
    <w:rsid w:val="002D78D3"/>
    <w:rsid w:val="002D7B1B"/>
    <w:rsid w:val="002D7BAB"/>
    <w:rsid w:val="002D7F4C"/>
    <w:rsid w:val="002E010B"/>
    <w:rsid w:val="002E01DC"/>
    <w:rsid w:val="002E0354"/>
    <w:rsid w:val="002E0D8B"/>
    <w:rsid w:val="002E0DDF"/>
    <w:rsid w:val="002E0E19"/>
    <w:rsid w:val="002E0F5A"/>
    <w:rsid w:val="002E1668"/>
    <w:rsid w:val="002E16E9"/>
    <w:rsid w:val="002E171A"/>
    <w:rsid w:val="002E1B0E"/>
    <w:rsid w:val="002E1E39"/>
    <w:rsid w:val="002E1F15"/>
    <w:rsid w:val="002E1F3D"/>
    <w:rsid w:val="002E2006"/>
    <w:rsid w:val="002E2191"/>
    <w:rsid w:val="002E21D0"/>
    <w:rsid w:val="002E24C8"/>
    <w:rsid w:val="002E24E1"/>
    <w:rsid w:val="002E2505"/>
    <w:rsid w:val="002E2589"/>
    <w:rsid w:val="002E2599"/>
    <w:rsid w:val="002E2606"/>
    <w:rsid w:val="002E27B7"/>
    <w:rsid w:val="002E2AA9"/>
    <w:rsid w:val="002E2B75"/>
    <w:rsid w:val="002E2C6F"/>
    <w:rsid w:val="002E343E"/>
    <w:rsid w:val="002E35A3"/>
    <w:rsid w:val="002E35F5"/>
    <w:rsid w:val="002E3B07"/>
    <w:rsid w:val="002E3D53"/>
    <w:rsid w:val="002E3EB4"/>
    <w:rsid w:val="002E4030"/>
    <w:rsid w:val="002E409C"/>
    <w:rsid w:val="002E426B"/>
    <w:rsid w:val="002E45A1"/>
    <w:rsid w:val="002E4660"/>
    <w:rsid w:val="002E4895"/>
    <w:rsid w:val="002E5171"/>
    <w:rsid w:val="002E52D3"/>
    <w:rsid w:val="002E551F"/>
    <w:rsid w:val="002E5649"/>
    <w:rsid w:val="002E591D"/>
    <w:rsid w:val="002E59B9"/>
    <w:rsid w:val="002E59C1"/>
    <w:rsid w:val="002E5C3E"/>
    <w:rsid w:val="002E5D5B"/>
    <w:rsid w:val="002E5DA3"/>
    <w:rsid w:val="002E5FD0"/>
    <w:rsid w:val="002E60E3"/>
    <w:rsid w:val="002E617C"/>
    <w:rsid w:val="002E6327"/>
    <w:rsid w:val="002E6473"/>
    <w:rsid w:val="002E6872"/>
    <w:rsid w:val="002E6C53"/>
    <w:rsid w:val="002E6CDA"/>
    <w:rsid w:val="002E6DCF"/>
    <w:rsid w:val="002E6E78"/>
    <w:rsid w:val="002E70CC"/>
    <w:rsid w:val="002E70F5"/>
    <w:rsid w:val="002E74FE"/>
    <w:rsid w:val="002E75FB"/>
    <w:rsid w:val="002E77FC"/>
    <w:rsid w:val="002E7AB5"/>
    <w:rsid w:val="002E7AFA"/>
    <w:rsid w:val="002F00A7"/>
    <w:rsid w:val="002F00DA"/>
    <w:rsid w:val="002F0172"/>
    <w:rsid w:val="002F040C"/>
    <w:rsid w:val="002F04A0"/>
    <w:rsid w:val="002F04BD"/>
    <w:rsid w:val="002F0755"/>
    <w:rsid w:val="002F097D"/>
    <w:rsid w:val="002F0A9D"/>
    <w:rsid w:val="002F0B1C"/>
    <w:rsid w:val="002F0BA3"/>
    <w:rsid w:val="002F10B6"/>
    <w:rsid w:val="002F170C"/>
    <w:rsid w:val="002F1770"/>
    <w:rsid w:val="002F185B"/>
    <w:rsid w:val="002F19E1"/>
    <w:rsid w:val="002F1AB7"/>
    <w:rsid w:val="002F1CCF"/>
    <w:rsid w:val="002F2095"/>
    <w:rsid w:val="002F234A"/>
    <w:rsid w:val="002F2471"/>
    <w:rsid w:val="002F2488"/>
    <w:rsid w:val="002F25CF"/>
    <w:rsid w:val="002F2796"/>
    <w:rsid w:val="002F27E2"/>
    <w:rsid w:val="002F2821"/>
    <w:rsid w:val="002F28F3"/>
    <w:rsid w:val="002F28FF"/>
    <w:rsid w:val="002F29FF"/>
    <w:rsid w:val="002F2B3A"/>
    <w:rsid w:val="002F2BA5"/>
    <w:rsid w:val="002F2BF7"/>
    <w:rsid w:val="002F307E"/>
    <w:rsid w:val="002F31C4"/>
    <w:rsid w:val="002F3399"/>
    <w:rsid w:val="002F3855"/>
    <w:rsid w:val="002F3B7C"/>
    <w:rsid w:val="002F3DC7"/>
    <w:rsid w:val="002F3ECD"/>
    <w:rsid w:val="002F4183"/>
    <w:rsid w:val="002F4721"/>
    <w:rsid w:val="002F4974"/>
    <w:rsid w:val="002F49DA"/>
    <w:rsid w:val="002F4AC3"/>
    <w:rsid w:val="002F4CB8"/>
    <w:rsid w:val="002F4CF3"/>
    <w:rsid w:val="002F4E74"/>
    <w:rsid w:val="002F5068"/>
    <w:rsid w:val="002F5386"/>
    <w:rsid w:val="002F5555"/>
    <w:rsid w:val="002F55B1"/>
    <w:rsid w:val="002F55DD"/>
    <w:rsid w:val="002F598F"/>
    <w:rsid w:val="002F5B80"/>
    <w:rsid w:val="002F5B87"/>
    <w:rsid w:val="002F5D3D"/>
    <w:rsid w:val="002F5DDB"/>
    <w:rsid w:val="002F5DF1"/>
    <w:rsid w:val="002F611D"/>
    <w:rsid w:val="002F624A"/>
    <w:rsid w:val="002F6D9D"/>
    <w:rsid w:val="002F7362"/>
    <w:rsid w:val="002F7891"/>
    <w:rsid w:val="002F790F"/>
    <w:rsid w:val="002F7C27"/>
    <w:rsid w:val="002F7EFA"/>
    <w:rsid w:val="003000CC"/>
    <w:rsid w:val="003001C0"/>
    <w:rsid w:val="0030034D"/>
    <w:rsid w:val="00300385"/>
    <w:rsid w:val="003003C4"/>
    <w:rsid w:val="00300526"/>
    <w:rsid w:val="00300571"/>
    <w:rsid w:val="00300719"/>
    <w:rsid w:val="003007C5"/>
    <w:rsid w:val="00300968"/>
    <w:rsid w:val="00300B66"/>
    <w:rsid w:val="00300CAE"/>
    <w:rsid w:val="00300EEE"/>
    <w:rsid w:val="00300F91"/>
    <w:rsid w:val="00301070"/>
    <w:rsid w:val="00301820"/>
    <w:rsid w:val="00301CFB"/>
    <w:rsid w:val="00301F50"/>
    <w:rsid w:val="003027B4"/>
    <w:rsid w:val="00302D62"/>
    <w:rsid w:val="00302FEF"/>
    <w:rsid w:val="0030331B"/>
    <w:rsid w:val="00303402"/>
    <w:rsid w:val="003035A1"/>
    <w:rsid w:val="0030366D"/>
    <w:rsid w:val="0030368B"/>
    <w:rsid w:val="003037E7"/>
    <w:rsid w:val="0030384A"/>
    <w:rsid w:val="00303A52"/>
    <w:rsid w:val="00303AC1"/>
    <w:rsid w:val="00303F82"/>
    <w:rsid w:val="00304129"/>
    <w:rsid w:val="00304718"/>
    <w:rsid w:val="00304F83"/>
    <w:rsid w:val="0030500E"/>
    <w:rsid w:val="00305FBA"/>
    <w:rsid w:val="00306712"/>
    <w:rsid w:val="0030690B"/>
    <w:rsid w:val="00306B2F"/>
    <w:rsid w:val="00306DE5"/>
    <w:rsid w:val="00306F84"/>
    <w:rsid w:val="003072D7"/>
    <w:rsid w:val="00307357"/>
    <w:rsid w:val="003076F1"/>
    <w:rsid w:val="00307C64"/>
    <w:rsid w:val="00307E4D"/>
    <w:rsid w:val="003103F2"/>
    <w:rsid w:val="00310550"/>
    <w:rsid w:val="0031065D"/>
    <w:rsid w:val="00310D29"/>
    <w:rsid w:val="00310E21"/>
    <w:rsid w:val="0031181A"/>
    <w:rsid w:val="00311BBE"/>
    <w:rsid w:val="00311E10"/>
    <w:rsid w:val="00311E5F"/>
    <w:rsid w:val="00312129"/>
    <w:rsid w:val="003121DA"/>
    <w:rsid w:val="003124C6"/>
    <w:rsid w:val="00312580"/>
    <w:rsid w:val="00312A7C"/>
    <w:rsid w:val="00312F54"/>
    <w:rsid w:val="00312FCF"/>
    <w:rsid w:val="00312FFF"/>
    <w:rsid w:val="0031373F"/>
    <w:rsid w:val="00313A1E"/>
    <w:rsid w:val="00313B2E"/>
    <w:rsid w:val="0031415E"/>
    <w:rsid w:val="00314797"/>
    <w:rsid w:val="00314A45"/>
    <w:rsid w:val="00314D71"/>
    <w:rsid w:val="0031511B"/>
    <w:rsid w:val="003152FF"/>
    <w:rsid w:val="0031530A"/>
    <w:rsid w:val="0031534E"/>
    <w:rsid w:val="0031549D"/>
    <w:rsid w:val="003154D7"/>
    <w:rsid w:val="00315742"/>
    <w:rsid w:val="00315867"/>
    <w:rsid w:val="0031591F"/>
    <w:rsid w:val="00315976"/>
    <w:rsid w:val="00315C0D"/>
    <w:rsid w:val="00315DFD"/>
    <w:rsid w:val="00316061"/>
    <w:rsid w:val="003162F2"/>
    <w:rsid w:val="003163EB"/>
    <w:rsid w:val="00316872"/>
    <w:rsid w:val="00316875"/>
    <w:rsid w:val="00316A9C"/>
    <w:rsid w:val="00316E00"/>
    <w:rsid w:val="00316E9B"/>
    <w:rsid w:val="00316F51"/>
    <w:rsid w:val="003173EA"/>
    <w:rsid w:val="00317490"/>
    <w:rsid w:val="0031770B"/>
    <w:rsid w:val="00317ACA"/>
    <w:rsid w:val="00317B70"/>
    <w:rsid w:val="00317B79"/>
    <w:rsid w:val="00317FA3"/>
    <w:rsid w:val="00317FF4"/>
    <w:rsid w:val="0032069D"/>
    <w:rsid w:val="00320926"/>
    <w:rsid w:val="003209B1"/>
    <w:rsid w:val="00320E42"/>
    <w:rsid w:val="00320F14"/>
    <w:rsid w:val="003211A1"/>
    <w:rsid w:val="003212BB"/>
    <w:rsid w:val="003215A5"/>
    <w:rsid w:val="00321B80"/>
    <w:rsid w:val="00321BAE"/>
    <w:rsid w:val="00321F66"/>
    <w:rsid w:val="00321FD2"/>
    <w:rsid w:val="0032265B"/>
    <w:rsid w:val="0032283D"/>
    <w:rsid w:val="00322B5B"/>
    <w:rsid w:val="00323571"/>
    <w:rsid w:val="003237DA"/>
    <w:rsid w:val="0032380A"/>
    <w:rsid w:val="00323891"/>
    <w:rsid w:val="00323A37"/>
    <w:rsid w:val="00323BAC"/>
    <w:rsid w:val="00323BB8"/>
    <w:rsid w:val="00323E3E"/>
    <w:rsid w:val="00324678"/>
    <w:rsid w:val="0032491F"/>
    <w:rsid w:val="00324A4F"/>
    <w:rsid w:val="00324FDD"/>
    <w:rsid w:val="0032514B"/>
    <w:rsid w:val="00325162"/>
    <w:rsid w:val="0032518C"/>
    <w:rsid w:val="00325392"/>
    <w:rsid w:val="003257EB"/>
    <w:rsid w:val="0032599D"/>
    <w:rsid w:val="00325C46"/>
    <w:rsid w:val="00325C84"/>
    <w:rsid w:val="0032669B"/>
    <w:rsid w:val="0032697F"/>
    <w:rsid w:val="003269F6"/>
    <w:rsid w:val="00326A18"/>
    <w:rsid w:val="00326A84"/>
    <w:rsid w:val="00326C51"/>
    <w:rsid w:val="003270B5"/>
    <w:rsid w:val="0032723D"/>
    <w:rsid w:val="003272A4"/>
    <w:rsid w:val="00327574"/>
    <w:rsid w:val="0032760F"/>
    <w:rsid w:val="00327761"/>
    <w:rsid w:val="00327820"/>
    <w:rsid w:val="00327840"/>
    <w:rsid w:val="003278CA"/>
    <w:rsid w:val="00327A4E"/>
    <w:rsid w:val="00327B73"/>
    <w:rsid w:val="00327C72"/>
    <w:rsid w:val="00327D15"/>
    <w:rsid w:val="00327D63"/>
    <w:rsid w:val="00327DC2"/>
    <w:rsid w:val="00327FBC"/>
    <w:rsid w:val="003301EF"/>
    <w:rsid w:val="003303F6"/>
    <w:rsid w:val="00330833"/>
    <w:rsid w:val="00330BB1"/>
    <w:rsid w:val="00330D7E"/>
    <w:rsid w:val="0033101F"/>
    <w:rsid w:val="00331566"/>
    <w:rsid w:val="003315F9"/>
    <w:rsid w:val="00331741"/>
    <w:rsid w:val="00331901"/>
    <w:rsid w:val="00331949"/>
    <w:rsid w:val="003319CE"/>
    <w:rsid w:val="00331AEE"/>
    <w:rsid w:val="00331B4C"/>
    <w:rsid w:val="00331B6C"/>
    <w:rsid w:val="00331BA8"/>
    <w:rsid w:val="00331FC7"/>
    <w:rsid w:val="003322CA"/>
    <w:rsid w:val="00332352"/>
    <w:rsid w:val="003323BF"/>
    <w:rsid w:val="00332742"/>
    <w:rsid w:val="0033281C"/>
    <w:rsid w:val="00332B04"/>
    <w:rsid w:val="00332BE5"/>
    <w:rsid w:val="00332CB6"/>
    <w:rsid w:val="003332FD"/>
    <w:rsid w:val="00333532"/>
    <w:rsid w:val="00333777"/>
    <w:rsid w:val="003337D3"/>
    <w:rsid w:val="00333898"/>
    <w:rsid w:val="00333BEE"/>
    <w:rsid w:val="0033415B"/>
    <w:rsid w:val="003344B3"/>
    <w:rsid w:val="00334B6E"/>
    <w:rsid w:val="00334BC3"/>
    <w:rsid w:val="00334CD1"/>
    <w:rsid w:val="003352B7"/>
    <w:rsid w:val="0033590F"/>
    <w:rsid w:val="00335B6C"/>
    <w:rsid w:val="00335CA8"/>
    <w:rsid w:val="00335E60"/>
    <w:rsid w:val="00336241"/>
    <w:rsid w:val="0033624F"/>
    <w:rsid w:val="0033669B"/>
    <w:rsid w:val="00336785"/>
    <w:rsid w:val="00336E2D"/>
    <w:rsid w:val="00336EBB"/>
    <w:rsid w:val="00336EF6"/>
    <w:rsid w:val="003372DD"/>
    <w:rsid w:val="0033737D"/>
    <w:rsid w:val="003374B8"/>
    <w:rsid w:val="003375D4"/>
    <w:rsid w:val="003375F2"/>
    <w:rsid w:val="00337B8E"/>
    <w:rsid w:val="00337BE2"/>
    <w:rsid w:val="00337C52"/>
    <w:rsid w:val="00337CDB"/>
    <w:rsid w:val="00337D7E"/>
    <w:rsid w:val="00337DF3"/>
    <w:rsid w:val="00340074"/>
    <w:rsid w:val="00340172"/>
    <w:rsid w:val="003401A5"/>
    <w:rsid w:val="0034020A"/>
    <w:rsid w:val="003404B5"/>
    <w:rsid w:val="0034050B"/>
    <w:rsid w:val="003405DB"/>
    <w:rsid w:val="003407AA"/>
    <w:rsid w:val="00340DB9"/>
    <w:rsid w:val="00341150"/>
    <w:rsid w:val="00341236"/>
    <w:rsid w:val="0034131A"/>
    <w:rsid w:val="003413FA"/>
    <w:rsid w:val="0034177F"/>
    <w:rsid w:val="0034179C"/>
    <w:rsid w:val="003419F0"/>
    <w:rsid w:val="00341BA8"/>
    <w:rsid w:val="00341C8E"/>
    <w:rsid w:val="00341C90"/>
    <w:rsid w:val="00341CC4"/>
    <w:rsid w:val="00342719"/>
    <w:rsid w:val="003427DF"/>
    <w:rsid w:val="00342AA0"/>
    <w:rsid w:val="00342E9D"/>
    <w:rsid w:val="00343033"/>
    <w:rsid w:val="003431CA"/>
    <w:rsid w:val="0034325E"/>
    <w:rsid w:val="0034327B"/>
    <w:rsid w:val="0034363A"/>
    <w:rsid w:val="003437BC"/>
    <w:rsid w:val="0034382A"/>
    <w:rsid w:val="0034390E"/>
    <w:rsid w:val="00343925"/>
    <w:rsid w:val="003439B2"/>
    <w:rsid w:val="00343CC5"/>
    <w:rsid w:val="0034400B"/>
    <w:rsid w:val="00344020"/>
    <w:rsid w:val="003440C8"/>
    <w:rsid w:val="00344165"/>
    <w:rsid w:val="003441AA"/>
    <w:rsid w:val="00344441"/>
    <w:rsid w:val="003445C7"/>
    <w:rsid w:val="0034468D"/>
    <w:rsid w:val="003446C0"/>
    <w:rsid w:val="00344BA5"/>
    <w:rsid w:val="00344BC2"/>
    <w:rsid w:val="00344E8F"/>
    <w:rsid w:val="00345554"/>
    <w:rsid w:val="00345759"/>
    <w:rsid w:val="00345885"/>
    <w:rsid w:val="003462C3"/>
    <w:rsid w:val="0034641C"/>
    <w:rsid w:val="00346640"/>
    <w:rsid w:val="0034684F"/>
    <w:rsid w:val="00346B2B"/>
    <w:rsid w:val="00346BDD"/>
    <w:rsid w:val="00346CB1"/>
    <w:rsid w:val="00346DC9"/>
    <w:rsid w:val="00346E12"/>
    <w:rsid w:val="00347384"/>
    <w:rsid w:val="003473F5"/>
    <w:rsid w:val="0034754B"/>
    <w:rsid w:val="003475AD"/>
    <w:rsid w:val="003476E5"/>
    <w:rsid w:val="003479EA"/>
    <w:rsid w:val="0035001A"/>
    <w:rsid w:val="0035028E"/>
    <w:rsid w:val="003503A8"/>
    <w:rsid w:val="00350493"/>
    <w:rsid w:val="003504D7"/>
    <w:rsid w:val="003508C0"/>
    <w:rsid w:val="00350957"/>
    <w:rsid w:val="003509FB"/>
    <w:rsid w:val="00350B94"/>
    <w:rsid w:val="00351145"/>
    <w:rsid w:val="003511A2"/>
    <w:rsid w:val="003512A0"/>
    <w:rsid w:val="003515CF"/>
    <w:rsid w:val="00351834"/>
    <w:rsid w:val="003519D6"/>
    <w:rsid w:val="00351B68"/>
    <w:rsid w:val="00351C3D"/>
    <w:rsid w:val="00351CD7"/>
    <w:rsid w:val="00351F4D"/>
    <w:rsid w:val="00352138"/>
    <w:rsid w:val="003521DC"/>
    <w:rsid w:val="00352448"/>
    <w:rsid w:val="0035246A"/>
    <w:rsid w:val="003524D1"/>
    <w:rsid w:val="003525BE"/>
    <w:rsid w:val="00352931"/>
    <w:rsid w:val="003529A6"/>
    <w:rsid w:val="003529D0"/>
    <w:rsid w:val="00352A65"/>
    <w:rsid w:val="003530A8"/>
    <w:rsid w:val="003534DA"/>
    <w:rsid w:val="00353532"/>
    <w:rsid w:val="0035370A"/>
    <w:rsid w:val="0035399E"/>
    <w:rsid w:val="003539DA"/>
    <w:rsid w:val="003539DF"/>
    <w:rsid w:val="00353ACB"/>
    <w:rsid w:val="00353B22"/>
    <w:rsid w:val="00353D6E"/>
    <w:rsid w:val="00353EF7"/>
    <w:rsid w:val="00353F09"/>
    <w:rsid w:val="00353F3C"/>
    <w:rsid w:val="00354073"/>
    <w:rsid w:val="003541E1"/>
    <w:rsid w:val="00354399"/>
    <w:rsid w:val="003543CA"/>
    <w:rsid w:val="00354478"/>
    <w:rsid w:val="00354651"/>
    <w:rsid w:val="00354683"/>
    <w:rsid w:val="003547E6"/>
    <w:rsid w:val="00354A87"/>
    <w:rsid w:val="00354C3A"/>
    <w:rsid w:val="00355229"/>
    <w:rsid w:val="003554AD"/>
    <w:rsid w:val="00355750"/>
    <w:rsid w:val="00355928"/>
    <w:rsid w:val="0035597B"/>
    <w:rsid w:val="00355B63"/>
    <w:rsid w:val="00355FDF"/>
    <w:rsid w:val="00356487"/>
    <w:rsid w:val="00356624"/>
    <w:rsid w:val="00356711"/>
    <w:rsid w:val="003567DB"/>
    <w:rsid w:val="003567DC"/>
    <w:rsid w:val="0035689A"/>
    <w:rsid w:val="003568D4"/>
    <w:rsid w:val="00356A8E"/>
    <w:rsid w:val="00356ACF"/>
    <w:rsid w:val="00356EC3"/>
    <w:rsid w:val="00356F63"/>
    <w:rsid w:val="0035704D"/>
    <w:rsid w:val="003571F4"/>
    <w:rsid w:val="003572EB"/>
    <w:rsid w:val="003573DB"/>
    <w:rsid w:val="003573EE"/>
    <w:rsid w:val="00357736"/>
    <w:rsid w:val="00357853"/>
    <w:rsid w:val="003578CB"/>
    <w:rsid w:val="00357E70"/>
    <w:rsid w:val="0036010E"/>
    <w:rsid w:val="00360153"/>
    <w:rsid w:val="0036024E"/>
    <w:rsid w:val="003603C0"/>
    <w:rsid w:val="00360408"/>
    <w:rsid w:val="00360487"/>
    <w:rsid w:val="00360624"/>
    <w:rsid w:val="0036062E"/>
    <w:rsid w:val="00360772"/>
    <w:rsid w:val="00360B85"/>
    <w:rsid w:val="00360DA6"/>
    <w:rsid w:val="00360E77"/>
    <w:rsid w:val="00360F6F"/>
    <w:rsid w:val="00360F83"/>
    <w:rsid w:val="00360FE4"/>
    <w:rsid w:val="00361161"/>
    <w:rsid w:val="0036120E"/>
    <w:rsid w:val="00361278"/>
    <w:rsid w:val="0036149D"/>
    <w:rsid w:val="00361555"/>
    <w:rsid w:val="0036156D"/>
    <w:rsid w:val="0036161F"/>
    <w:rsid w:val="0036199C"/>
    <w:rsid w:val="00361E50"/>
    <w:rsid w:val="003620BE"/>
    <w:rsid w:val="003622B0"/>
    <w:rsid w:val="003625AD"/>
    <w:rsid w:val="003629E2"/>
    <w:rsid w:val="00362CF7"/>
    <w:rsid w:val="00362E11"/>
    <w:rsid w:val="003631C5"/>
    <w:rsid w:val="003635F5"/>
    <w:rsid w:val="003637E0"/>
    <w:rsid w:val="0036390D"/>
    <w:rsid w:val="0036392E"/>
    <w:rsid w:val="00363960"/>
    <w:rsid w:val="00363B89"/>
    <w:rsid w:val="00363D08"/>
    <w:rsid w:val="00363EB2"/>
    <w:rsid w:val="0036401B"/>
    <w:rsid w:val="0036421F"/>
    <w:rsid w:val="00364397"/>
    <w:rsid w:val="003643C6"/>
    <w:rsid w:val="003644DC"/>
    <w:rsid w:val="0036464D"/>
    <w:rsid w:val="003647F3"/>
    <w:rsid w:val="003649AA"/>
    <w:rsid w:val="00364DD3"/>
    <w:rsid w:val="00365052"/>
    <w:rsid w:val="003650A5"/>
    <w:rsid w:val="00365439"/>
    <w:rsid w:val="00365773"/>
    <w:rsid w:val="003658C7"/>
    <w:rsid w:val="00365C81"/>
    <w:rsid w:val="00365E03"/>
    <w:rsid w:val="00365EE5"/>
    <w:rsid w:val="003660D9"/>
    <w:rsid w:val="003663AB"/>
    <w:rsid w:val="003663D6"/>
    <w:rsid w:val="0036642B"/>
    <w:rsid w:val="00366431"/>
    <w:rsid w:val="003664C0"/>
    <w:rsid w:val="00366504"/>
    <w:rsid w:val="003667A1"/>
    <w:rsid w:val="00366867"/>
    <w:rsid w:val="00366AA7"/>
    <w:rsid w:val="00366FFF"/>
    <w:rsid w:val="0036704E"/>
    <w:rsid w:val="00367101"/>
    <w:rsid w:val="00367670"/>
    <w:rsid w:val="003679D4"/>
    <w:rsid w:val="00367B44"/>
    <w:rsid w:val="00367F58"/>
    <w:rsid w:val="003702BD"/>
    <w:rsid w:val="003704F6"/>
    <w:rsid w:val="0037051D"/>
    <w:rsid w:val="0037070D"/>
    <w:rsid w:val="00370982"/>
    <w:rsid w:val="00370A52"/>
    <w:rsid w:val="00370A97"/>
    <w:rsid w:val="00370AC3"/>
    <w:rsid w:val="00370E23"/>
    <w:rsid w:val="00370F21"/>
    <w:rsid w:val="00370F60"/>
    <w:rsid w:val="00370FD8"/>
    <w:rsid w:val="00371013"/>
    <w:rsid w:val="0037106D"/>
    <w:rsid w:val="003713BE"/>
    <w:rsid w:val="00371430"/>
    <w:rsid w:val="00371459"/>
    <w:rsid w:val="003714B9"/>
    <w:rsid w:val="00371517"/>
    <w:rsid w:val="003716F4"/>
    <w:rsid w:val="003716F8"/>
    <w:rsid w:val="00371A6F"/>
    <w:rsid w:val="00371F09"/>
    <w:rsid w:val="00371FE6"/>
    <w:rsid w:val="00372104"/>
    <w:rsid w:val="0037236F"/>
    <w:rsid w:val="0037238D"/>
    <w:rsid w:val="00372521"/>
    <w:rsid w:val="0037253A"/>
    <w:rsid w:val="00372BB2"/>
    <w:rsid w:val="00372F78"/>
    <w:rsid w:val="00373266"/>
    <w:rsid w:val="0037335E"/>
    <w:rsid w:val="003733C2"/>
    <w:rsid w:val="00373439"/>
    <w:rsid w:val="00373A0F"/>
    <w:rsid w:val="00373B9C"/>
    <w:rsid w:val="00373EF7"/>
    <w:rsid w:val="0037427A"/>
    <w:rsid w:val="003742DE"/>
    <w:rsid w:val="00374708"/>
    <w:rsid w:val="00374773"/>
    <w:rsid w:val="003748E1"/>
    <w:rsid w:val="003750EF"/>
    <w:rsid w:val="0037532D"/>
    <w:rsid w:val="003756B9"/>
    <w:rsid w:val="0037585E"/>
    <w:rsid w:val="00375B0B"/>
    <w:rsid w:val="00376134"/>
    <w:rsid w:val="0037625A"/>
    <w:rsid w:val="00376274"/>
    <w:rsid w:val="003762EF"/>
    <w:rsid w:val="003763A4"/>
    <w:rsid w:val="0037675F"/>
    <w:rsid w:val="003767D6"/>
    <w:rsid w:val="00376966"/>
    <w:rsid w:val="00376A22"/>
    <w:rsid w:val="00376AF1"/>
    <w:rsid w:val="00376DD5"/>
    <w:rsid w:val="003771E3"/>
    <w:rsid w:val="0037759E"/>
    <w:rsid w:val="00377604"/>
    <w:rsid w:val="00377974"/>
    <w:rsid w:val="00377AF0"/>
    <w:rsid w:val="00377E11"/>
    <w:rsid w:val="00377EAB"/>
    <w:rsid w:val="00377FF9"/>
    <w:rsid w:val="00380191"/>
    <w:rsid w:val="00380360"/>
    <w:rsid w:val="003805C8"/>
    <w:rsid w:val="003806C6"/>
    <w:rsid w:val="00380884"/>
    <w:rsid w:val="00380AE0"/>
    <w:rsid w:val="00380B68"/>
    <w:rsid w:val="00380FBF"/>
    <w:rsid w:val="0038100A"/>
    <w:rsid w:val="003810DD"/>
    <w:rsid w:val="00381699"/>
    <w:rsid w:val="003816A4"/>
    <w:rsid w:val="003816DC"/>
    <w:rsid w:val="00381753"/>
    <w:rsid w:val="0038193B"/>
    <w:rsid w:val="00381B5E"/>
    <w:rsid w:val="00381B6E"/>
    <w:rsid w:val="00381BE1"/>
    <w:rsid w:val="00381CEF"/>
    <w:rsid w:val="00381D68"/>
    <w:rsid w:val="00382375"/>
    <w:rsid w:val="0038238A"/>
    <w:rsid w:val="0038242D"/>
    <w:rsid w:val="00382620"/>
    <w:rsid w:val="003828A0"/>
    <w:rsid w:val="00382A2C"/>
    <w:rsid w:val="00382FEF"/>
    <w:rsid w:val="0038313E"/>
    <w:rsid w:val="00383474"/>
    <w:rsid w:val="0038355A"/>
    <w:rsid w:val="00383A74"/>
    <w:rsid w:val="00383B2A"/>
    <w:rsid w:val="00383D92"/>
    <w:rsid w:val="00383EE8"/>
    <w:rsid w:val="00383FE3"/>
    <w:rsid w:val="003841E3"/>
    <w:rsid w:val="00384292"/>
    <w:rsid w:val="003848DA"/>
    <w:rsid w:val="00384F12"/>
    <w:rsid w:val="003851AB"/>
    <w:rsid w:val="00385247"/>
    <w:rsid w:val="0038535D"/>
    <w:rsid w:val="003853B7"/>
    <w:rsid w:val="003854C2"/>
    <w:rsid w:val="00385662"/>
    <w:rsid w:val="00385B29"/>
    <w:rsid w:val="00385BD1"/>
    <w:rsid w:val="00385D93"/>
    <w:rsid w:val="00385E9B"/>
    <w:rsid w:val="00385EA2"/>
    <w:rsid w:val="00385FA4"/>
    <w:rsid w:val="003860A1"/>
    <w:rsid w:val="00386112"/>
    <w:rsid w:val="00386254"/>
    <w:rsid w:val="003863B7"/>
    <w:rsid w:val="003865C6"/>
    <w:rsid w:val="003869FE"/>
    <w:rsid w:val="00386CAD"/>
    <w:rsid w:val="00386D5A"/>
    <w:rsid w:val="0038755F"/>
    <w:rsid w:val="00387666"/>
    <w:rsid w:val="00387748"/>
    <w:rsid w:val="00387838"/>
    <w:rsid w:val="00387BD6"/>
    <w:rsid w:val="003900A8"/>
    <w:rsid w:val="00390631"/>
    <w:rsid w:val="00390CD6"/>
    <w:rsid w:val="00390EDF"/>
    <w:rsid w:val="00391153"/>
    <w:rsid w:val="0039131D"/>
    <w:rsid w:val="003914A1"/>
    <w:rsid w:val="0039150F"/>
    <w:rsid w:val="003916E2"/>
    <w:rsid w:val="00391AD6"/>
    <w:rsid w:val="00391E9B"/>
    <w:rsid w:val="00391EE9"/>
    <w:rsid w:val="0039228E"/>
    <w:rsid w:val="0039232E"/>
    <w:rsid w:val="00392601"/>
    <w:rsid w:val="003928C0"/>
    <w:rsid w:val="00392BD1"/>
    <w:rsid w:val="00392C56"/>
    <w:rsid w:val="00392CCF"/>
    <w:rsid w:val="00392FEA"/>
    <w:rsid w:val="00393017"/>
    <w:rsid w:val="00393143"/>
    <w:rsid w:val="003932E8"/>
    <w:rsid w:val="00393575"/>
    <w:rsid w:val="003935D7"/>
    <w:rsid w:val="00393C4F"/>
    <w:rsid w:val="00393E55"/>
    <w:rsid w:val="00393F2E"/>
    <w:rsid w:val="00393F47"/>
    <w:rsid w:val="00394212"/>
    <w:rsid w:val="00394365"/>
    <w:rsid w:val="00394790"/>
    <w:rsid w:val="003947F4"/>
    <w:rsid w:val="00394AFC"/>
    <w:rsid w:val="00394C5A"/>
    <w:rsid w:val="003953A9"/>
    <w:rsid w:val="0039577A"/>
    <w:rsid w:val="0039593A"/>
    <w:rsid w:val="0039598E"/>
    <w:rsid w:val="00395AAC"/>
    <w:rsid w:val="00395DD7"/>
    <w:rsid w:val="00395E1A"/>
    <w:rsid w:val="00395EF0"/>
    <w:rsid w:val="0039601F"/>
    <w:rsid w:val="00396115"/>
    <w:rsid w:val="00396321"/>
    <w:rsid w:val="003963A7"/>
    <w:rsid w:val="003966D0"/>
    <w:rsid w:val="00396885"/>
    <w:rsid w:val="00396A82"/>
    <w:rsid w:val="003971CF"/>
    <w:rsid w:val="0039730C"/>
    <w:rsid w:val="00397342"/>
    <w:rsid w:val="003974CD"/>
    <w:rsid w:val="003975A4"/>
    <w:rsid w:val="003975E4"/>
    <w:rsid w:val="00397633"/>
    <w:rsid w:val="00397EC7"/>
    <w:rsid w:val="00397F80"/>
    <w:rsid w:val="003A044A"/>
    <w:rsid w:val="003A04FC"/>
    <w:rsid w:val="003A052B"/>
    <w:rsid w:val="003A056F"/>
    <w:rsid w:val="003A07A1"/>
    <w:rsid w:val="003A08C4"/>
    <w:rsid w:val="003A0A80"/>
    <w:rsid w:val="003A0ADE"/>
    <w:rsid w:val="003A0C44"/>
    <w:rsid w:val="003A103C"/>
    <w:rsid w:val="003A15EF"/>
    <w:rsid w:val="003A19CC"/>
    <w:rsid w:val="003A1B60"/>
    <w:rsid w:val="003A1C16"/>
    <w:rsid w:val="003A1F1A"/>
    <w:rsid w:val="003A2201"/>
    <w:rsid w:val="003A22A3"/>
    <w:rsid w:val="003A244A"/>
    <w:rsid w:val="003A2815"/>
    <w:rsid w:val="003A3109"/>
    <w:rsid w:val="003A33DB"/>
    <w:rsid w:val="003A347F"/>
    <w:rsid w:val="003A34B1"/>
    <w:rsid w:val="003A34E6"/>
    <w:rsid w:val="003A3CFF"/>
    <w:rsid w:val="003A3D10"/>
    <w:rsid w:val="003A4B9A"/>
    <w:rsid w:val="003A4F08"/>
    <w:rsid w:val="003A4FAE"/>
    <w:rsid w:val="003A52AC"/>
    <w:rsid w:val="003A534F"/>
    <w:rsid w:val="003A535D"/>
    <w:rsid w:val="003A5360"/>
    <w:rsid w:val="003A53A4"/>
    <w:rsid w:val="003A544B"/>
    <w:rsid w:val="003A55B1"/>
    <w:rsid w:val="003A580F"/>
    <w:rsid w:val="003A5C23"/>
    <w:rsid w:val="003A5D71"/>
    <w:rsid w:val="003A5F5A"/>
    <w:rsid w:val="003A605B"/>
    <w:rsid w:val="003A6062"/>
    <w:rsid w:val="003A6084"/>
    <w:rsid w:val="003A61EC"/>
    <w:rsid w:val="003A6418"/>
    <w:rsid w:val="003A6631"/>
    <w:rsid w:val="003A6845"/>
    <w:rsid w:val="003A6B35"/>
    <w:rsid w:val="003A6D13"/>
    <w:rsid w:val="003A6DA0"/>
    <w:rsid w:val="003A7063"/>
    <w:rsid w:val="003A7474"/>
    <w:rsid w:val="003A7682"/>
    <w:rsid w:val="003A773D"/>
    <w:rsid w:val="003A7F81"/>
    <w:rsid w:val="003B01CC"/>
    <w:rsid w:val="003B0467"/>
    <w:rsid w:val="003B06E1"/>
    <w:rsid w:val="003B07D5"/>
    <w:rsid w:val="003B081F"/>
    <w:rsid w:val="003B0A76"/>
    <w:rsid w:val="003B0AFE"/>
    <w:rsid w:val="003B0BC5"/>
    <w:rsid w:val="003B0BD8"/>
    <w:rsid w:val="003B0C11"/>
    <w:rsid w:val="003B0DDA"/>
    <w:rsid w:val="003B0DE5"/>
    <w:rsid w:val="003B0E24"/>
    <w:rsid w:val="003B0F93"/>
    <w:rsid w:val="003B1558"/>
    <w:rsid w:val="003B15A5"/>
    <w:rsid w:val="003B17E3"/>
    <w:rsid w:val="003B1C14"/>
    <w:rsid w:val="003B1CB9"/>
    <w:rsid w:val="003B1DFB"/>
    <w:rsid w:val="003B204E"/>
    <w:rsid w:val="003B2144"/>
    <w:rsid w:val="003B21A2"/>
    <w:rsid w:val="003B29BD"/>
    <w:rsid w:val="003B2A41"/>
    <w:rsid w:val="003B2FBD"/>
    <w:rsid w:val="003B30FA"/>
    <w:rsid w:val="003B3367"/>
    <w:rsid w:val="003B3468"/>
    <w:rsid w:val="003B346D"/>
    <w:rsid w:val="003B3950"/>
    <w:rsid w:val="003B3BB7"/>
    <w:rsid w:val="003B3D50"/>
    <w:rsid w:val="003B3D87"/>
    <w:rsid w:val="003B3FA1"/>
    <w:rsid w:val="003B3FD4"/>
    <w:rsid w:val="003B43DB"/>
    <w:rsid w:val="003B4570"/>
    <w:rsid w:val="003B4590"/>
    <w:rsid w:val="003B4672"/>
    <w:rsid w:val="003B47D1"/>
    <w:rsid w:val="003B482A"/>
    <w:rsid w:val="003B4A70"/>
    <w:rsid w:val="003B4D7A"/>
    <w:rsid w:val="003B5697"/>
    <w:rsid w:val="003B5A6C"/>
    <w:rsid w:val="003B5AA5"/>
    <w:rsid w:val="003B62CC"/>
    <w:rsid w:val="003B67D2"/>
    <w:rsid w:val="003B6A39"/>
    <w:rsid w:val="003B6ABF"/>
    <w:rsid w:val="003B6CD9"/>
    <w:rsid w:val="003B6D59"/>
    <w:rsid w:val="003B70A5"/>
    <w:rsid w:val="003B73C6"/>
    <w:rsid w:val="003B75F0"/>
    <w:rsid w:val="003B7CA0"/>
    <w:rsid w:val="003B7D3C"/>
    <w:rsid w:val="003C0057"/>
    <w:rsid w:val="003C07C5"/>
    <w:rsid w:val="003C0902"/>
    <w:rsid w:val="003C0A0F"/>
    <w:rsid w:val="003C0AD3"/>
    <w:rsid w:val="003C0B61"/>
    <w:rsid w:val="003C0EFC"/>
    <w:rsid w:val="003C11A3"/>
    <w:rsid w:val="003C1324"/>
    <w:rsid w:val="003C1438"/>
    <w:rsid w:val="003C15A2"/>
    <w:rsid w:val="003C15CE"/>
    <w:rsid w:val="003C1C5C"/>
    <w:rsid w:val="003C1D02"/>
    <w:rsid w:val="003C2250"/>
    <w:rsid w:val="003C24EE"/>
    <w:rsid w:val="003C2954"/>
    <w:rsid w:val="003C29D0"/>
    <w:rsid w:val="003C29EC"/>
    <w:rsid w:val="003C2A3F"/>
    <w:rsid w:val="003C2F55"/>
    <w:rsid w:val="003C2FE5"/>
    <w:rsid w:val="003C34BA"/>
    <w:rsid w:val="003C3A21"/>
    <w:rsid w:val="003C3A8B"/>
    <w:rsid w:val="003C3B64"/>
    <w:rsid w:val="003C3D41"/>
    <w:rsid w:val="003C42BD"/>
    <w:rsid w:val="003C4490"/>
    <w:rsid w:val="003C44D2"/>
    <w:rsid w:val="003C4A00"/>
    <w:rsid w:val="003C4C68"/>
    <w:rsid w:val="003C4E9B"/>
    <w:rsid w:val="003C511A"/>
    <w:rsid w:val="003C52DF"/>
    <w:rsid w:val="003C552C"/>
    <w:rsid w:val="003C55C9"/>
    <w:rsid w:val="003C5A88"/>
    <w:rsid w:val="003C5AFB"/>
    <w:rsid w:val="003C5B1A"/>
    <w:rsid w:val="003C5C11"/>
    <w:rsid w:val="003C5D47"/>
    <w:rsid w:val="003C5F91"/>
    <w:rsid w:val="003C5FB7"/>
    <w:rsid w:val="003C6139"/>
    <w:rsid w:val="003C626D"/>
    <w:rsid w:val="003C62DA"/>
    <w:rsid w:val="003C65AA"/>
    <w:rsid w:val="003C6917"/>
    <w:rsid w:val="003C6BEA"/>
    <w:rsid w:val="003C6CD0"/>
    <w:rsid w:val="003C6F2E"/>
    <w:rsid w:val="003C6F98"/>
    <w:rsid w:val="003C7118"/>
    <w:rsid w:val="003C7282"/>
    <w:rsid w:val="003C764A"/>
    <w:rsid w:val="003C768F"/>
    <w:rsid w:val="003C76CF"/>
    <w:rsid w:val="003C7828"/>
    <w:rsid w:val="003C7837"/>
    <w:rsid w:val="003C78C3"/>
    <w:rsid w:val="003C78F8"/>
    <w:rsid w:val="003C79A8"/>
    <w:rsid w:val="003C79DC"/>
    <w:rsid w:val="003D01E8"/>
    <w:rsid w:val="003D036A"/>
    <w:rsid w:val="003D0581"/>
    <w:rsid w:val="003D06F6"/>
    <w:rsid w:val="003D0872"/>
    <w:rsid w:val="003D0C89"/>
    <w:rsid w:val="003D0DF5"/>
    <w:rsid w:val="003D1107"/>
    <w:rsid w:val="003D14A6"/>
    <w:rsid w:val="003D1890"/>
    <w:rsid w:val="003D196D"/>
    <w:rsid w:val="003D19C0"/>
    <w:rsid w:val="003D1DF0"/>
    <w:rsid w:val="003D1F2D"/>
    <w:rsid w:val="003D205D"/>
    <w:rsid w:val="003D227C"/>
    <w:rsid w:val="003D238B"/>
    <w:rsid w:val="003D2534"/>
    <w:rsid w:val="003D271B"/>
    <w:rsid w:val="003D27E1"/>
    <w:rsid w:val="003D29EE"/>
    <w:rsid w:val="003D2A7E"/>
    <w:rsid w:val="003D2A8E"/>
    <w:rsid w:val="003D2B43"/>
    <w:rsid w:val="003D2D70"/>
    <w:rsid w:val="003D2F48"/>
    <w:rsid w:val="003D3099"/>
    <w:rsid w:val="003D33EE"/>
    <w:rsid w:val="003D350F"/>
    <w:rsid w:val="003D3DF6"/>
    <w:rsid w:val="003D3FB0"/>
    <w:rsid w:val="003D406E"/>
    <w:rsid w:val="003D4167"/>
    <w:rsid w:val="003D41F7"/>
    <w:rsid w:val="003D4704"/>
    <w:rsid w:val="003D4A08"/>
    <w:rsid w:val="003D4A46"/>
    <w:rsid w:val="003D4B08"/>
    <w:rsid w:val="003D4B12"/>
    <w:rsid w:val="003D4E80"/>
    <w:rsid w:val="003D4FFC"/>
    <w:rsid w:val="003D5220"/>
    <w:rsid w:val="003D5222"/>
    <w:rsid w:val="003D530D"/>
    <w:rsid w:val="003D5339"/>
    <w:rsid w:val="003D56BB"/>
    <w:rsid w:val="003D5B02"/>
    <w:rsid w:val="003D5CBC"/>
    <w:rsid w:val="003D5E25"/>
    <w:rsid w:val="003D61F3"/>
    <w:rsid w:val="003D6465"/>
    <w:rsid w:val="003D65CE"/>
    <w:rsid w:val="003D66CA"/>
    <w:rsid w:val="003D69EF"/>
    <w:rsid w:val="003D6CB4"/>
    <w:rsid w:val="003D6D5F"/>
    <w:rsid w:val="003D6DDA"/>
    <w:rsid w:val="003D6F87"/>
    <w:rsid w:val="003D7055"/>
    <w:rsid w:val="003D7384"/>
    <w:rsid w:val="003D781F"/>
    <w:rsid w:val="003D7851"/>
    <w:rsid w:val="003D7D39"/>
    <w:rsid w:val="003D7F6B"/>
    <w:rsid w:val="003E077A"/>
    <w:rsid w:val="003E091A"/>
    <w:rsid w:val="003E09E2"/>
    <w:rsid w:val="003E09F3"/>
    <w:rsid w:val="003E0A37"/>
    <w:rsid w:val="003E0B3B"/>
    <w:rsid w:val="003E10A9"/>
    <w:rsid w:val="003E120B"/>
    <w:rsid w:val="003E15CD"/>
    <w:rsid w:val="003E1944"/>
    <w:rsid w:val="003E1CF0"/>
    <w:rsid w:val="003E1CF5"/>
    <w:rsid w:val="003E1FB2"/>
    <w:rsid w:val="003E211A"/>
    <w:rsid w:val="003E241A"/>
    <w:rsid w:val="003E25F7"/>
    <w:rsid w:val="003E2605"/>
    <w:rsid w:val="003E2850"/>
    <w:rsid w:val="003E2897"/>
    <w:rsid w:val="003E2941"/>
    <w:rsid w:val="003E2971"/>
    <w:rsid w:val="003E2A9B"/>
    <w:rsid w:val="003E2AB0"/>
    <w:rsid w:val="003E2C52"/>
    <w:rsid w:val="003E2D5D"/>
    <w:rsid w:val="003E2E3D"/>
    <w:rsid w:val="003E2EDD"/>
    <w:rsid w:val="003E2EE0"/>
    <w:rsid w:val="003E32CD"/>
    <w:rsid w:val="003E33AD"/>
    <w:rsid w:val="003E3451"/>
    <w:rsid w:val="003E35A2"/>
    <w:rsid w:val="003E397B"/>
    <w:rsid w:val="003E3A34"/>
    <w:rsid w:val="003E3BE7"/>
    <w:rsid w:val="003E3FFC"/>
    <w:rsid w:val="003E44C5"/>
    <w:rsid w:val="003E44D5"/>
    <w:rsid w:val="003E4879"/>
    <w:rsid w:val="003E4899"/>
    <w:rsid w:val="003E4945"/>
    <w:rsid w:val="003E4E30"/>
    <w:rsid w:val="003E4ECC"/>
    <w:rsid w:val="003E4F28"/>
    <w:rsid w:val="003E4F7A"/>
    <w:rsid w:val="003E4FCB"/>
    <w:rsid w:val="003E5047"/>
    <w:rsid w:val="003E5363"/>
    <w:rsid w:val="003E553A"/>
    <w:rsid w:val="003E573D"/>
    <w:rsid w:val="003E592D"/>
    <w:rsid w:val="003E5A52"/>
    <w:rsid w:val="003E5ADD"/>
    <w:rsid w:val="003E5B8D"/>
    <w:rsid w:val="003E6156"/>
    <w:rsid w:val="003E624E"/>
    <w:rsid w:val="003E65AE"/>
    <w:rsid w:val="003E65CF"/>
    <w:rsid w:val="003E6847"/>
    <w:rsid w:val="003E6DF4"/>
    <w:rsid w:val="003E6EFC"/>
    <w:rsid w:val="003E701C"/>
    <w:rsid w:val="003E722B"/>
    <w:rsid w:val="003E75C6"/>
    <w:rsid w:val="003E7843"/>
    <w:rsid w:val="003E7C45"/>
    <w:rsid w:val="003E7F2F"/>
    <w:rsid w:val="003E7F6C"/>
    <w:rsid w:val="003F009C"/>
    <w:rsid w:val="003F0218"/>
    <w:rsid w:val="003F0266"/>
    <w:rsid w:val="003F0321"/>
    <w:rsid w:val="003F0428"/>
    <w:rsid w:val="003F0994"/>
    <w:rsid w:val="003F0DF5"/>
    <w:rsid w:val="003F0F39"/>
    <w:rsid w:val="003F11DB"/>
    <w:rsid w:val="003F12A5"/>
    <w:rsid w:val="003F18CF"/>
    <w:rsid w:val="003F19B6"/>
    <w:rsid w:val="003F1C13"/>
    <w:rsid w:val="003F20D9"/>
    <w:rsid w:val="003F3091"/>
    <w:rsid w:val="003F34C4"/>
    <w:rsid w:val="003F350A"/>
    <w:rsid w:val="003F377E"/>
    <w:rsid w:val="003F394E"/>
    <w:rsid w:val="003F3ACF"/>
    <w:rsid w:val="003F3BAF"/>
    <w:rsid w:val="003F3E7C"/>
    <w:rsid w:val="003F3E92"/>
    <w:rsid w:val="003F40F2"/>
    <w:rsid w:val="003F425E"/>
    <w:rsid w:val="003F42AC"/>
    <w:rsid w:val="003F446E"/>
    <w:rsid w:val="003F4847"/>
    <w:rsid w:val="003F4910"/>
    <w:rsid w:val="003F4917"/>
    <w:rsid w:val="003F49BD"/>
    <w:rsid w:val="003F4C56"/>
    <w:rsid w:val="003F4C78"/>
    <w:rsid w:val="003F4CB9"/>
    <w:rsid w:val="003F5077"/>
    <w:rsid w:val="003F51F5"/>
    <w:rsid w:val="003F5388"/>
    <w:rsid w:val="003F5412"/>
    <w:rsid w:val="003F54E3"/>
    <w:rsid w:val="003F564A"/>
    <w:rsid w:val="003F5C7F"/>
    <w:rsid w:val="003F5E1B"/>
    <w:rsid w:val="003F5FB5"/>
    <w:rsid w:val="003F605B"/>
    <w:rsid w:val="003F60B1"/>
    <w:rsid w:val="003F61B3"/>
    <w:rsid w:val="003F62CB"/>
    <w:rsid w:val="003F6318"/>
    <w:rsid w:val="003F68DA"/>
    <w:rsid w:val="003F69FC"/>
    <w:rsid w:val="003F6B28"/>
    <w:rsid w:val="003F6C0B"/>
    <w:rsid w:val="003F6EBA"/>
    <w:rsid w:val="003F6F37"/>
    <w:rsid w:val="003F6FF1"/>
    <w:rsid w:val="003F7389"/>
    <w:rsid w:val="003F743B"/>
    <w:rsid w:val="003F7611"/>
    <w:rsid w:val="003F7619"/>
    <w:rsid w:val="003F7784"/>
    <w:rsid w:val="003F794B"/>
    <w:rsid w:val="003F7B90"/>
    <w:rsid w:val="003F7C6E"/>
    <w:rsid w:val="003F7FCD"/>
    <w:rsid w:val="0040017A"/>
    <w:rsid w:val="0040045F"/>
    <w:rsid w:val="0040076D"/>
    <w:rsid w:val="0040089A"/>
    <w:rsid w:val="00400C2E"/>
    <w:rsid w:val="00400CA9"/>
    <w:rsid w:val="00400CEC"/>
    <w:rsid w:val="0040117D"/>
    <w:rsid w:val="0040122B"/>
    <w:rsid w:val="0040134B"/>
    <w:rsid w:val="004017A8"/>
    <w:rsid w:val="00401B91"/>
    <w:rsid w:val="00401C41"/>
    <w:rsid w:val="00401FD5"/>
    <w:rsid w:val="00402454"/>
    <w:rsid w:val="00402768"/>
    <w:rsid w:val="004027A6"/>
    <w:rsid w:val="00402851"/>
    <w:rsid w:val="0040318E"/>
    <w:rsid w:val="00403260"/>
    <w:rsid w:val="00403304"/>
    <w:rsid w:val="00403719"/>
    <w:rsid w:val="0040395F"/>
    <w:rsid w:val="00403B6C"/>
    <w:rsid w:val="00403DC3"/>
    <w:rsid w:val="00403EB1"/>
    <w:rsid w:val="0040418A"/>
    <w:rsid w:val="004042D8"/>
    <w:rsid w:val="00404327"/>
    <w:rsid w:val="0040475C"/>
    <w:rsid w:val="004047C5"/>
    <w:rsid w:val="0040481F"/>
    <w:rsid w:val="00404839"/>
    <w:rsid w:val="00404AB5"/>
    <w:rsid w:val="00404AC8"/>
    <w:rsid w:val="00404B59"/>
    <w:rsid w:val="00405941"/>
    <w:rsid w:val="00405987"/>
    <w:rsid w:val="004059E7"/>
    <w:rsid w:val="00405D61"/>
    <w:rsid w:val="00406456"/>
    <w:rsid w:val="0040646C"/>
    <w:rsid w:val="004066FD"/>
    <w:rsid w:val="004067E9"/>
    <w:rsid w:val="004069C9"/>
    <w:rsid w:val="00406C3F"/>
    <w:rsid w:val="00406D1A"/>
    <w:rsid w:val="00406DBD"/>
    <w:rsid w:val="00406F2A"/>
    <w:rsid w:val="00406F4E"/>
    <w:rsid w:val="004074B0"/>
    <w:rsid w:val="00407516"/>
    <w:rsid w:val="0040795E"/>
    <w:rsid w:val="00407B24"/>
    <w:rsid w:val="00407B5F"/>
    <w:rsid w:val="00407BDD"/>
    <w:rsid w:val="00407BF9"/>
    <w:rsid w:val="00407E28"/>
    <w:rsid w:val="00410585"/>
    <w:rsid w:val="00410798"/>
    <w:rsid w:val="004107FA"/>
    <w:rsid w:val="00410842"/>
    <w:rsid w:val="0041084C"/>
    <w:rsid w:val="00410856"/>
    <w:rsid w:val="0041091E"/>
    <w:rsid w:val="00410E9D"/>
    <w:rsid w:val="00411043"/>
    <w:rsid w:val="0041112B"/>
    <w:rsid w:val="00411373"/>
    <w:rsid w:val="004113A5"/>
    <w:rsid w:val="004116DE"/>
    <w:rsid w:val="004116DF"/>
    <w:rsid w:val="0041179E"/>
    <w:rsid w:val="004117FB"/>
    <w:rsid w:val="004118D1"/>
    <w:rsid w:val="004118DA"/>
    <w:rsid w:val="00412336"/>
    <w:rsid w:val="0041262E"/>
    <w:rsid w:val="004128ED"/>
    <w:rsid w:val="00412BBB"/>
    <w:rsid w:val="00412C16"/>
    <w:rsid w:val="00412D3C"/>
    <w:rsid w:val="00412D46"/>
    <w:rsid w:val="00412FE7"/>
    <w:rsid w:val="00413054"/>
    <w:rsid w:val="004130B3"/>
    <w:rsid w:val="0041311E"/>
    <w:rsid w:val="0041332B"/>
    <w:rsid w:val="004133B1"/>
    <w:rsid w:val="00413556"/>
    <w:rsid w:val="00413604"/>
    <w:rsid w:val="0041396F"/>
    <w:rsid w:val="00413A93"/>
    <w:rsid w:val="00413B39"/>
    <w:rsid w:val="00413FAB"/>
    <w:rsid w:val="004140BD"/>
    <w:rsid w:val="0041413E"/>
    <w:rsid w:val="00414179"/>
    <w:rsid w:val="004141D0"/>
    <w:rsid w:val="004141E7"/>
    <w:rsid w:val="004144B0"/>
    <w:rsid w:val="00414643"/>
    <w:rsid w:val="00414A71"/>
    <w:rsid w:val="00414B31"/>
    <w:rsid w:val="00414C75"/>
    <w:rsid w:val="00414D45"/>
    <w:rsid w:val="00415017"/>
    <w:rsid w:val="004150EE"/>
    <w:rsid w:val="00415116"/>
    <w:rsid w:val="004151E5"/>
    <w:rsid w:val="004153F5"/>
    <w:rsid w:val="0041544B"/>
    <w:rsid w:val="004154B7"/>
    <w:rsid w:val="00415604"/>
    <w:rsid w:val="0041584B"/>
    <w:rsid w:val="0041596C"/>
    <w:rsid w:val="004159E3"/>
    <w:rsid w:val="00415AC0"/>
    <w:rsid w:val="00415B78"/>
    <w:rsid w:val="00415C41"/>
    <w:rsid w:val="00415D9E"/>
    <w:rsid w:val="00415DF3"/>
    <w:rsid w:val="00416162"/>
    <w:rsid w:val="00416864"/>
    <w:rsid w:val="00416E8D"/>
    <w:rsid w:val="0041749C"/>
    <w:rsid w:val="0041797B"/>
    <w:rsid w:val="00417D1F"/>
    <w:rsid w:val="00417E46"/>
    <w:rsid w:val="004200A9"/>
    <w:rsid w:val="00420BB0"/>
    <w:rsid w:val="00420C45"/>
    <w:rsid w:val="00420C59"/>
    <w:rsid w:val="00420D9F"/>
    <w:rsid w:val="00420E7A"/>
    <w:rsid w:val="00420F5E"/>
    <w:rsid w:val="00420FC4"/>
    <w:rsid w:val="0042122E"/>
    <w:rsid w:val="00421477"/>
    <w:rsid w:val="00421504"/>
    <w:rsid w:val="00421629"/>
    <w:rsid w:val="0042178F"/>
    <w:rsid w:val="00421976"/>
    <w:rsid w:val="00421B03"/>
    <w:rsid w:val="00421C23"/>
    <w:rsid w:val="00421EE4"/>
    <w:rsid w:val="004220C0"/>
    <w:rsid w:val="00422186"/>
    <w:rsid w:val="0042229C"/>
    <w:rsid w:val="00422392"/>
    <w:rsid w:val="0042263C"/>
    <w:rsid w:val="0042273D"/>
    <w:rsid w:val="004227AA"/>
    <w:rsid w:val="004227BD"/>
    <w:rsid w:val="00422983"/>
    <w:rsid w:val="00422ADB"/>
    <w:rsid w:val="00422B6A"/>
    <w:rsid w:val="00422D41"/>
    <w:rsid w:val="00422F79"/>
    <w:rsid w:val="00422FAC"/>
    <w:rsid w:val="004230BE"/>
    <w:rsid w:val="004231D0"/>
    <w:rsid w:val="00423346"/>
    <w:rsid w:val="004233D1"/>
    <w:rsid w:val="00423516"/>
    <w:rsid w:val="004235D0"/>
    <w:rsid w:val="00423632"/>
    <w:rsid w:val="00423955"/>
    <w:rsid w:val="00423A04"/>
    <w:rsid w:val="00423A3B"/>
    <w:rsid w:val="00423AFC"/>
    <w:rsid w:val="00423B00"/>
    <w:rsid w:val="00423BCF"/>
    <w:rsid w:val="00423C4C"/>
    <w:rsid w:val="00423D87"/>
    <w:rsid w:val="00424155"/>
    <w:rsid w:val="00424226"/>
    <w:rsid w:val="004242FE"/>
    <w:rsid w:val="004249F0"/>
    <w:rsid w:val="00424D2B"/>
    <w:rsid w:val="00424FB2"/>
    <w:rsid w:val="00424FF9"/>
    <w:rsid w:val="00425089"/>
    <w:rsid w:val="0042568C"/>
    <w:rsid w:val="00425A4B"/>
    <w:rsid w:val="00425AB8"/>
    <w:rsid w:val="00425BBB"/>
    <w:rsid w:val="00425D36"/>
    <w:rsid w:val="00425DB9"/>
    <w:rsid w:val="00425E67"/>
    <w:rsid w:val="0042610D"/>
    <w:rsid w:val="0042612C"/>
    <w:rsid w:val="00426498"/>
    <w:rsid w:val="00426770"/>
    <w:rsid w:val="004267B8"/>
    <w:rsid w:val="004269A3"/>
    <w:rsid w:val="00426A50"/>
    <w:rsid w:val="00426E7E"/>
    <w:rsid w:val="00427145"/>
    <w:rsid w:val="00427318"/>
    <w:rsid w:val="00427519"/>
    <w:rsid w:val="0042787F"/>
    <w:rsid w:val="00427966"/>
    <w:rsid w:val="00427A14"/>
    <w:rsid w:val="00427BB8"/>
    <w:rsid w:val="00427DCA"/>
    <w:rsid w:val="0043097F"/>
    <w:rsid w:val="00430E59"/>
    <w:rsid w:val="00430E92"/>
    <w:rsid w:val="00431065"/>
    <w:rsid w:val="004310E0"/>
    <w:rsid w:val="00431295"/>
    <w:rsid w:val="0043133D"/>
    <w:rsid w:val="0043136C"/>
    <w:rsid w:val="00431413"/>
    <w:rsid w:val="00431444"/>
    <w:rsid w:val="004314F6"/>
    <w:rsid w:val="004316FB"/>
    <w:rsid w:val="00431776"/>
    <w:rsid w:val="004318A1"/>
    <w:rsid w:val="00431930"/>
    <w:rsid w:val="00431DFB"/>
    <w:rsid w:val="004320A6"/>
    <w:rsid w:val="00432122"/>
    <w:rsid w:val="0043214E"/>
    <w:rsid w:val="00432163"/>
    <w:rsid w:val="004321F6"/>
    <w:rsid w:val="0043220F"/>
    <w:rsid w:val="00432368"/>
    <w:rsid w:val="00432470"/>
    <w:rsid w:val="0043259F"/>
    <w:rsid w:val="00432B2C"/>
    <w:rsid w:val="00432EEC"/>
    <w:rsid w:val="00433676"/>
    <w:rsid w:val="00433866"/>
    <w:rsid w:val="00433D67"/>
    <w:rsid w:val="00433EBF"/>
    <w:rsid w:val="0043420A"/>
    <w:rsid w:val="00434481"/>
    <w:rsid w:val="0043455C"/>
    <w:rsid w:val="004347E2"/>
    <w:rsid w:val="00434928"/>
    <w:rsid w:val="004349C7"/>
    <w:rsid w:val="00434C0B"/>
    <w:rsid w:val="00434DBB"/>
    <w:rsid w:val="00434EB3"/>
    <w:rsid w:val="0043505E"/>
    <w:rsid w:val="0043514D"/>
    <w:rsid w:val="0043529A"/>
    <w:rsid w:val="004352E5"/>
    <w:rsid w:val="00435334"/>
    <w:rsid w:val="00435B1F"/>
    <w:rsid w:val="00435EAB"/>
    <w:rsid w:val="00435F2F"/>
    <w:rsid w:val="004361F1"/>
    <w:rsid w:val="004364FB"/>
    <w:rsid w:val="00436A5C"/>
    <w:rsid w:val="00436BFC"/>
    <w:rsid w:val="00436CE7"/>
    <w:rsid w:val="00437031"/>
    <w:rsid w:val="00437093"/>
    <w:rsid w:val="00437296"/>
    <w:rsid w:val="0043734E"/>
    <w:rsid w:val="00437BE3"/>
    <w:rsid w:val="00437D03"/>
    <w:rsid w:val="00437EC7"/>
    <w:rsid w:val="00437F79"/>
    <w:rsid w:val="0044029C"/>
    <w:rsid w:val="0044035A"/>
    <w:rsid w:val="0044040F"/>
    <w:rsid w:val="0044048A"/>
    <w:rsid w:val="00440E96"/>
    <w:rsid w:val="00440F13"/>
    <w:rsid w:val="0044114D"/>
    <w:rsid w:val="004411A5"/>
    <w:rsid w:val="004411CD"/>
    <w:rsid w:val="00441286"/>
    <w:rsid w:val="004415E8"/>
    <w:rsid w:val="00441605"/>
    <w:rsid w:val="0044160F"/>
    <w:rsid w:val="0044176D"/>
    <w:rsid w:val="00441853"/>
    <w:rsid w:val="00441899"/>
    <w:rsid w:val="00441A45"/>
    <w:rsid w:val="00441B25"/>
    <w:rsid w:val="00441B51"/>
    <w:rsid w:val="00441C0E"/>
    <w:rsid w:val="00441EBC"/>
    <w:rsid w:val="00441FE0"/>
    <w:rsid w:val="00442117"/>
    <w:rsid w:val="004421FC"/>
    <w:rsid w:val="0044221C"/>
    <w:rsid w:val="00442550"/>
    <w:rsid w:val="00442590"/>
    <w:rsid w:val="00442751"/>
    <w:rsid w:val="004428B7"/>
    <w:rsid w:val="0044292B"/>
    <w:rsid w:val="00442961"/>
    <w:rsid w:val="00442EAA"/>
    <w:rsid w:val="004433CF"/>
    <w:rsid w:val="00443D7B"/>
    <w:rsid w:val="0044409E"/>
    <w:rsid w:val="004442B0"/>
    <w:rsid w:val="00444343"/>
    <w:rsid w:val="004444B9"/>
    <w:rsid w:val="00444689"/>
    <w:rsid w:val="0044468E"/>
    <w:rsid w:val="00444B1E"/>
    <w:rsid w:val="00444E83"/>
    <w:rsid w:val="00444E88"/>
    <w:rsid w:val="00444EE6"/>
    <w:rsid w:val="004450F7"/>
    <w:rsid w:val="00445173"/>
    <w:rsid w:val="00445309"/>
    <w:rsid w:val="004454FB"/>
    <w:rsid w:val="004456FA"/>
    <w:rsid w:val="004459F8"/>
    <w:rsid w:val="00445C3E"/>
    <w:rsid w:val="00445CCE"/>
    <w:rsid w:val="00445F3B"/>
    <w:rsid w:val="0044622D"/>
    <w:rsid w:val="00446487"/>
    <w:rsid w:val="0044682C"/>
    <w:rsid w:val="00446CF7"/>
    <w:rsid w:val="004470FD"/>
    <w:rsid w:val="00447CED"/>
    <w:rsid w:val="004500CE"/>
    <w:rsid w:val="00450421"/>
    <w:rsid w:val="004504D0"/>
    <w:rsid w:val="004506D4"/>
    <w:rsid w:val="0045091B"/>
    <w:rsid w:val="00450F7A"/>
    <w:rsid w:val="00451075"/>
    <w:rsid w:val="004511D4"/>
    <w:rsid w:val="004514EB"/>
    <w:rsid w:val="004515A5"/>
    <w:rsid w:val="004515CD"/>
    <w:rsid w:val="0045194F"/>
    <w:rsid w:val="00451C6B"/>
    <w:rsid w:val="00451D84"/>
    <w:rsid w:val="00452563"/>
    <w:rsid w:val="004526FC"/>
    <w:rsid w:val="00452F20"/>
    <w:rsid w:val="00452F95"/>
    <w:rsid w:val="00453799"/>
    <w:rsid w:val="00453BF5"/>
    <w:rsid w:val="00453EDB"/>
    <w:rsid w:val="0045400D"/>
    <w:rsid w:val="00454329"/>
    <w:rsid w:val="0045452A"/>
    <w:rsid w:val="00454638"/>
    <w:rsid w:val="00454743"/>
    <w:rsid w:val="00454DB9"/>
    <w:rsid w:val="00454F87"/>
    <w:rsid w:val="00454FA6"/>
    <w:rsid w:val="0045500D"/>
    <w:rsid w:val="00455035"/>
    <w:rsid w:val="0045521D"/>
    <w:rsid w:val="004554B1"/>
    <w:rsid w:val="0045568D"/>
    <w:rsid w:val="004556A7"/>
    <w:rsid w:val="00455C7A"/>
    <w:rsid w:val="00455CE8"/>
    <w:rsid w:val="00455D03"/>
    <w:rsid w:val="00456057"/>
    <w:rsid w:val="00456189"/>
    <w:rsid w:val="00456285"/>
    <w:rsid w:val="004564E7"/>
    <w:rsid w:val="00456866"/>
    <w:rsid w:val="004568CA"/>
    <w:rsid w:val="004569F8"/>
    <w:rsid w:val="00456BA7"/>
    <w:rsid w:val="00456FAF"/>
    <w:rsid w:val="00456FD0"/>
    <w:rsid w:val="00456FFD"/>
    <w:rsid w:val="004573C0"/>
    <w:rsid w:val="004577E4"/>
    <w:rsid w:val="0045784C"/>
    <w:rsid w:val="00457AD2"/>
    <w:rsid w:val="00457B30"/>
    <w:rsid w:val="004600C1"/>
    <w:rsid w:val="004600ED"/>
    <w:rsid w:val="00460239"/>
    <w:rsid w:val="00460454"/>
    <w:rsid w:val="004606BE"/>
    <w:rsid w:val="004609F9"/>
    <w:rsid w:val="00460CA8"/>
    <w:rsid w:val="00460D89"/>
    <w:rsid w:val="00460F75"/>
    <w:rsid w:val="0046147A"/>
    <w:rsid w:val="0046158E"/>
    <w:rsid w:val="004617CB"/>
    <w:rsid w:val="00461834"/>
    <w:rsid w:val="00461960"/>
    <w:rsid w:val="00461C77"/>
    <w:rsid w:val="00462156"/>
    <w:rsid w:val="00462344"/>
    <w:rsid w:val="00462363"/>
    <w:rsid w:val="00462586"/>
    <w:rsid w:val="00462656"/>
    <w:rsid w:val="004626A2"/>
    <w:rsid w:val="0046287F"/>
    <w:rsid w:val="00462953"/>
    <w:rsid w:val="00462B3E"/>
    <w:rsid w:val="00462B85"/>
    <w:rsid w:val="00462EF0"/>
    <w:rsid w:val="004630FF"/>
    <w:rsid w:val="0046318C"/>
    <w:rsid w:val="0046437F"/>
    <w:rsid w:val="00464462"/>
    <w:rsid w:val="00464BB0"/>
    <w:rsid w:val="00464E5D"/>
    <w:rsid w:val="00465599"/>
    <w:rsid w:val="004655CC"/>
    <w:rsid w:val="004659CF"/>
    <w:rsid w:val="004659D1"/>
    <w:rsid w:val="00465DA1"/>
    <w:rsid w:val="00465DBA"/>
    <w:rsid w:val="004660BB"/>
    <w:rsid w:val="00466187"/>
    <w:rsid w:val="00466791"/>
    <w:rsid w:val="00466A85"/>
    <w:rsid w:val="00466AF5"/>
    <w:rsid w:val="00466B5A"/>
    <w:rsid w:val="004671FB"/>
    <w:rsid w:val="0046720B"/>
    <w:rsid w:val="004672E7"/>
    <w:rsid w:val="00467570"/>
    <w:rsid w:val="00467CD3"/>
    <w:rsid w:val="00470220"/>
    <w:rsid w:val="004702B4"/>
    <w:rsid w:val="00470323"/>
    <w:rsid w:val="004703A7"/>
    <w:rsid w:val="004703BE"/>
    <w:rsid w:val="00470528"/>
    <w:rsid w:val="0047060B"/>
    <w:rsid w:val="004707C7"/>
    <w:rsid w:val="00470905"/>
    <w:rsid w:val="00470AB4"/>
    <w:rsid w:val="00470D01"/>
    <w:rsid w:val="00470D6F"/>
    <w:rsid w:val="00470DCB"/>
    <w:rsid w:val="00470F36"/>
    <w:rsid w:val="00470F65"/>
    <w:rsid w:val="0047130D"/>
    <w:rsid w:val="0047132E"/>
    <w:rsid w:val="00471496"/>
    <w:rsid w:val="00471497"/>
    <w:rsid w:val="00471646"/>
    <w:rsid w:val="004719A4"/>
    <w:rsid w:val="0047202C"/>
    <w:rsid w:val="004723B0"/>
    <w:rsid w:val="00472A72"/>
    <w:rsid w:val="00472CFE"/>
    <w:rsid w:val="00472D77"/>
    <w:rsid w:val="00472DD1"/>
    <w:rsid w:val="00472E58"/>
    <w:rsid w:val="004731C5"/>
    <w:rsid w:val="0047397C"/>
    <w:rsid w:val="004739C3"/>
    <w:rsid w:val="00473AF4"/>
    <w:rsid w:val="00473C07"/>
    <w:rsid w:val="00474049"/>
    <w:rsid w:val="0047406E"/>
    <w:rsid w:val="00474155"/>
    <w:rsid w:val="00474215"/>
    <w:rsid w:val="0047426E"/>
    <w:rsid w:val="004742FF"/>
    <w:rsid w:val="00474425"/>
    <w:rsid w:val="00474DEB"/>
    <w:rsid w:val="004751BB"/>
    <w:rsid w:val="004752CA"/>
    <w:rsid w:val="00475314"/>
    <w:rsid w:val="0047565F"/>
    <w:rsid w:val="00475724"/>
    <w:rsid w:val="0047574F"/>
    <w:rsid w:val="00475758"/>
    <w:rsid w:val="00475A4E"/>
    <w:rsid w:val="00475BB7"/>
    <w:rsid w:val="00476201"/>
    <w:rsid w:val="00476467"/>
    <w:rsid w:val="0047679C"/>
    <w:rsid w:val="00476A2B"/>
    <w:rsid w:val="00476DFA"/>
    <w:rsid w:val="00476E80"/>
    <w:rsid w:val="004778A0"/>
    <w:rsid w:val="004778DF"/>
    <w:rsid w:val="00477997"/>
    <w:rsid w:val="00477CE4"/>
    <w:rsid w:val="00477D61"/>
    <w:rsid w:val="00477DF5"/>
    <w:rsid w:val="00480651"/>
    <w:rsid w:val="00480AB5"/>
    <w:rsid w:val="00480FDE"/>
    <w:rsid w:val="00481036"/>
    <w:rsid w:val="004810C6"/>
    <w:rsid w:val="00481398"/>
    <w:rsid w:val="0048166E"/>
    <w:rsid w:val="00481A23"/>
    <w:rsid w:val="00481C8D"/>
    <w:rsid w:val="00481E12"/>
    <w:rsid w:val="004821BD"/>
    <w:rsid w:val="0048247A"/>
    <w:rsid w:val="00482561"/>
    <w:rsid w:val="0048259F"/>
    <w:rsid w:val="0048267C"/>
    <w:rsid w:val="004826F4"/>
    <w:rsid w:val="0048277F"/>
    <w:rsid w:val="00482C58"/>
    <w:rsid w:val="00482F8F"/>
    <w:rsid w:val="00483232"/>
    <w:rsid w:val="0048348D"/>
    <w:rsid w:val="00483ABF"/>
    <w:rsid w:val="00483C69"/>
    <w:rsid w:val="00483C92"/>
    <w:rsid w:val="00483D19"/>
    <w:rsid w:val="00483DF7"/>
    <w:rsid w:val="00484003"/>
    <w:rsid w:val="004840CC"/>
    <w:rsid w:val="0048432D"/>
    <w:rsid w:val="004846A4"/>
    <w:rsid w:val="00484708"/>
    <w:rsid w:val="00484767"/>
    <w:rsid w:val="00484D7F"/>
    <w:rsid w:val="00484F40"/>
    <w:rsid w:val="0048532D"/>
    <w:rsid w:val="00485429"/>
    <w:rsid w:val="00485492"/>
    <w:rsid w:val="0048577D"/>
    <w:rsid w:val="00485882"/>
    <w:rsid w:val="00485901"/>
    <w:rsid w:val="00485902"/>
    <w:rsid w:val="00485E0C"/>
    <w:rsid w:val="00485F6C"/>
    <w:rsid w:val="004863F9"/>
    <w:rsid w:val="0048695B"/>
    <w:rsid w:val="0048697E"/>
    <w:rsid w:val="00486CF0"/>
    <w:rsid w:val="00486D61"/>
    <w:rsid w:val="00486F08"/>
    <w:rsid w:val="004875B1"/>
    <w:rsid w:val="004877F1"/>
    <w:rsid w:val="00487A52"/>
    <w:rsid w:val="00487BD5"/>
    <w:rsid w:val="00487F8E"/>
    <w:rsid w:val="004903B2"/>
    <w:rsid w:val="004904D8"/>
    <w:rsid w:val="00490667"/>
    <w:rsid w:val="0049070E"/>
    <w:rsid w:val="00491045"/>
    <w:rsid w:val="00491369"/>
    <w:rsid w:val="004919B5"/>
    <w:rsid w:val="00491C82"/>
    <w:rsid w:val="004923AD"/>
    <w:rsid w:val="004924F1"/>
    <w:rsid w:val="004926C9"/>
    <w:rsid w:val="004926E2"/>
    <w:rsid w:val="00492926"/>
    <w:rsid w:val="004929E7"/>
    <w:rsid w:val="00492A35"/>
    <w:rsid w:val="00492AF4"/>
    <w:rsid w:val="00492C3A"/>
    <w:rsid w:val="00492D94"/>
    <w:rsid w:val="00492E3A"/>
    <w:rsid w:val="00492FD2"/>
    <w:rsid w:val="0049309D"/>
    <w:rsid w:val="004930B9"/>
    <w:rsid w:val="00493286"/>
    <w:rsid w:val="00493628"/>
    <w:rsid w:val="00493969"/>
    <w:rsid w:val="00493CA3"/>
    <w:rsid w:val="00493E91"/>
    <w:rsid w:val="004940D3"/>
    <w:rsid w:val="00494640"/>
    <w:rsid w:val="00494A29"/>
    <w:rsid w:val="004950D1"/>
    <w:rsid w:val="00495151"/>
    <w:rsid w:val="00495672"/>
    <w:rsid w:val="00495B90"/>
    <w:rsid w:val="00495BC3"/>
    <w:rsid w:val="0049606E"/>
    <w:rsid w:val="004962D6"/>
    <w:rsid w:val="004965DB"/>
    <w:rsid w:val="0049661B"/>
    <w:rsid w:val="00496AA4"/>
    <w:rsid w:val="00496BA5"/>
    <w:rsid w:val="00496C3C"/>
    <w:rsid w:val="00496D29"/>
    <w:rsid w:val="00496FF9"/>
    <w:rsid w:val="004976F9"/>
    <w:rsid w:val="004979B7"/>
    <w:rsid w:val="004979F2"/>
    <w:rsid w:val="004979F3"/>
    <w:rsid w:val="00497D3C"/>
    <w:rsid w:val="00497D9B"/>
    <w:rsid w:val="00497DFC"/>
    <w:rsid w:val="00497FC3"/>
    <w:rsid w:val="004A0069"/>
    <w:rsid w:val="004A0211"/>
    <w:rsid w:val="004A0990"/>
    <w:rsid w:val="004A0B0F"/>
    <w:rsid w:val="004A0E31"/>
    <w:rsid w:val="004A12FC"/>
    <w:rsid w:val="004A1606"/>
    <w:rsid w:val="004A173C"/>
    <w:rsid w:val="004A17B1"/>
    <w:rsid w:val="004A1D40"/>
    <w:rsid w:val="004A1D99"/>
    <w:rsid w:val="004A2079"/>
    <w:rsid w:val="004A22E2"/>
    <w:rsid w:val="004A2361"/>
    <w:rsid w:val="004A27B6"/>
    <w:rsid w:val="004A2960"/>
    <w:rsid w:val="004A2AA1"/>
    <w:rsid w:val="004A2F4A"/>
    <w:rsid w:val="004A3118"/>
    <w:rsid w:val="004A31D9"/>
    <w:rsid w:val="004A3750"/>
    <w:rsid w:val="004A37E7"/>
    <w:rsid w:val="004A3EF2"/>
    <w:rsid w:val="004A43DC"/>
    <w:rsid w:val="004A46BD"/>
    <w:rsid w:val="004A4714"/>
    <w:rsid w:val="004A478A"/>
    <w:rsid w:val="004A490A"/>
    <w:rsid w:val="004A49B5"/>
    <w:rsid w:val="004A4A2B"/>
    <w:rsid w:val="004A4C75"/>
    <w:rsid w:val="004A505A"/>
    <w:rsid w:val="004A520C"/>
    <w:rsid w:val="004A5256"/>
    <w:rsid w:val="004A5300"/>
    <w:rsid w:val="004A5512"/>
    <w:rsid w:val="004A5A49"/>
    <w:rsid w:val="004A5B4E"/>
    <w:rsid w:val="004A5D05"/>
    <w:rsid w:val="004A5FAF"/>
    <w:rsid w:val="004A6471"/>
    <w:rsid w:val="004A6794"/>
    <w:rsid w:val="004A6814"/>
    <w:rsid w:val="004A6F49"/>
    <w:rsid w:val="004A71B5"/>
    <w:rsid w:val="004A735D"/>
    <w:rsid w:val="004A76F1"/>
    <w:rsid w:val="004A7761"/>
    <w:rsid w:val="004A7892"/>
    <w:rsid w:val="004A7BA8"/>
    <w:rsid w:val="004A7BDE"/>
    <w:rsid w:val="004A7C2C"/>
    <w:rsid w:val="004A7EDA"/>
    <w:rsid w:val="004A7F9A"/>
    <w:rsid w:val="004B04AB"/>
    <w:rsid w:val="004B0AB0"/>
    <w:rsid w:val="004B0FC6"/>
    <w:rsid w:val="004B125D"/>
    <w:rsid w:val="004B1302"/>
    <w:rsid w:val="004B1524"/>
    <w:rsid w:val="004B172C"/>
    <w:rsid w:val="004B17D9"/>
    <w:rsid w:val="004B18BE"/>
    <w:rsid w:val="004B18D5"/>
    <w:rsid w:val="004B195D"/>
    <w:rsid w:val="004B19F3"/>
    <w:rsid w:val="004B1D0C"/>
    <w:rsid w:val="004B1E3F"/>
    <w:rsid w:val="004B1EE2"/>
    <w:rsid w:val="004B2268"/>
    <w:rsid w:val="004B23EA"/>
    <w:rsid w:val="004B288C"/>
    <w:rsid w:val="004B28F5"/>
    <w:rsid w:val="004B2E46"/>
    <w:rsid w:val="004B2FBB"/>
    <w:rsid w:val="004B36E2"/>
    <w:rsid w:val="004B38FD"/>
    <w:rsid w:val="004B39A0"/>
    <w:rsid w:val="004B3D93"/>
    <w:rsid w:val="004B3E71"/>
    <w:rsid w:val="004B4295"/>
    <w:rsid w:val="004B4430"/>
    <w:rsid w:val="004B44A4"/>
    <w:rsid w:val="004B44AD"/>
    <w:rsid w:val="004B460C"/>
    <w:rsid w:val="004B49A4"/>
    <w:rsid w:val="004B4A9D"/>
    <w:rsid w:val="004B4CED"/>
    <w:rsid w:val="004B4D99"/>
    <w:rsid w:val="004B4FBA"/>
    <w:rsid w:val="004B5123"/>
    <w:rsid w:val="004B543D"/>
    <w:rsid w:val="004B5698"/>
    <w:rsid w:val="004B5948"/>
    <w:rsid w:val="004B5A4A"/>
    <w:rsid w:val="004B5B61"/>
    <w:rsid w:val="004B5E00"/>
    <w:rsid w:val="004B63D1"/>
    <w:rsid w:val="004B6753"/>
    <w:rsid w:val="004B7611"/>
    <w:rsid w:val="004B79A0"/>
    <w:rsid w:val="004B79C6"/>
    <w:rsid w:val="004B7B76"/>
    <w:rsid w:val="004B7BDB"/>
    <w:rsid w:val="004B7BE9"/>
    <w:rsid w:val="004C021F"/>
    <w:rsid w:val="004C036C"/>
    <w:rsid w:val="004C0564"/>
    <w:rsid w:val="004C0576"/>
    <w:rsid w:val="004C07C3"/>
    <w:rsid w:val="004C0A6B"/>
    <w:rsid w:val="004C0CB5"/>
    <w:rsid w:val="004C0FC9"/>
    <w:rsid w:val="004C10E8"/>
    <w:rsid w:val="004C11A5"/>
    <w:rsid w:val="004C153B"/>
    <w:rsid w:val="004C16CA"/>
    <w:rsid w:val="004C1786"/>
    <w:rsid w:val="004C1854"/>
    <w:rsid w:val="004C185E"/>
    <w:rsid w:val="004C1984"/>
    <w:rsid w:val="004C1A18"/>
    <w:rsid w:val="004C1AFA"/>
    <w:rsid w:val="004C1DAB"/>
    <w:rsid w:val="004C1DBC"/>
    <w:rsid w:val="004C1E1D"/>
    <w:rsid w:val="004C1EA4"/>
    <w:rsid w:val="004C1F96"/>
    <w:rsid w:val="004C216D"/>
    <w:rsid w:val="004C2539"/>
    <w:rsid w:val="004C2F6F"/>
    <w:rsid w:val="004C31A7"/>
    <w:rsid w:val="004C3499"/>
    <w:rsid w:val="004C3661"/>
    <w:rsid w:val="004C39E0"/>
    <w:rsid w:val="004C3CC2"/>
    <w:rsid w:val="004C3EB8"/>
    <w:rsid w:val="004C3EBD"/>
    <w:rsid w:val="004C419C"/>
    <w:rsid w:val="004C451C"/>
    <w:rsid w:val="004C4706"/>
    <w:rsid w:val="004C49B0"/>
    <w:rsid w:val="004C4B6C"/>
    <w:rsid w:val="004C4DC7"/>
    <w:rsid w:val="004C55BA"/>
    <w:rsid w:val="004C57A6"/>
    <w:rsid w:val="004C585D"/>
    <w:rsid w:val="004C5864"/>
    <w:rsid w:val="004C59AC"/>
    <w:rsid w:val="004C59F4"/>
    <w:rsid w:val="004C5A5A"/>
    <w:rsid w:val="004C5ABF"/>
    <w:rsid w:val="004C5C70"/>
    <w:rsid w:val="004C5DD2"/>
    <w:rsid w:val="004C5EF7"/>
    <w:rsid w:val="004C5F38"/>
    <w:rsid w:val="004C5F68"/>
    <w:rsid w:val="004C63DF"/>
    <w:rsid w:val="004C67A7"/>
    <w:rsid w:val="004C688E"/>
    <w:rsid w:val="004C6936"/>
    <w:rsid w:val="004C693A"/>
    <w:rsid w:val="004C69B8"/>
    <w:rsid w:val="004C6B92"/>
    <w:rsid w:val="004C6C4F"/>
    <w:rsid w:val="004C6C99"/>
    <w:rsid w:val="004C6DA2"/>
    <w:rsid w:val="004C6F28"/>
    <w:rsid w:val="004C7374"/>
    <w:rsid w:val="004C7381"/>
    <w:rsid w:val="004C758D"/>
    <w:rsid w:val="004C7A57"/>
    <w:rsid w:val="004C7AF3"/>
    <w:rsid w:val="004C7BFE"/>
    <w:rsid w:val="004C7D5B"/>
    <w:rsid w:val="004D020B"/>
    <w:rsid w:val="004D022B"/>
    <w:rsid w:val="004D065C"/>
    <w:rsid w:val="004D0849"/>
    <w:rsid w:val="004D0AC7"/>
    <w:rsid w:val="004D0E01"/>
    <w:rsid w:val="004D0F08"/>
    <w:rsid w:val="004D1136"/>
    <w:rsid w:val="004D1222"/>
    <w:rsid w:val="004D1734"/>
    <w:rsid w:val="004D17ED"/>
    <w:rsid w:val="004D1D0F"/>
    <w:rsid w:val="004D1E34"/>
    <w:rsid w:val="004D1F63"/>
    <w:rsid w:val="004D2365"/>
    <w:rsid w:val="004D2475"/>
    <w:rsid w:val="004D2735"/>
    <w:rsid w:val="004D27EE"/>
    <w:rsid w:val="004D2BC5"/>
    <w:rsid w:val="004D2D2D"/>
    <w:rsid w:val="004D2D43"/>
    <w:rsid w:val="004D34B1"/>
    <w:rsid w:val="004D3520"/>
    <w:rsid w:val="004D3AB3"/>
    <w:rsid w:val="004D3BCF"/>
    <w:rsid w:val="004D3E0A"/>
    <w:rsid w:val="004D3E14"/>
    <w:rsid w:val="004D4130"/>
    <w:rsid w:val="004D4257"/>
    <w:rsid w:val="004D42FB"/>
    <w:rsid w:val="004D45DF"/>
    <w:rsid w:val="004D4EDA"/>
    <w:rsid w:val="004D51C4"/>
    <w:rsid w:val="004D5674"/>
    <w:rsid w:val="004D567A"/>
    <w:rsid w:val="004D56C5"/>
    <w:rsid w:val="004D5779"/>
    <w:rsid w:val="004D585E"/>
    <w:rsid w:val="004D5A4A"/>
    <w:rsid w:val="004D5F6D"/>
    <w:rsid w:val="004D65C4"/>
    <w:rsid w:val="004D65D0"/>
    <w:rsid w:val="004D6609"/>
    <w:rsid w:val="004D664D"/>
    <w:rsid w:val="004D694E"/>
    <w:rsid w:val="004D6B6F"/>
    <w:rsid w:val="004D6E2C"/>
    <w:rsid w:val="004D6E43"/>
    <w:rsid w:val="004D7236"/>
    <w:rsid w:val="004D7618"/>
    <w:rsid w:val="004D7A48"/>
    <w:rsid w:val="004D7A57"/>
    <w:rsid w:val="004D7B40"/>
    <w:rsid w:val="004D7C0C"/>
    <w:rsid w:val="004D7F2A"/>
    <w:rsid w:val="004E05A4"/>
    <w:rsid w:val="004E05A6"/>
    <w:rsid w:val="004E0726"/>
    <w:rsid w:val="004E07EA"/>
    <w:rsid w:val="004E0883"/>
    <w:rsid w:val="004E09EE"/>
    <w:rsid w:val="004E0A06"/>
    <w:rsid w:val="004E0D64"/>
    <w:rsid w:val="004E10C3"/>
    <w:rsid w:val="004E128E"/>
    <w:rsid w:val="004E1428"/>
    <w:rsid w:val="004E15DD"/>
    <w:rsid w:val="004E1949"/>
    <w:rsid w:val="004E1B73"/>
    <w:rsid w:val="004E1E46"/>
    <w:rsid w:val="004E21FD"/>
    <w:rsid w:val="004E2399"/>
    <w:rsid w:val="004E2498"/>
    <w:rsid w:val="004E24CB"/>
    <w:rsid w:val="004E2776"/>
    <w:rsid w:val="004E2948"/>
    <w:rsid w:val="004E294D"/>
    <w:rsid w:val="004E29A6"/>
    <w:rsid w:val="004E347B"/>
    <w:rsid w:val="004E34A9"/>
    <w:rsid w:val="004E34D0"/>
    <w:rsid w:val="004E386E"/>
    <w:rsid w:val="004E388E"/>
    <w:rsid w:val="004E397E"/>
    <w:rsid w:val="004E39AD"/>
    <w:rsid w:val="004E39E2"/>
    <w:rsid w:val="004E3AD5"/>
    <w:rsid w:val="004E3D68"/>
    <w:rsid w:val="004E3D6F"/>
    <w:rsid w:val="004E3EB2"/>
    <w:rsid w:val="004E461D"/>
    <w:rsid w:val="004E47B9"/>
    <w:rsid w:val="004E493D"/>
    <w:rsid w:val="004E4A59"/>
    <w:rsid w:val="004E4C68"/>
    <w:rsid w:val="004E4D3A"/>
    <w:rsid w:val="004E4EEF"/>
    <w:rsid w:val="004E5179"/>
    <w:rsid w:val="004E53D0"/>
    <w:rsid w:val="004E564B"/>
    <w:rsid w:val="004E56CF"/>
    <w:rsid w:val="004E5755"/>
    <w:rsid w:val="004E57AA"/>
    <w:rsid w:val="004E59FC"/>
    <w:rsid w:val="004E5C7A"/>
    <w:rsid w:val="004E5C87"/>
    <w:rsid w:val="004E5CFC"/>
    <w:rsid w:val="004E6401"/>
    <w:rsid w:val="004E68FE"/>
    <w:rsid w:val="004E6A53"/>
    <w:rsid w:val="004E6AD6"/>
    <w:rsid w:val="004E70FB"/>
    <w:rsid w:val="004E738C"/>
    <w:rsid w:val="004E77C0"/>
    <w:rsid w:val="004E797E"/>
    <w:rsid w:val="004E7B62"/>
    <w:rsid w:val="004E7DB3"/>
    <w:rsid w:val="004E7E07"/>
    <w:rsid w:val="004E7E1D"/>
    <w:rsid w:val="004E7E46"/>
    <w:rsid w:val="004F00B0"/>
    <w:rsid w:val="004F015F"/>
    <w:rsid w:val="004F03C7"/>
    <w:rsid w:val="004F0404"/>
    <w:rsid w:val="004F0618"/>
    <w:rsid w:val="004F0890"/>
    <w:rsid w:val="004F08F9"/>
    <w:rsid w:val="004F0A51"/>
    <w:rsid w:val="004F0D4D"/>
    <w:rsid w:val="004F0EC3"/>
    <w:rsid w:val="004F0EC5"/>
    <w:rsid w:val="004F0F1E"/>
    <w:rsid w:val="004F0F33"/>
    <w:rsid w:val="004F12E4"/>
    <w:rsid w:val="004F178B"/>
    <w:rsid w:val="004F1AAB"/>
    <w:rsid w:val="004F1E03"/>
    <w:rsid w:val="004F1EFC"/>
    <w:rsid w:val="004F2080"/>
    <w:rsid w:val="004F226F"/>
    <w:rsid w:val="004F22AB"/>
    <w:rsid w:val="004F238E"/>
    <w:rsid w:val="004F29E1"/>
    <w:rsid w:val="004F2CC5"/>
    <w:rsid w:val="004F2D12"/>
    <w:rsid w:val="004F2DBC"/>
    <w:rsid w:val="004F30FA"/>
    <w:rsid w:val="004F3455"/>
    <w:rsid w:val="004F35B0"/>
    <w:rsid w:val="004F374E"/>
    <w:rsid w:val="004F3761"/>
    <w:rsid w:val="004F390D"/>
    <w:rsid w:val="004F408B"/>
    <w:rsid w:val="004F424A"/>
    <w:rsid w:val="004F424D"/>
    <w:rsid w:val="004F433F"/>
    <w:rsid w:val="004F44F6"/>
    <w:rsid w:val="004F46A0"/>
    <w:rsid w:val="004F4718"/>
    <w:rsid w:val="004F4922"/>
    <w:rsid w:val="004F4A42"/>
    <w:rsid w:val="004F4DFE"/>
    <w:rsid w:val="004F5065"/>
    <w:rsid w:val="004F51B7"/>
    <w:rsid w:val="004F51B8"/>
    <w:rsid w:val="004F527B"/>
    <w:rsid w:val="004F543F"/>
    <w:rsid w:val="004F55ED"/>
    <w:rsid w:val="004F58B6"/>
    <w:rsid w:val="004F593C"/>
    <w:rsid w:val="004F5959"/>
    <w:rsid w:val="004F5F76"/>
    <w:rsid w:val="004F6185"/>
    <w:rsid w:val="004F6653"/>
    <w:rsid w:val="004F6758"/>
    <w:rsid w:val="004F6934"/>
    <w:rsid w:val="004F6A41"/>
    <w:rsid w:val="004F731D"/>
    <w:rsid w:val="004F73B0"/>
    <w:rsid w:val="004F7558"/>
    <w:rsid w:val="004F76FF"/>
    <w:rsid w:val="004F77A0"/>
    <w:rsid w:val="004F7907"/>
    <w:rsid w:val="004F7BDA"/>
    <w:rsid w:val="004F7CF9"/>
    <w:rsid w:val="004F7E8A"/>
    <w:rsid w:val="005001F4"/>
    <w:rsid w:val="00500252"/>
    <w:rsid w:val="0050031F"/>
    <w:rsid w:val="00500441"/>
    <w:rsid w:val="005005A0"/>
    <w:rsid w:val="00500689"/>
    <w:rsid w:val="00500706"/>
    <w:rsid w:val="00500A88"/>
    <w:rsid w:val="00500C7C"/>
    <w:rsid w:val="00501210"/>
    <w:rsid w:val="005014DF"/>
    <w:rsid w:val="00501793"/>
    <w:rsid w:val="005017A2"/>
    <w:rsid w:val="00501A3E"/>
    <w:rsid w:val="00501C6D"/>
    <w:rsid w:val="00501F15"/>
    <w:rsid w:val="00502045"/>
    <w:rsid w:val="00502189"/>
    <w:rsid w:val="005027B7"/>
    <w:rsid w:val="00502973"/>
    <w:rsid w:val="00502C00"/>
    <w:rsid w:val="00502D10"/>
    <w:rsid w:val="005030A1"/>
    <w:rsid w:val="005037BE"/>
    <w:rsid w:val="005037C8"/>
    <w:rsid w:val="00503B4F"/>
    <w:rsid w:val="00503B76"/>
    <w:rsid w:val="00503E1F"/>
    <w:rsid w:val="005043A8"/>
    <w:rsid w:val="005046BA"/>
    <w:rsid w:val="00504E2B"/>
    <w:rsid w:val="005052CD"/>
    <w:rsid w:val="0050531E"/>
    <w:rsid w:val="005055B2"/>
    <w:rsid w:val="00505728"/>
    <w:rsid w:val="00505AAF"/>
    <w:rsid w:val="00505DAA"/>
    <w:rsid w:val="005060B7"/>
    <w:rsid w:val="00506335"/>
    <w:rsid w:val="005065A0"/>
    <w:rsid w:val="00506884"/>
    <w:rsid w:val="00506BD6"/>
    <w:rsid w:val="00506CCC"/>
    <w:rsid w:val="00506D48"/>
    <w:rsid w:val="00506E67"/>
    <w:rsid w:val="00507253"/>
    <w:rsid w:val="005072A0"/>
    <w:rsid w:val="0050738B"/>
    <w:rsid w:val="005073C1"/>
    <w:rsid w:val="005074B1"/>
    <w:rsid w:val="0050755E"/>
    <w:rsid w:val="0050756A"/>
    <w:rsid w:val="005079D0"/>
    <w:rsid w:val="00507A09"/>
    <w:rsid w:val="00507C18"/>
    <w:rsid w:val="005100B3"/>
    <w:rsid w:val="005100E2"/>
    <w:rsid w:val="00510178"/>
    <w:rsid w:val="00510812"/>
    <w:rsid w:val="005108A2"/>
    <w:rsid w:val="00510A8B"/>
    <w:rsid w:val="00510E8E"/>
    <w:rsid w:val="0051103E"/>
    <w:rsid w:val="00511172"/>
    <w:rsid w:val="005111F8"/>
    <w:rsid w:val="00511239"/>
    <w:rsid w:val="00511515"/>
    <w:rsid w:val="00511609"/>
    <w:rsid w:val="0051187B"/>
    <w:rsid w:val="00511B6E"/>
    <w:rsid w:val="00511C6A"/>
    <w:rsid w:val="00511CDC"/>
    <w:rsid w:val="00511E93"/>
    <w:rsid w:val="00511EFC"/>
    <w:rsid w:val="00512922"/>
    <w:rsid w:val="00512C62"/>
    <w:rsid w:val="00512C9A"/>
    <w:rsid w:val="005133FF"/>
    <w:rsid w:val="00513963"/>
    <w:rsid w:val="00513BE4"/>
    <w:rsid w:val="00513CB6"/>
    <w:rsid w:val="00513D2A"/>
    <w:rsid w:val="00513D53"/>
    <w:rsid w:val="00513F92"/>
    <w:rsid w:val="005147D2"/>
    <w:rsid w:val="00514A62"/>
    <w:rsid w:val="005150DC"/>
    <w:rsid w:val="0051543B"/>
    <w:rsid w:val="005155DB"/>
    <w:rsid w:val="005156C5"/>
    <w:rsid w:val="00515757"/>
    <w:rsid w:val="005157F7"/>
    <w:rsid w:val="00515C90"/>
    <w:rsid w:val="00515EDC"/>
    <w:rsid w:val="00516196"/>
    <w:rsid w:val="005162E0"/>
    <w:rsid w:val="00516442"/>
    <w:rsid w:val="005169B6"/>
    <w:rsid w:val="00516A8C"/>
    <w:rsid w:val="00516BF8"/>
    <w:rsid w:val="00516CA4"/>
    <w:rsid w:val="00516E88"/>
    <w:rsid w:val="00516FD3"/>
    <w:rsid w:val="0051707C"/>
    <w:rsid w:val="00517110"/>
    <w:rsid w:val="00517181"/>
    <w:rsid w:val="0051726C"/>
    <w:rsid w:val="0051777C"/>
    <w:rsid w:val="00517808"/>
    <w:rsid w:val="00517F29"/>
    <w:rsid w:val="0052007F"/>
    <w:rsid w:val="005201D2"/>
    <w:rsid w:val="005203DB"/>
    <w:rsid w:val="005205BE"/>
    <w:rsid w:val="0052086F"/>
    <w:rsid w:val="005208B0"/>
    <w:rsid w:val="00520ACF"/>
    <w:rsid w:val="00520AD4"/>
    <w:rsid w:val="00520AFA"/>
    <w:rsid w:val="00520E45"/>
    <w:rsid w:val="005210B7"/>
    <w:rsid w:val="0052119C"/>
    <w:rsid w:val="00521344"/>
    <w:rsid w:val="00521744"/>
    <w:rsid w:val="0052182B"/>
    <w:rsid w:val="00521A11"/>
    <w:rsid w:val="00521E29"/>
    <w:rsid w:val="005223F8"/>
    <w:rsid w:val="0052261D"/>
    <w:rsid w:val="005226D7"/>
    <w:rsid w:val="00522B18"/>
    <w:rsid w:val="00522B81"/>
    <w:rsid w:val="00522C15"/>
    <w:rsid w:val="00522D66"/>
    <w:rsid w:val="00522E0B"/>
    <w:rsid w:val="00522E5D"/>
    <w:rsid w:val="00522F3A"/>
    <w:rsid w:val="00523089"/>
    <w:rsid w:val="00523438"/>
    <w:rsid w:val="00523F6F"/>
    <w:rsid w:val="005240B8"/>
    <w:rsid w:val="005240C8"/>
    <w:rsid w:val="0052415F"/>
    <w:rsid w:val="005241E4"/>
    <w:rsid w:val="005241F3"/>
    <w:rsid w:val="00524980"/>
    <w:rsid w:val="00524F98"/>
    <w:rsid w:val="005252B0"/>
    <w:rsid w:val="005252D3"/>
    <w:rsid w:val="00525543"/>
    <w:rsid w:val="005256F2"/>
    <w:rsid w:val="00525978"/>
    <w:rsid w:val="00525A53"/>
    <w:rsid w:val="00525AA7"/>
    <w:rsid w:val="00525C57"/>
    <w:rsid w:val="005263C8"/>
    <w:rsid w:val="005264B9"/>
    <w:rsid w:val="005265BA"/>
    <w:rsid w:val="0052671F"/>
    <w:rsid w:val="0052747B"/>
    <w:rsid w:val="005276FD"/>
    <w:rsid w:val="00527730"/>
    <w:rsid w:val="00527AB5"/>
    <w:rsid w:val="00530033"/>
    <w:rsid w:val="00530212"/>
    <w:rsid w:val="0053029C"/>
    <w:rsid w:val="005306CC"/>
    <w:rsid w:val="00530B58"/>
    <w:rsid w:val="00530E85"/>
    <w:rsid w:val="00530EF3"/>
    <w:rsid w:val="0053146E"/>
    <w:rsid w:val="0053157C"/>
    <w:rsid w:val="005317FC"/>
    <w:rsid w:val="00531831"/>
    <w:rsid w:val="00531AE3"/>
    <w:rsid w:val="00531C2B"/>
    <w:rsid w:val="00531C83"/>
    <w:rsid w:val="0053207A"/>
    <w:rsid w:val="00532B51"/>
    <w:rsid w:val="00532D85"/>
    <w:rsid w:val="005330E6"/>
    <w:rsid w:val="00533493"/>
    <w:rsid w:val="005334C6"/>
    <w:rsid w:val="00533703"/>
    <w:rsid w:val="005338B8"/>
    <w:rsid w:val="005338FA"/>
    <w:rsid w:val="00533A14"/>
    <w:rsid w:val="00533C48"/>
    <w:rsid w:val="00534141"/>
    <w:rsid w:val="0053427A"/>
    <w:rsid w:val="0053438A"/>
    <w:rsid w:val="005347A8"/>
    <w:rsid w:val="0053495B"/>
    <w:rsid w:val="00534C00"/>
    <w:rsid w:val="00534DE7"/>
    <w:rsid w:val="00534DE8"/>
    <w:rsid w:val="0053500A"/>
    <w:rsid w:val="00535763"/>
    <w:rsid w:val="00535775"/>
    <w:rsid w:val="005358BD"/>
    <w:rsid w:val="00535AC5"/>
    <w:rsid w:val="00535B08"/>
    <w:rsid w:val="00535C57"/>
    <w:rsid w:val="00535D04"/>
    <w:rsid w:val="00535EC4"/>
    <w:rsid w:val="005367CA"/>
    <w:rsid w:val="00536814"/>
    <w:rsid w:val="00536894"/>
    <w:rsid w:val="00536966"/>
    <w:rsid w:val="005369D6"/>
    <w:rsid w:val="00536A74"/>
    <w:rsid w:val="00536AB5"/>
    <w:rsid w:val="00536F14"/>
    <w:rsid w:val="00536F4A"/>
    <w:rsid w:val="00536F83"/>
    <w:rsid w:val="00536FC5"/>
    <w:rsid w:val="00537063"/>
    <w:rsid w:val="005370FA"/>
    <w:rsid w:val="00537122"/>
    <w:rsid w:val="005373DD"/>
    <w:rsid w:val="00537506"/>
    <w:rsid w:val="00537708"/>
    <w:rsid w:val="0053779E"/>
    <w:rsid w:val="00537A37"/>
    <w:rsid w:val="00537C3D"/>
    <w:rsid w:val="00540098"/>
    <w:rsid w:val="0054019C"/>
    <w:rsid w:val="0054028E"/>
    <w:rsid w:val="005403C9"/>
    <w:rsid w:val="005404FA"/>
    <w:rsid w:val="00540830"/>
    <w:rsid w:val="00540D08"/>
    <w:rsid w:val="00541123"/>
    <w:rsid w:val="00541136"/>
    <w:rsid w:val="0054118A"/>
    <w:rsid w:val="00541360"/>
    <w:rsid w:val="00541567"/>
    <w:rsid w:val="00541656"/>
    <w:rsid w:val="00541709"/>
    <w:rsid w:val="0054172D"/>
    <w:rsid w:val="005417C4"/>
    <w:rsid w:val="0054241D"/>
    <w:rsid w:val="00542597"/>
    <w:rsid w:val="0054294B"/>
    <w:rsid w:val="00542AF8"/>
    <w:rsid w:val="00542E66"/>
    <w:rsid w:val="0054312B"/>
    <w:rsid w:val="005433AA"/>
    <w:rsid w:val="00543733"/>
    <w:rsid w:val="00543B78"/>
    <w:rsid w:val="00543B8B"/>
    <w:rsid w:val="00543CEE"/>
    <w:rsid w:val="00543EAC"/>
    <w:rsid w:val="00543EE5"/>
    <w:rsid w:val="00544097"/>
    <w:rsid w:val="00544480"/>
    <w:rsid w:val="00544883"/>
    <w:rsid w:val="005449C5"/>
    <w:rsid w:val="005449FF"/>
    <w:rsid w:val="00544A69"/>
    <w:rsid w:val="00544B0A"/>
    <w:rsid w:val="00544D98"/>
    <w:rsid w:val="005454A4"/>
    <w:rsid w:val="005456D0"/>
    <w:rsid w:val="00545C19"/>
    <w:rsid w:val="00545F08"/>
    <w:rsid w:val="0054622F"/>
    <w:rsid w:val="005462C0"/>
    <w:rsid w:val="005463C1"/>
    <w:rsid w:val="0054646E"/>
    <w:rsid w:val="00546643"/>
    <w:rsid w:val="005466C0"/>
    <w:rsid w:val="005468C3"/>
    <w:rsid w:val="00546970"/>
    <w:rsid w:val="00546AA8"/>
    <w:rsid w:val="00546B41"/>
    <w:rsid w:val="00546B56"/>
    <w:rsid w:val="00546DA2"/>
    <w:rsid w:val="00546F71"/>
    <w:rsid w:val="00546FD2"/>
    <w:rsid w:val="00547081"/>
    <w:rsid w:val="00547410"/>
    <w:rsid w:val="00547460"/>
    <w:rsid w:val="00547B0F"/>
    <w:rsid w:val="00547B5F"/>
    <w:rsid w:val="00547CA5"/>
    <w:rsid w:val="00550149"/>
    <w:rsid w:val="00550384"/>
    <w:rsid w:val="005504D3"/>
    <w:rsid w:val="005504E5"/>
    <w:rsid w:val="005506F2"/>
    <w:rsid w:val="00550897"/>
    <w:rsid w:val="005508D2"/>
    <w:rsid w:val="00550950"/>
    <w:rsid w:val="00550B8F"/>
    <w:rsid w:val="00550D2D"/>
    <w:rsid w:val="0055105B"/>
    <w:rsid w:val="00551110"/>
    <w:rsid w:val="00551432"/>
    <w:rsid w:val="00551461"/>
    <w:rsid w:val="00551488"/>
    <w:rsid w:val="00551548"/>
    <w:rsid w:val="00551695"/>
    <w:rsid w:val="005516EE"/>
    <w:rsid w:val="0055172A"/>
    <w:rsid w:val="00551C1D"/>
    <w:rsid w:val="0055203D"/>
    <w:rsid w:val="005522B9"/>
    <w:rsid w:val="00552BAE"/>
    <w:rsid w:val="00552CBE"/>
    <w:rsid w:val="005530F4"/>
    <w:rsid w:val="00553299"/>
    <w:rsid w:val="0055363E"/>
    <w:rsid w:val="005537CF"/>
    <w:rsid w:val="0055393F"/>
    <w:rsid w:val="00553A0E"/>
    <w:rsid w:val="00553A23"/>
    <w:rsid w:val="00553B8C"/>
    <w:rsid w:val="00553E38"/>
    <w:rsid w:val="00553E6E"/>
    <w:rsid w:val="00553E9F"/>
    <w:rsid w:val="00553F2E"/>
    <w:rsid w:val="00553F9E"/>
    <w:rsid w:val="005541C3"/>
    <w:rsid w:val="005541E6"/>
    <w:rsid w:val="005548A1"/>
    <w:rsid w:val="005548F2"/>
    <w:rsid w:val="0055492A"/>
    <w:rsid w:val="00554A68"/>
    <w:rsid w:val="00554A8F"/>
    <w:rsid w:val="00554A92"/>
    <w:rsid w:val="00554D64"/>
    <w:rsid w:val="00554D69"/>
    <w:rsid w:val="00554ED8"/>
    <w:rsid w:val="00554FF1"/>
    <w:rsid w:val="0055508E"/>
    <w:rsid w:val="005551B3"/>
    <w:rsid w:val="005551B4"/>
    <w:rsid w:val="00555385"/>
    <w:rsid w:val="005555DE"/>
    <w:rsid w:val="005558D0"/>
    <w:rsid w:val="005559F7"/>
    <w:rsid w:val="00555C99"/>
    <w:rsid w:val="00555CD3"/>
    <w:rsid w:val="00555DA1"/>
    <w:rsid w:val="00555E07"/>
    <w:rsid w:val="005561D6"/>
    <w:rsid w:val="005567A1"/>
    <w:rsid w:val="00556A20"/>
    <w:rsid w:val="00556AE0"/>
    <w:rsid w:val="00556B4A"/>
    <w:rsid w:val="00556B75"/>
    <w:rsid w:val="00556D22"/>
    <w:rsid w:val="00556DF8"/>
    <w:rsid w:val="00557403"/>
    <w:rsid w:val="00557701"/>
    <w:rsid w:val="00557829"/>
    <w:rsid w:val="00557DB2"/>
    <w:rsid w:val="00557DE6"/>
    <w:rsid w:val="00557E3A"/>
    <w:rsid w:val="00560166"/>
    <w:rsid w:val="0056033B"/>
    <w:rsid w:val="00560B55"/>
    <w:rsid w:val="00560FDF"/>
    <w:rsid w:val="00560FFC"/>
    <w:rsid w:val="0056111F"/>
    <w:rsid w:val="005612B8"/>
    <w:rsid w:val="00561401"/>
    <w:rsid w:val="00561478"/>
    <w:rsid w:val="0056156D"/>
    <w:rsid w:val="005615A5"/>
    <w:rsid w:val="00561606"/>
    <w:rsid w:val="005617F8"/>
    <w:rsid w:val="00561C2A"/>
    <w:rsid w:val="00561D9D"/>
    <w:rsid w:val="0056210A"/>
    <w:rsid w:val="0056216B"/>
    <w:rsid w:val="005621C9"/>
    <w:rsid w:val="00562466"/>
    <w:rsid w:val="005624CD"/>
    <w:rsid w:val="00562628"/>
    <w:rsid w:val="00562DA4"/>
    <w:rsid w:val="00562E07"/>
    <w:rsid w:val="00562F05"/>
    <w:rsid w:val="005633C4"/>
    <w:rsid w:val="005636DA"/>
    <w:rsid w:val="0056386B"/>
    <w:rsid w:val="00563B2D"/>
    <w:rsid w:val="00563B87"/>
    <w:rsid w:val="00563C8C"/>
    <w:rsid w:val="00564638"/>
    <w:rsid w:val="00564832"/>
    <w:rsid w:val="005648AF"/>
    <w:rsid w:val="00564AFE"/>
    <w:rsid w:val="00564BEB"/>
    <w:rsid w:val="00564DD1"/>
    <w:rsid w:val="0056545E"/>
    <w:rsid w:val="00565520"/>
    <w:rsid w:val="0056559F"/>
    <w:rsid w:val="005655EC"/>
    <w:rsid w:val="005655EF"/>
    <w:rsid w:val="00565723"/>
    <w:rsid w:val="0056586A"/>
    <w:rsid w:val="0056587F"/>
    <w:rsid w:val="00565A22"/>
    <w:rsid w:val="00565A58"/>
    <w:rsid w:val="00565D35"/>
    <w:rsid w:val="00565FED"/>
    <w:rsid w:val="005660C1"/>
    <w:rsid w:val="005661D3"/>
    <w:rsid w:val="00566220"/>
    <w:rsid w:val="00566616"/>
    <w:rsid w:val="00566E86"/>
    <w:rsid w:val="00566F66"/>
    <w:rsid w:val="005672F7"/>
    <w:rsid w:val="0056733D"/>
    <w:rsid w:val="005673EE"/>
    <w:rsid w:val="005675F5"/>
    <w:rsid w:val="00567C3C"/>
    <w:rsid w:val="00567D42"/>
    <w:rsid w:val="00567DFD"/>
    <w:rsid w:val="00570195"/>
    <w:rsid w:val="005704B6"/>
    <w:rsid w:val="00570630"/>
    <w:rsid w:val="00570645"/>
    <w:rsid w:val="00570D6E"/>
    <w:rsid w:val="00570FF4"/>
    <w:rsid w:val="005712CA"/>
    <w:rsid w:val="00571327"/>
    <w:rsid w:val="0057133B"/>
    <w:rsid w:val="00571439"/>
    <w:rsid w:val="00571512"/>
    <w:rsid w:val="00571701"/>
    <w:rsid w:val="00571C0F"/>
    <w:rsid w:val="00571DD0"/>
    <w:rsid w:val="005723CB"/>
    <w:rsid w:val="00572A98"/>
    <w:rsid w:val="00572BB5"/>
    <w:rsid w:val="00572E25"/>
    <w:rsid w:val="00573429"/>
    <w:rsid w:val="00573521"/>
    <w:rsid w:val="0057355D"/>
    <w:rsid w:val="00573725"/>
    <w:rsid w:val="005737F4"/>
    <w:rsid w:val="00573950"/>
    <w:rsid w:val="005739A0"/>
    <w:rsid w:val="00573CB5"/>
    <w:rsid w:val="00574444"/>
    <w:rsid w:val="005748C2"/>
    <w:rsid w:val="005749E8"/>
    <w:rsid w:val="00575618"/>
    <w:rsid w:val="00575630"/>
    <w:rsid w:val="005757E9"/>
    <w:rsid w:val="00575A1A"/>
    <w:rsid w:val="00575A5A"/>
    <w:rsid w:val="00575B0F"/>
    <w:rsid w:val="00575B8E"/>
    <w:rsid w:val="00575E8D"/>
    <w:rsid w:val="0057626F"/>
    <w:rsid w:val="0057657C"/>
    <w:rsid w:val="00576714"/>
    <w:rsid w:val="0057691A"/>
    <w:rsid w:val="00576A77"/>
    <w:rsid w:val="00576DDD"/>
    <w:rsid w:val="00577054"/>
    <w:rsid w:val="005772AF"/>
    <w:rsid w:val="005774B9"/>
    <w:rsid w:val="0057755D"/>
    <w:rsid w:val="00577C40"/>
    <w:rsid w:val="00577C75"/>
    <w:rsid w:val="00577CF1"/>
    <w:rsid w:val="00577E25"/>
    <w:rsid w:val="005802D4"/>
    <w:rsid w:val="0058044E"/>
    <w:rsid w:val="00580502"/>
    <w:rsid w:val="005808A1"/>
    <w:rsid w:val="00581163"/>
    <w:rsid w:val="00581532"/>
    <w:rsid w:val="00581684"/>
    <w:rsid w:val="0058175C"/>
    <w:rsid w:val="00581B1F"/>
    <w:rsid w:val="00581BDA"/>
    <w:rsid w:val="00581D97"/>
    <w:rsid w:val="00582212"/>
    <w:rsid w:val="00582218"/>
    <w:rsid w:val="0058266B"/>
    <w:rsid w:val="00582711"/>
    <w:rsid w:val="005827F2"/>
    <w:rsid w:val="00582FEC"/>
    <w:rsid w:val="0058331D"/>
    <w:rsid w:val="00583377"/>
    <w:rsid w:val="005833CB"/>
    <w:rsid w:val="00583751"/>
    <w:rsid w:val="0058386F"/>
    <w:rsid w:val="005838ED"/>
    <w:rsid w:val="00583B55"/>
    <w:rsid w:val="00583E4B"/>
    <w:rsid w:val="00583F33"/>
    <w:rsid w:val="00583F3D"/>
    <w:rsid w:val="00583F52"/>
    <w:rsid w:val="005842AA"/>
    <w:rsid w:val="005843CA"/>
    <w:rsid w:val="0058462D"/>
    <w:rsid w:val="005847D0"/>
    <w:rsid w:val="00584A39"/>
    <w:rsid w:val="00584AF2"/>
    <w:rsid w:val="00584BDC"/>
    <w:rsid w:val="00584F99"/>
    <w:rsid w:val="00585088"/>
    <w:rsid w:val="00585529"/>
    <w:rsid w:val="005859E6"/>
    <w:rsid w:val="005859F9"/>
    <w:rsid w:val="00585E04"/>
    <w:rsid w:val="00585F49"/>
    <w:rsid w:val="0058605D"/>
    <w:rsid w:val="00586772"/>
    <w:rsid w:val="005868BA"/>
    <w:rsid w:val="00586A27"/>
    <w:rsid w:val="00586A29"/>
    <w:rsid w:val="00586BAC"/>
    <w:rsid w:val="00586D40"/>
    <w:rsid w:val="00586D8B"/>
    <w:rsid w:val="00586DCC"/>
    <w:rsid w:val="00586F9F"/>
    <w:rsid w:val="00586FFA"/>
    <w:rsid w:val="00587223"/>
    <w:rsid w:val="00587389"/>
    <w:rsid w:val="0058738C"/>
    <w:rsid w:val="00587798"/>
    <w:rsid w:val="00587DB7"/>
    <w:rsid w:val="00587EEA"/>
    <w:rsid w:val="00590924"/>
    <w:rsid w:val="00590C2B"/>
    <w:rsid w:val="00590CAD"/>
    <w:rsid w:val="00590CFB"/>
    <w:rsid w:val="00590E74"/>
    <w:rsid w:val="00591435"/>
    <w:rsid w:val="005914B3"/>
    <w:rsid w:val="00591580"/>
    <w:rsid w:val="00591DF5"/>
    <w:rsid w:val="00591EDD"/>
    <w:rsid w:val="00591F0C"/>
    <w:rsid w:val="0059220B"/>
    <w:rsid w:val="00592394"/>
    <w:rsid w:val="005924BD"/>
    <w:rsid w:val="00592727"/>
    <w:rsid w:val="005927CD"/>
    <w:rsid w:val="005929DB"/>
    <w:rsid w:val="00592E8E"/>
    <w:rsid w:val="0059348F"/>
    <w:rsid w:val="00593D74"/>
    <w:rsid w:val="005941A3"/>
    <w:rsid w:val="00594815"/>
    <w:rsid w:val="00594981"/>
    <w:rsid w:val="005949ED"/>
    <w:rsid w:val="00594B59"/>
    <w:rsid w:val="00594D7F"/>
    <w:rsid w:val="00594E24"/>
    <w:rsid w:val="00594F12"/>
    <w:rsid w:val="00594F1A"/>
    <w:rsid w:val="00594FB5"/>
    <w:rsid w:val="0059529A"/>
    <w:rsid w:val="00595464"/>
    <w:rsid w:val="005954FA"/>
    <w:rsid w:val="005956FF"/>
    <w:rsid w:val="0059578F"/>
    <w:rsid w:val="005957BC"/>
    <w:rsid w:val="00595825"/>
    <w:rsid w:val="00595981"/>
    <w:rsid w:val="00595AC2"/>
    <w:rsid w:val="00595AE3"/>
    <w:rsid w:val="00595DA7"/>
    <w:rsid w:val="00595E33"/>
    <w:rsid w:val="00595FAF"/>
    <w:rsid w:val="00595FE4"/>
    <w:rsid w:val="00596134"/>
    <w:rsid w:val="005964D9"/>
    <w:rsid w:val="00596699"/>
    <w:rsid w:val="00596787"/>
    <w:rsid w:val="00596A13"/>
    <w:rsid w:val="00596ADF"/>
    <w:rsid w:val="00596E5E"/>
    <w:rsid w:val="00596E79"/>
    <w:rsid w:val="0059730D"/>
    <w:rsid w:val="00597519"/>
    <w:rsid w:val="00597716"/>
    <w:rsid w:val="0059786F"/>
    <w:rsid w:val="00597964"/>
    <w:rsid w:val="00597FA3"/>
    <w:rsid w:val="00597FB7"/>
    <w:rsid w:val="005A01A5"/>
    <w:rsid w:val="005A020F"/>
    <w:rsid w:val="005A05DF"/>
    <w:rsid w:val="005A0785"/>
    <w:rsid w:val="005A087D"/>
    <w:rsid w:val="005A09F3"/>
    <w:rsid w:val="005A1192"/>
    <w:rsid w:val="005A11A8"/>
    <w:rsid w:val="005A11C0"/>
    <w:rsid w:val="005A13C2"/>
    <w:rsid w:val="005A13EF"/>
    <w:rsid w:val="005A16FE"/>
    <w:rsid w:val="005A17B9"/>
    <w:rsid w:val="005A18FD"/>
    <w:rsid w:val="005A1944"/>
    <w:rsid w:val="005A1954"/>
    <w:rsid w:val="005A1D40"/>
    <w:rsid w:val="005A1DB2"/>
    <w:rsid w:val="005A1E96"/>
    <w:rsid w:val="005A23F3"/>
    <w:rsid w:val="005A26FC"/>
    <w:rsid w:val="005A2936"/>
    <w:rsid w:val="005A2A9D"/>
    <w:rsid w:val="005A2CD5"/>
    <w:rsid w:val="005A3439"/>
    <w:rsid w:val="005A3515"/>
    <w:rsid w:val="005A37F9"/>
    <w:rsid w:val="005A3899"/>
    <w:rsid w:val="005A3A4E"/>
    <w:rsid w:val="005A3B09"/>
    <w:rsid w:val="005A3B7A"/>
    <w:rsid w:val="005A3EC8"/>
    <w:rsid w:val="005A40CD"/>
    <w:rsid w:val="005A4389"/>
    <w:rsid w:val="005A439A"/>
    <w:rsid w:val="005A46CD"/>
    <w:rsid w:val="005A4D29"/>
    <w:rsid w:val="005A4FF8"/>
    <w:rsid w:val="005A5136"/>
    <w:rsid w:val="005A52C1"/>
    <w:rsid w:val="005A568F"/>
    <w:rsid w:val="005A5715"/>
    <w:rsid w:val="005A5796"/>
    <w:rsid w:val="005A57A5"/>
    <w:rsid w:val="005A57AF"/>
    <w:rsid w:val="005A59DA"/>
    <w:rsid w:val="005A5A26"/>
    <w:rsid w:val="005A5B0F"/>
    <w:rsid w:val="005A5F28"/>
    <w:rsid w:val="005A68FE"/>
    <w:rsid w:val="005A6A94"/>
    <w:rsid w:val="005A6C4E"/>
    <w:rsid w:val="005A6CA5"/>
    <w:rsid w:val="005A6E98"/>
    <w:rsid w:val="005A6EC9"/>
    <w:rsid w:val="005A73AE"/>
    <w:rsid w:val="005A785F"/>
    <w:rsid w:val="005A79AE"/>
    <w:rsid w:val="005A79D9"/>
    <w:rsid w:val="005A79EF"/>
    <w:rsid w:val="005A7CA1"/>
    <w:rsid w:val="005A7E02"/>
    <w:rsid w:val="005A7E78"/>
    <w:rsid w:val="005B0070"/>
    <w:rsid w:val="005B0563"/>
    <w:rsid w:val="005B05B4"/>
    <w:rsid w:val="005B072D"/>
    <w:rsid w:val="005B0771"/>
    <w:rsid w:val="005B07CA"/>
    <w:rsid w:val="005B07D1"/>
    <w:rsid w:val="005B0968"/>
    <w:rsid w:val="005B0C6A"/>
    <w:rsid w:val="005B0F1A"/>
    <w:rsid w:val="005B12AB"/>
    <w:rsid w:val="005B1617"/>
    <w:rsid w:val="005B1D16"/>
    <w:rsid w:val="005B1DCF"/>
    <w:rsid w:val="005B1E45"/>
    <w:rsid w:val="005B1E93"/>
    <w:rsid w:val="005B205C"/>
    <w:rsid w:val="005B21DB"/>
    <w:rsid w:val="005B26CA"/>
    <w:rsid w:val="005B2D17"/>
    <w:rsid w:val="005B2D9E"/>
    <w:rsid w:val="005B2FA5"/>
    <w:rsid w:val="005B3344"/>
    <w:rsid w:val="005B34F5"/>
    <w:rsid w:val="005B3504"/>
    <w:rsid w:val="005B3585"/>
    <w:rsid w:val="005B3694"/>
    <w:rsid w:val="005B3781"/>
    <w:rsid w:val="005B37B4"/>
    <w:rsid w:val="005B3991"/>
    <w:rsid w:val="005B3B5D"/>
    <w:rsid w:val="005B3C4B"/>
    <w:rsid w:val="005B3D18"/>
    <w:rsid w:val="005B3DB8"/>
    <w:rsid w:val="005B4054"/>
    <w:rsid w:val="005B4247"/>
    <w:rsid w:val="005B4394"/>
    <w:rsid w:val="005B458E"/>
    <w:rsid w:val="005B45B0"/>
    <w:rsid w:val="005B4A3C"/>
    <w:rsid w:val="005B4FCD"/>
    <w:rsid w:val="005B50C9"/>
    <w:rsid w:val="005B5196"/>
    <w:rsid w:val="005B526D"/>
    <w:rsid w:val="005B53D8"/>
    <w:rsid w:val="005B5653"/>
    <w:rsid w:val="005B5661"/>
    <w:rsid w:val="005B56BD"/>
    <w:rsid w:val="005B5701"/>
    <w:rsid w:val="005B59E0"/>
    <w:rsid w:val="005B5DAD"/>
    <w:rsid w:val="005B6058"/>
    <w:rsid w:val="005B6151"/>
    <w:rsid w:val="005B61A8"/>
    <w:rsid w:val="005B61F4"/>
    <w:rsid w:val="005B64AC"/>
    <w:rsid w:val="005B655B"/>
    <w:rsid w:val="005B697B"/>
    <w:rsid w:val="005B699D"/>
    <w:rsid w:val="005B6A55"/>
    <w:rsid w:val="005B6B60"/>
    <w:rsid w:val="005B6CBE"/>
    <w:rsid w:val="005B6D36"/>
    <w:rsid w:val="005B6E0A"/>
    <w:rsid w:val="005B6F96"/>
    <w:rsid w:val="005B6FF7"/>
    <w:rsid w:val="005B7328"/>
    <w:rsid w:val="005B76B9"/>
    <w:rsid w:val="005B780A"/>
    <w:rsid w:val="005B7967"/>
    <w:rsid w:val="005B7B80"/>
    <w:rsid w:val="005B7B99"/>
    <w:rsid w:val="005C02E9"/>
    <w:rsid w:val="005C088E"/>
    <w:rsid w:val="005C08A0"/>
    <w:rsid w:val="005C0AA3"/>
    <w:rsid w:val="005C0B97"/>
    <w:rsid w:val="005C0C52"/>
    <w:rsid w:val="005C0CF4"/>
    <w:rsid w:val="005C0D73"/>
    <w:rsid w:val="005C0F25"/>
    <w:rsid w:val="005C0F37"/>
    <w:rsid w:val="005C0F8B"/>
    <w:rsid w:val="005C1030"/>
    <w:rsid w:val="005C111B"/>
    <w:rsid w:val="005C194F"/>
    <w:rsid w:val="005C1F77"/>
    <w:rsid w:val="005C2090"/>
    <w:rsid w:val="005C2229"/>
    <w:rsid w:val="005C22D8"/>
    <w:rsid w:val="005C253B"/>
    <w:rsid w:val="005C27D5"/>
    <w:rsid w:val="005C2817"/>
    <w:rsid w:val="005C2C7B"/>
    <w:rsid w:val="005C2DAB"/>
    <w:rsid w:val="005C3751"/>
    <w:rsid w:val="005C38D3"/>
    <w:rsid w:val="005C3916"/>
    <w:rsid w:val="005C3BBE"/>
    <w:rsid w:val="005C4068"/>
    <w:rsid w:val="005C42FE"/>
    <w:rsid w:val="005C46DF"/>
    <w:rsid w:val="005C484E"/>
    <w:rsid w:val="005C4AA8"/>
    <w:rsid w:val="005C4AFB"/>
    <w:rsid w:val="005C4B33"/>
    <w:rsid w:val="005C4D24"/>
    <w:rsid w:val="005C5078"/>
    <w:rsid w:val="005C51E7"/>
    <w:rsid w:val="005C5434"/>
    <w:rsid w:val="005C5455"/>
    <w:rsid w:val="005C5AD6"/>
    <w:rsid w:val="005C5CB0"/>
    <w:rsid w:val="005C60A7"/>
    <w:rsid w:val="005C6157"/>
    <w:rsid w:val="005C6186"/>
    <w:rsid w:val="005C6200"/>
    <w:rsid w:val="005C6582"/>
    <w:rsid w:val="005C7528"/>
    <w:rsid w:val="005C76E6"/>
    <w:rsid w:val="005C77C9"/>
    <w:rsid w:val="005C782D"/>
    <w:rsid w:val="005C78ED"/>
    <w:rsid w:val="005C79FA"/>
    <w:rsid w:val="005C7C59"/>
    <w:rsid w:val="005C7FBE"/>
    <w:rsid w:val="005D0285"/>
    <w:rsid w:val="005D05E9"/>
    <w:rsid w:val="005D08AD"/>
    <w:rsid w:val="005D0A69"/>
    <w:rsid w:val="005D0AC5"/>
    <w:rsid w:val="005D0B7F"/>
    <w:rsid w:val="005D0C27"/>
    <w:rsid w:val="005D0DBA"/>
    <w:rsid w:val="005D1225"/>
    <w:rsid w:val="005D1239"/>
    <w:rsid w:val="005D1335"/>
    <w:rsid w:val="005D1514"/>
    <w:rsid w:val="005D1740"/>
    <w:rsid w:val="005D1760"/>
    <w:rsid w:val="005D19A1"/>
    <w:rsid w:val="005D2285"/>
    <w:rsid w:val="005D2A1C"/>
    <w:rsid w:val="005D2BEA"/>
    <w:rsid w:val="005D2CCA"/>
    <w:rsid w:val="005D2D44"/>
    <w:rsid w:val="005D2D59"/>
    <w:rsid w:val="005D2F78"/>
    <w:rsid w:val="005D324E"/>
    <w:rsid w:val="005D3493"/>
    <w:rsid w:val="005D34E2"/>
    <w:rsid w:val="005D36D8"/>
    <w:rsid w:val="005D3967"/>
    <w:rsid w:val="005D3A27"/>
    <w:rsid w:val="005D3A30"/>
    <w:rsid w:val="005D3A8A"/>
    <w:rsid w:val="005D3CD4"/>
    <w:rsid w:val="005D3CF9"/>
    <w:rsid w:val="005D3EB5"/>
    <w:rsid w:val="005D46A4"/>
    <w:rsid w:val="005D46FD"/>
    <w:rsid w:val="005D48A8"/>
    <w:rsid w:val="005D4B32"/>
    <w:rsid w:val="005D4BC3"/>
    <w:rsid w:val="005D4C85"/>
    <w:rsid w:val="005D4EC8"/>
    <w:rsid w:val="005D4F41"/>
    <w:rsid w:val="005D5015"/>
    <w:rsid w:val="005D50A1"/>
    <w:rsid w:val="005D50F3"/>
    <w:rsid w:val="005D5300"/>
    <w:rsid w:val="005D530E"/>
    <w:rsid w:val="005D5331"/>
    <w:rsid w:val="005D565C"/>
    <w:rsid w:val="005D58A3"/>
    <w:rsid w:val="005D58D2"/>
    <w:rsid w:val="005D59EA"/>
    <w:rsid w:val="005D5C81"/>
    <w:rsid w:val="005D5FFE"/>
    <w:rsid w:val="005D65DB"/>
    <w:rsid w:val="005D6853"/>
    <w:rsid w:val="005D6DA4"/>
    <w:rsid w:val="005D6EA7"/>
    <w:rsid w:val="005D6ED5"/>
    <w:rsid w:val="005D6FFA"/>
    <w:rsid w:val="005D7375"/>
    <w:rsid w:val="005D749F"/>
    <w:rsid w:val="005D7542"/>
    <w:rsid w:val="005D769D"/>
    <w:rsid w:val="005D76AA"/>
    <w:rsid w:val="005D7B19"/>
    <w:rsid w:val="005D7DBF"/>
    <w:rsid w:val="005D7E8B"/>
    <w:rsid w:val="005D7EEE"/>
    <w:rsid w:val="005D7F65"/>
    <w:rsid w:val="005D7FE9"/>
    <w:rsid w:val="005D7FEE"/>
    <w:rsid w:val="005E0324"/>
    <w:rsid w:val="005E03B2"/>
    <w:rsid w:val="005E0400"/>
    <w:rsid w:val="005E04CC"/>
    <w:rsid w:val="005E0664"/>
    <w:rsid w:val="005E081B"/>
    <w:rsid w:val="005E0F23"/>
    <w:rsid w:val="005E11E0"/>
    <w:rsid w:val="005E1362"/>
    <w:rsid w:val="005E1398"/>
    <w:rsid w:val="005E1403"/>
    <w:rsid w:val="005E1452"/>
    <w:rsid w:val="005E14C6"/>
    <w:rsid w:val="005E15F9"/>
    <w:rsid w:val="005E16A0"/>
    <w:rsid w:val="005E1792"/>
    <w:rsid w:val="005E189B"/>
    <w:rsid w:val="005E193A"/>
    <w:rsid w:val="005E1BD5"/>
    <w:rsid w:val="005E1C3A"/>
    <w:rsid w:val="005E1C83"/>
    <w:rsid w:val="005E229F"/>
    <w:rsid w:val="005E2358"/>
    <w:rsid w:val="005E29F9"/>
    <w:rsid w:val="005E2A33"/>
    <w:rsid w:val="005E2AEE"/>
    <w:rsid w:val="005E2EE8"/>
    <w:rsid w:val="005E31D9"/>
    <w:rsid w:val="005E32CB"/>
    <w:rsid w:val="005E3389"/>
    <w:rsid w:val="005E3A49"/>
    <w:rsid w:val="005E3D34"/>
    <w:rsid w:val="005E3DF0"/>
    <w:rsid w:val="005E4296"/>
    <w:rsid w:val="005E42B4"/>
    <w:rsid w:val="005E442E"/>
    <w:rsid w:val="005E48E8"/>
    <w:rsid w:val="005E4998"/>
    <w:rsid w:val="005E4A10"/>
    <w:rsid w:val="005E4BA2"/>
    <w:rsid w:val="005E4BBB"/>
    <w:rsid w:val="005E4C4E"/>
    <w:rsid w:val="005E4CAB"/>
    <w:rsid w:val="005E4CF2"/>
    <w:rsid w:val="005E4F95"/>
    <w:rsid w:val="005E4FF3"/>
    <w:rsid w:val="005E5176"/>
    <w:rsid w:val="005E5300"/>
    <w:rsid w:val="005E56B8"/>
    <w:rsid w:val="005E59C6"/>
    <w:rsid w:val="005E5B04"/>
    <w:rsid w:val="005E5B87"/>
    <w:rsid w:val="005E5E5A"/>
    <w:rsid w:val="005E6389"/>
    <w:rsid w:val="005E63E0"/>
    <w:rsid w:val="005E6B0E"/>
    <w:rsid w:val="005E6D32"/>
    <w:rsid w:val="005E6FBF"/>
    <w:rsid w:val="005E711B"/>
    <w:rsid w:val="005E7462"/>
    <w:rsid w:val="005E751F"/>
    <w:rsid w:val="005E7690"/>
    <w:rsid w:val="005E7741"/>
    <w:rsid w:val="005E795C"/>
    <w:rsid w:val="005E79A5"/>
    <w:rsid w:val="005E79C9"/>
    <w:rsid w:val="005E79D1"/>
    <w:rsid w:val="005E7A14"/>
    <w:rsid w:val="005E7D24"/>
    <w:rsid w:val="005F00A0"/>
    <w:rsid w:val="005F022B"/>
    <w:rsid w:val="005F0678"/>
    <w:rsid w:val="005F0735"/>
    <w:rsid w:val="005F0C3B"/>
    <w:rsid w:val="005F0E0C"/>
    <w:rsid w:val="005F0EC6"/>
    <w:rsid w:val="005F0FE8"/>
    <w:rsid w:val="005F10F7"/>
    <w:rsid w:val="005F12EB"/>
    <w:rsid w:val="005F1492"/>
    <w:rsid w:val="005F14E9"/>
    <w:rsid w:val="005F1590"/>
    <w:rsid w:val="005F1626"/>
    <w:rsid w:val="005F1D52"/>
    <w:rsid w:val="005F2013"/>
    <w:rsid w:val="005F2315"/>
    <w:rsid w:val="005F2421"/>
    <w:rsid w:val="005F2436"/>
    <w:rsid w:val="005F2470"/>
    <w:rsid w:val="005F2716"/>
    <w:rsid w:val="005F276D"/>
    <w:rsid w:val="005F27A1"/>
    <w:rsid w:val="005F2A08"/>
    <w:rsid w:val="005F2BA8"/>
    <w:rsid w:val="005F2CC1"/>
    <w:rsid w:val="005F3324"/>
    <w:rsid w:val="005F3633"/>
    <w:rsid w:val="005F364E"/>
    <w:rsid w:val="005F3A4C"/>
    <w:rsid w:val="005F3BEA"/>
    <w:rsid w:val="005F3CE2"/>
    <w:rsid w:val="005F3D7E"/>
    <w:rsid w:val="005F3DC0"/>
    <w:rsid w:val="005F3DEF"/>
    <w:rsid w:val="005F439F"/>
    <w:rsid w:val="005F44C4"/>
    <w:rsid w:val="005F476A"/>
    <w:rsid w:val="005F482D"/>
    <w:rsid w:val="005F4D29"/>
    <w:rsid w:val="005F4D6E"/>
    <w:rsid w:val="005F4EAF"/>
    <w:rsid w:val="005F4FE4"/>
    <w:rsid w:val="005F5360"/>
    <w:rsid w:val="005F5421"/>
    <w:rsid w:val="005F54C4"/>
    <w:rsid w:val="005F5846"/>
    <w:rsid w:val="005F5AAD"/>
    <w:rsid w:val="005F5B16"/>
    <w:rsid w:val="005F62E3"/>
    <w:rsid w:val="005F62E8"/>
    <w:rsid w:val="005F648B"/>
    <w:rsid w:val="005F668D"/>
    <w:rsid w:val="005F6AE6"/>
    <w:rsid w:val="005F6E46"/>
    <w:rsid w:val="005F72AC"/>
    <w:rsid w:val="005F731B"/>
    <w:rsid w:val="005F73DC"/>
    <w:rsid w:val="005F7516"/>
    <w:rsid w:val="005F7747"/>
    <w:rsid w:val="005F7833"/>
    <w:rsid w:val="005F7B01"/>
    <w:rsid w:val="005F7CD0"/>
    <w:rsid w:val="005F7CE4"/>
    <w:rsid w:val="005F7EEE"/>
    <w:rsid w:val="00600459"/>
    <w:rsid w:val="00600C49"/>
    <w:rsid w:val="00601032"/>
    <w:rsid w:val="006010AC"/>
    <w:rsid w:val="00601143"/>
    <w:rsid w:val="0060119B"/>
    <w:rsid w:val="0060123A"/>
    <w:rsid w:val="0060154E"/>
    <w:rsid w:val="00601619"/>
    <w:rsid w:val="00601660"/>
    <w:rsid w:val="00601E74"/>
    <w:rsid w:val="00601FBB"/>
    <w:rsid w:val="0060237E"/>
    <w:rsid w:val="006028EA"/>
    <w:rsid w:val="00602CA1"/>
    <w:rsid w:val="00602DE6"/>
    <w:rsid w:val="006030BA"/>
    <w:rsid w:val="00603845"/>
    <w:rsid w:val="0060393E"/>
    <w:rsid w:val="00603B57"/>
    <w:rsid w:val="006042A8"/>
    <w:rsid w:val="006042DD"/>
    <w:rsid w:val="006045D4"/>
    <w:rsid w:val="006047E2"/>
    <w:rsid w:val="00604B2C"/>
    <w:rsid w:val="00604EB3"/>
    <w:rsid w:val="0060509B"/>
    <w:rsid w:val="006057F4"/>
    <w:rsid w:val="0060581E"/>
    <w:rsid w:val="00605D03"/>
    <w:rsid w:val="00605D0A"/>
    <w:rsid w:val="00605D58"/>
    <w:rsid w:val="006060F5"/>
    <w:rsid w:val="00606468"/>
    <w:rsid w:val="0060648B"/>
    <w:rsid w:val="00606616"/>
    <w:rsid w:val="00606626"/>
    <w:rsid w:val="0060682C"/>
    <w:rsid w:val="00606ACB"/>
    <w:rsid w:val="00607110"/>
    <w:rsid w:val="00607247"/>
    <w:rsid w:val="00607296"/>
    <w:rsid w:val="00607395"/>
    <w:rsid w:val="006073D0"/>
    <w:rsid w:val="006076E6"/>
    <w:rsid w:val="0060788D"/>
    <w:rsid w:val="00607B36"/>
    <w:rsid w:val="00607B5B"/>
    <w:rsid w:val="00607DC4"/>
    <w:rsid w:val="00607F6A"/>
    <w:rsid w:val="00610065"/>
    <w:rsid w:val="006102E0"/>
    <w:rsid w:val="00610317"/>
    <w:rsid w:val="0061067E"/>
    <w:rsid w:val="00610850"/>
    <w:rsid w:val="00610A68"/>
    <w:rsid w:val="00610C42"/>
    <w:rsid w:val="00610E4C"/>
    <w:rsid w:val="00610F21"/>
    <w:rsid w:val="00610F40"/>
    <w:rsid w:val="0061130B"/>
    <w:rsid w:val="00611650"/>
    <w:rsid w:val="006117DA"/>
    <w:rsid w:val="00611996"/>
    <w:rsid w:val="00611A04"/>
    <w:rsid w:val="00611A22"/>
    <w:rsid w:val="00611C01"/>
    <w:rsid w:val="00611DCA"/>
    <w:rsid w:val="00611E16"/>
    <w:rsid w:val="00612359"/>
    <w:rsid w:val="006124A9"/>
    <w:rsid w:val="006125DB"/>
    <w:rsid w:val="006126E5"/>
    <w:rsid w:val="00612706"/>
    <w:rsid w:val="00612A0C"/>
    <w:rsid w:val="00612A0F"/>
    <w:rsid w:val="00612A7B"/>
    <w:rsid w:val="00612B9C"/>
    <w:rsid w:val="00612CEE"/>
    <w:rsid w:val="006131B7"/>
    <w:rsid w:val="00613305"/>
    <w:rsid w:val="00613885"/>
    <w:rsid w:val="006138E0"/>
    <w:rsid w:val="00613933"/>
    <w:rsid w:val="00613AFC"/>
    <w:rsid w:val="00613B21"/>
    <w:rsid w:val="00613E11"/>
    <w:rsid w:val="00614184"/>
    <w:rsid w:val="0061429F"/>
    <w:rsid w:val="006142DE"/>
    <w:rsid w:val="0061445B"/>
    <w:rsid w:val="00614579"/>
    <w:rsid w:val="006145BD"/>
    <w:rsid w:val="00614757"/>
    <w:rsid w:val="00614B7A"/>
    <w:rsid w:val="00614E04"/>
    <w:rsid w:val="00614EFB"/>
    <w:rsid w:val="00615005"/>
    <w:rsid w:val="006150DA"/>
    <w:rsid w:val="006151C2"/>
    <w:rsid w:val="00615205"/>
    <w:rsid w:val="0061523F"/>
    <w:rsid w:val="00615483"/>
    <w:rsid w:val="0061564A"/>
    <w:rsid w:val="006156E1"/>
    <w:rsid w:val="00615EA7"/>
    <w:rsid w:val="00615FA0"/>
    <w:rsid w:val="0061625B"/>
    <w:rsid w:val="00616292"/>
    <w:rsid w:val="00616580"/>
    <w:rsid w:val="00616877"/>
    <w:rsid w:val="0061690E"/>
    <w:rsid w:val="00616C26"/>
    <w:rsid w:val="006173C0"/>
    <w:rsid w:val="0061754D"/>
    <w:rsid w:val="006176BD"/>
    <w:rsid w:val="006177AC"/>
    <w:rsid w:val="00617988"/>
    <w:rsid w:val="00617DA1"/>
    <w:rsid w:val="00617E7E"/>
    <w:rsid w:val="00617F75"/>
    <w:rsid w:val="0062077D"/>
    <w:rsid w:val="00620A07"/>
    <w:rsid w:val="00620B73"/>
    <w:rsid w:val="00620BD0"/>
    <w:rsid w:val="00620D17"/>
    <w:rsid w:val="00620D97"/>
    <w:rsid w:val="00620F08"/>
    <w:rsid w:val="00621036"/>
    <w:rsid w:val="00621088"/>
    <w:rsid w:val="00621505"/>
    <w:rsid w:val="00621536"/>
    <w:rsid w:val="00621A73"/>
    <w:rsid w:val="00621A9D"/>
    <w:rsid w:val="00621AAA"/>
    <w:rsid w:val="00621CB5"/>
    <w:rsid w:val="00621DF2"/>
    <w:rsid w:val="00621FB7"/>
    <w:rsid w:val="00622101"/>
    <w:rsid w:val="006224FB"/>
    <w:rsid w:val="0062258C"/>
    <w:rsid w:val="00622BCE"/>
    <w:rsid w:val="00622C3E"/>
    <w:rsid w:val="00622C3F"/>
    <w:rsid w:val="00622E6C"/>
    <w:rsid w:val="00622FC8"/>
    <w:rsid w:val="00623145"/>
    <w:rsid w:val="006231F3"/>
    <w:rsid w:val="006233C4"/>
    <w:rsid w:val="006237B8"/>
    <w:rsid w:val="006239BD"/>
    <w:rsid w:val="0062416C"/>
    <w:rsid w:val="006247DB"/>
    <w:rsid w:val="00624AEE"/>
    <w:rsid w:val="00624C39"/>
    <w:rsid w:val="00624C6D"/>
    <w:rsid w:val="00624E45"/>
    <w:rsid w:val="00625464"/>
    <w:rsid w:val="00625508"/>
    <w:rsid w:val="006258E4"/>
    <w:rsid w:val="00625928"/>
    <w:rsid w:val="0062598E"/>
    <w:rsid w:val="006259B0"/>
    <w:rsid w:val="00625BB9"/>
    <w:rsid w:val="00625DA9"/>
    <w:rsid w:val="00625E61"/>
    <w:rsid w:val="00625F64"/>
    <w:rsid w:val="00626048"/>
    <w:rsid w:val="00626266"/>
    <w:rsid w:val="006262E7"/>
    <w:rsid w:val="0062665D"/>
    <w:rsid w:val="00626855"/>
    <w:rsid w:val="006268E6"/>
    <w:rsid w:val="006268E7"/>
    <w:rsid w:val="00626967"/>
    <w:rsid w:val="00626AFE"/>
    <w:rsid w:val="00626D89"/>
    <w:rsid w:val="00626F1C"/>
    <w:rsid w:val="00626F93"/>
    <w:rsid w:val="00627165"/>
    <w:rsid w:val="00627249"/>
    <w:rsid w:val="00627586"/>
    <w:rsid w:val="0062771A"/>
    <w:rsid w:val="0062773B"/>
    <w:rsid w:val="00627875"/>
    <w:rsid w:val="00627BC1"/>
    <w:rsid w:val="00627CF9"/>
    <w:rsid w:val="00627E61"/>
    <w:rsid w:val="0063015F"/>
    <w:rsid w:val="00630288"/>
    <w:rsid w:val="0063029D"/>
    <w:rsid w:val="006302BE"/>
    <w:rsid w:val="006305C6"/>
    <w:rsid w:val="00630773"/>
    <w:rsid w:val="00630B1E"/>
    <w:rsid w:val="00630E4C"/>
    <w:rsid w:val="006310C4"/>
    <w:rsid w:val="006311F2"/>
    <w:rsid w:val="006313DC"/>
    <w:rsid w:val="0063140D"/>
    <w:rsid w:val="0063149F"/>
    <w:rsid w:val="00631658"/>
    <w:rsid w:val="00631975"/>
    <w:rsid w:val="00631977"/>
    <w:rsid w:val="006319B0"/>
    <w:rsid w:val="00631AF7"/>
    <w:rsid w:val="00631BEC"/>
    <w:rsid w:val="00631C0F"/>
    <w:rsid w:val="00631F05"/>
    <w:rsid w:val="006322C6"/>
    <w:rsid w:val="006322EB"/>
    <w:rsid w:val="006328FD"/>
    <w:rsid w:val="00632BBD"/>
    <w:rsid w:val="00632D7E"/>
    <w:rsid w:val="00632DE7"/>
    <w:rsid w:val="00632F6C"/>
    <w:rsid w:val="00632F8A"/>
    <w:rsid w:val="0063321B"/>
    <w:rsid w:val="00633308"/>
    <w:rsid w:val="00633452"/>
    <w:rsid w:val="00633510"/>
    <w:rsid w:val="006337DC"/>
    <w:rsid w:val="0063383D"/>
    <w:rsid w:val="0063388B"/>
    <w:rsid w:val="00633A6A"/>
    <w:rsid w:val="00633DC0"/>
    <w:rsid w:val="00633E9C"/>
    <w:rsid w:val="006341F9"/>
    <w:rsid w:val="0063421F"/>
    <w:rsid w:val="0063437F"/>
    <w:rsid w:val="0063449A"/>
    <w:rsid w:val="006346D3"/>
    <w:rsid w:val="00635072"/>
    <w:rsid w:val="00635117"/>
    <w:rsid w:val="00635334"/>
    <w:rsid w:val="00635419"/>
    <w:rsid w:val="00635B6F"/>
    <w:rsid w:val="00635C3C"/>
    <w:rsid w:val="00635F59"/>
    <w:rsid w:val="00635FA6"/>
    <w:rsid w:val="00635FAE"/>
    <w:rsid w:val="00636113"/>
    <w:rsid w:val="00636255"/>
    <w:rsid w:val="00636505"/>
    <w:rsid w:val="0063687D"/>
    <w:rsid w:val="006368B2"/>
    <w:rsid w:val="00636CED"/>
    <w:rsid w:val="00636ECB"/>
    <w:rsid w:val="00636FE6"/>
    <w:rsid w:val="00637089"/>
    <w:rsid w:val="00637343"/>
    <w:rsid w:val="00637378"/>
    <w:rsid w:val="006377C3"/>
    <w:rsid w:val="00637924"/>
    <w:rsid w:val="00637CF2"/>
    <w:rsid w:val="0064024F"/>
    <w:rsid w:val="00640260"/>
    <w:rsid w:val="00640315"/>
    <w:rsid w:val="00641273"/>
    <w:rsid w:val="006413D1"/>
    <w:rsid w:val="0064166C"/>
    <w:rsid w:val="006417DA"/>
    <w:rsid w:val="00641A1E"/>
    <w:rsid w:val="00642105"/>
    <w:rsid w:val="0064241F"/>
    <w:rsid w:val="00642583"/>
    <w:rsid w:val="006428AD"/>
    <w:rsid w:val="006428D1"/>
    <w:rsid w:val="00642B25"/>
    <w:rsid w:val="00642B55"/>
    <w:rsid w:val="00642BDB"/>
    <w:rsid w:val="00642F70"/>
    <w:rsid w:val="00643166"/>
    <w:rsid w:val="00643480"/>
    <w:rsid w:val="00643497"/>
    <w:rsid w:val="0064388A"/>
    <w:rsid w:val="00643B06"/>
    <w:rsid w:val="00643C29"/>
    <w:rsid w:val="00643D1B"/>
    <w:rsid w:val="00643E0E"/>
    <w:rsid w:val="00643F02"/>
    <w:rsid w:val="006441D7"/>
    <w:rsid w:val="006442F4"/>
    <w:rsid w:val="00644492"/>
    <w:rsid w:val="00644765"/>
    <w:rsid w:val="00644769"/>
    <w:rsid w:val="00644B37"/>
    <w:rsid w:val="00644C3A"/>
    <w:rsid w:val="00644E77"/>
    <w:rsid w:val="00645169"/>
    <w:rsid w:val="006454D0"/>
    <w:rsid w:val="0064557E"/>
    <w:rsid w:val="006456A1"/>
    <w:rsid w:val="006457AF"/>
    <w:rsid w:val="0064588E"/>
    <w:rsid w:val="00645FF4"/>
    <w:rsid w:val="006461BD"/>
    <w:rsid w:val="006463C7"/>
    <w:rsid w:val="006463ED"/>
    <w:rsid w:val="00646493"/>
    <w:rsid w:val="00646B8F"/>
    <w:rsid w:val="00646E40"/>
    <w:rsid w:val="00647810"/>
    <w:rsid w:val="00647A06"/>
    <w:rsid w:val="00647A4B"/>
    <w:rsid w:val="00647E2B"/>
    <w:rsid w:val="00647F9A"/>
    <w:rsid w:val="00647FD6"/>
    <w:rsid w:val="006500B1"/>
    <w:rsid w:val="00650722"/>
    <w:rsid w:val="00650851"/>
    <w:rsid w:val="00651533"/>
    <w:rsid w:val="006515B7"/>
    <w:rsid w:val="006515E2"/>
    <w:rsid w:val="0065163C"/>
    <w:rsid w:val="00651857"/>
    <w:rsid w:val="00651951"/>
    <w:rsid w:val="00651971"/>
    <w:rsid w:val="00651B36"/>
    <w:rsid w:val="00651BFA"/>
    <w:rsid w:val="00651C7B"/>
    <w:rsid w:val="00651F09"/>
    <w:rsid w:val="00652012"/>
    <w:rsid w:val="006521E4"/>
    <w:rsid w:val="00652377"/>
    <w:rsid w:val="006523FF"/>
    <w:rsid w:val="00652693"/>
    <w:rsid w:val="0065274C"/>
    <w:rsid w:val="00652C22"/>
    <w:rsid w:val="006533BE"/>
    <w:rsid w:val="00653709"/>
    <w:rsid w:val="00653929"/>
    <w:rsid w:val="00653A1A"/>
    <w:rsid w:val="00653A96"/>
    <w:rsid w:val="00653CEE"/>
    <w:rsid w:val="00653D3C"/>
    <w:rsid w:val="00653F3F"/>
    <w:rsid w:val="00654347"/>
    <w:rsid w:val="0065435A"/>
    <w:rsid w:val="006545C6"/>
    <w:rsid w:val="00654AB1"/>
    <w:rsid w:val="00654DDF"/>
    <w:rsid w:val="00654F81"/>
    <w:rsid w:val="00655033"/>
    <w:rsid w:val="006550CE"/>
    <w:rsid w:val="006550DE"/>
    <w:rsid w:val="00655222"/>
    <w:rsid w:val="0065556C"/>
    <w:rsid w:val="00655989"/>
    <w:rsid w:val="00655B06"/>
    <w:rsid w:val="00655B4A"/>
    <w:rsid w:val="00655C06"/>
    <w:rsid w:val="00655C52"/>
    <w:rsid w:val="00655CC9"/>
    <w:rsid w:val="00655CE5"/>
    <w:rsid w:val="00655EBE"/>
    <w:rsid w:val="00655F97"/>
    <w:rsid w:val="0065620E"/>
    <w:rsid w:val="0065621D"/>
    <w:rsid w:val="0065621F"/>
    <w:rsid w:val="0065625F"/>
    <w:rsid w:val="006563E9"/>
    <w:rsid w:val="00656B2A"/>
    <w:rsid w:val="00656BA9"/>
    <w:rsid w:val="00656D22"/>
    <w:rsid w:val="00656E0F"/>
    <w:rsid w:val="00656F9E"/>
    <w:rsid w:val="006571FB"/>
    <w:rsid w:val="006573C0"/>
    <w:rsid w:val="006573D4"/>
    <w:rsid w:val="006576F8"/>
    <w:rsid w:val="00657889"/>
    <w:rsid w:val="00657B8E"/>
    <w:rsid w:val="00657DB9"/>
    <w:rsid w:val="00657E16"/>
    <w:rsid w:val="00657E5F"/>
    <w:rsid w:val="00660067"/>
    <w:rsid w:val="006601BE"/>
    <w:rsid w:val="00660249"/>
    <w:rsid w:val="00660285"/>
    <w:rsid w:val="0066074B"/>
    <w:rsid w:val="006607FE"/>
    <w:rsid w:val="00660A0F"/>
    <w:rsid w:val="00660BBD"/>
    <w:rsid w:val="00660F43"/>
    <w:rsid w:val="006611EB"/>
    <w:rsid w:val="00661532"/>
    <w:rsid w:val="00661628"/>
    <w:rsid w:val="006616C3"/>
    <w:rsid w:val="00661980"/>
    <w:rsid w:val="00661999"/>
    <w:rsid w:val="0066208B"/>
    <w:rsid w:val="006621FC"/>
    <w:rsid w:val="0066235A"/>
    <w:rsid w:val="0066262F"/>
    <w:rsid w:val="00662C24"/>
    <w:rsid w:val="00662F99"/>
    <w:rsid w:val="006631E3"/>
    <w:rsid w:val="006634E4"/>
    <w:rsid w:val="0066380A"/>
    <w:rsid w:val="00663C5D"/>
    <w:rsid w:val="00663CD3"/>
    <w:rsid w:val="00663E75"/>
    <w:rsid w:val="00663FD3"/>
    <w:rsid w:val="0066437F"/>
    <w:rsid w:val="00664522"/>
    <w:rsid w:val="0066461E"/>
    <w:rsid w:val="006646C9"/>
    <w:rsid w:val="0066496D"/>
    <w:rsid w:val="00664FBB"/>
    <w:rsid w:val="006653CD"/>
    <w:rsid w:val="00665565"/>
    <w:rsid w:val="00665636"/>
    <w:rsid w:val="00665639"/>
    <w:rsid w:val="00665811"/>
    <w:rsid w:val="00665876"/>
    <w:rsid w:val="006658A8"/>
    <w:rsid w:val="00665AD5"/>
    <w:rsid w:val="00665C51"/>
    <w:rsid w:val="00666447"/>
    <w:rsid w:val="00666491"/>
    <w:rsid w:val="0066659C"/>
    <w:rsid w:val="0066679F"/>
    <w:rsid w:val="00666962"/>
    <w:rsid w:val="00666CA4"/>
    <w:rsid w:val="00666CAF"/>
    <w:rsid w:val="00666E1F"/>
    <w:rsid w:val="00667165"/>
    <w:rsid w:val="006674CE"/>
    <w:rsid w:val="00667633"/>
    <w:rsid w:val="00667925"/>
    <w:rsid w:val="00667971"/>
    <w:rsid w:val="00667A09"/>
    <w:rsid w:val="00667B23"/>
    <w:rsid w:val="00670085"/>
    <w:rsid w:val="00671055"/>
    <w:rsid w:val="0067158A"/>
    <w:rsid w:val="00671831"/>
    <w:rsid w:val="006718E9"/>
    <w:rsid w:val="00672104"/>
    <w:rsid w:val="0067242D"/>
    <w:rsid w:val="00672455"/>
    <w:rsid w:val="00672474"/>
    <w:rsid w:val="00672539"/>
    <w:rsid w:val="006729F8"/>
    <w:rsid w:val="00672C64"/>
    <w:rsid w:val="00672CD7"/>
    <w:rsid w:val="00672EC2"/>
    <w:rsid w:val="00672F7C"/>
    <w:rsid w:val="00672FD1"/>
    <w:rsid w:val="0067307A"/>
    <w:rsid w:val="00673095"/>
    <w:rsid w:val="0067314E"/>
    <w:rsid w:val="006731C7"/>
    <w:rsid w:val="006734B7"/>
    <w:rsid w:val="00673611"/>
    <w:rsid w:val="00673832"/>
    <w:rsid w:val="00673A9D"/>
    <w:rsid w:val="00673FFD"/>
    <w:rsid w:val="00674005"/>
    <w:rsid w:val="00674284"/>
    <w:rsid w:val="00674A5A"/>
    <w:rsid w:val="00674A7B"/>
    <w:rsid w:val="00674CCF"/>
    <w:rsid w:val="00674CFB"/>
    <w:rsid w:val="00674F2C"/>
    <w:rsid w:val="00674F83"/>
    <w:rsid w:val="006750C5"/>
    <w:rsid w:val="006750F2"/>
    <w:rsid w:val="00675353"/>
    <w:rsid w:val="006757EC"/>
    <w:rsid w:val="00675860"/>
    <w:rsid w:val="006758E0"/>
    <w:rsid w:val="00675C7B"/>
    <w:rsid w:val="00675C8D"/>
    <w:rsid w:val="00675D95"/>
    <w:rsid w:val="006764B6"/>
    <w:rsid w:val="00676A0D"/>
    <w:rsid w:val="00676A4C"/>
    <w:rsid w:val="00676AA6"/>
    <w:rsid w:val="00676B9E"/>
    <w:rsid w:val="00676BC4"/>
    <w:rsid w:val="00676D6F"/>
    <w:rsid w:val="00676E96"/>
    <w:rsid w:val="006771F2"/>
    <w:rsid w:val="006771F5"/>
    <w:rsid w:val="006776B0"/>
    <w:rsid w:val="00677739"/>
    <w:rsid w:val="006777F4"/>
    <w:rsid w:val="00677BF3"/>
    <w:rsid w:val="00677C6A"/>
    <w:rsid w:val="00677CF7"/>
    <w:rsid w:val="00680058"/>
    <w:rsid w:val="00680315"/>
    <w:rsid w:val="00680760"/>
    <w:rsid w:val="006808CE"/>
    <w:rsid w:val="00680D5C"/>
    <w:rsid w:val="00680E2F"/>
    <w:rsid w:val="00680FB6"/>
    <w:rsid w:val="0068133F"/>
    <w:rsid w:val="006813F5"/>
    <w:rsid w:val="0068172C"/>
    <w:rsid w:val="00681814"/>
    <w:rsid w:val="00681B1E"/>
    <w:rsid w:val="00682034"/>
    <w:rsid w:val="0068205C"/>
    <w:rsid w:val="00682073"/>
    <w:rsid w:val="006820E8"/>
    <w:rsid w:val="006822C9"/>
    <w:rsid w:val="006825DB"/>
    <w:rsid w:val="0068284E"/>
    <w:rsid w:val="006828C3"/>
    <w:rsid w:val="0068296A"/>
    <w:rsid w:val="00682D00"/>
    <w:rsid w:val="00683049"/>
    <w:rsid w:val="0068315E"/>
    <w:rsid w:val="0068490B"/>
    <w:rsid w:val="00684C55"/>
    <w:rsid w:val="00684D33"/>
    <w:rsid w:val="00684DA4"/>
    <w:rsid w:val="00684E88"/>
    <w:rsid w:val="00685159"/>
    <w:rsid w:val="006856E8"/>
    <w:rsid w:val="006859CF"/>
    <w:rsid w:val="00685D2E"/>
    <w:rsid w:val="00686018"/>
    <w:rsid w:val="006865B8"/>
    <w:rsid w:val="00686614"/>
    <w:rsid w:val="00686746"/>
    <w:rsid w:val="00686780"/>
    <w:rsid w:val="00686AFC"/>
    <w:rsid w:val="00686CA9"/>
    <w:rsid w:val="00686CBF"/>
    <w:rsid w:val="00686E25"/>
    <w:rsid w:val="00686E98"/>
    <w:rsid w:val="006871C8"/>
    <w:rsid w:val="006873C0"/>
    <w:rsid w:val="006873D7"/>
    <w:rsid w:val="006874C1"/>
    <w:rsid w:val="0068760D"/>
    <w:rsid w:val="006876D8"/>
    <w:rsid w:val="00687D3A"/>
    <w:rsid w:val="00687D8A"/>
    <w:rsid w:val="00687DFA"/>
    <w:rsid w:val="00687E90"/>
    <w:rsid w:val="00687E9D"/>
    <w:rsid w:val="00687F2E"/>
    <w:rsid w:val="00687F8A"/>
    <w:rsid w:val="00687FD0"/>
    <w:rsid w:val="00690186"/>
    <w:rsid w:val="006905A9"/>
    <w:rsid w:val="00690801"/>
    <w:rsid w:val="00690C52"/>
    <w:rsid w:val="00690C9F"/>
    <w:rsid w:val="00690DE8"/>
    <w:rsid w:val="0069111D"/>
    <w:rsid w:val="0069114B"/>
    <w:rsid w:val="006912F4"/>
    <w:rsid w:val="0069130B"/>
    <w:rsid w:val="006915C9"/>
    <w:rsid w:val="00691681"/>
    <w:rsid w:val="0069207B"/>
    <w:rsid w:val="00692385"/>
    <w:rsid w:val="0069242D"/>
    <w:rsid w:val="00692584"/>
    <w:rsid w:val="00692596"/>
    <w:rsid w:val="00692626"/>
    <w:rsid w:val="00692799"/>
    <w:rsid w:val="0069290D"/>
    <w:rsid w:val="0069296A"/>
    <w:rsid w:val="00692B53"/>
    <w:rsid w:val="00692D31"/>
    <w:rsid w:val="0069323C"/>
    <w:rsid w:val="0069333B"/>
    <w:rsid w:val="00693361"/>
    <w:rsid w:val="00693659"/>
    <w:rsid w:val="0069366D"/>
    <w:rsid w:val="006937E1"/>
    <w:rsid w:val="00693817"/>
    <w:rsid w:val="00693823"/>
    <w:rsid w:val="00693A02"/>
    <w:rsid w:val="00693D5A"/>
    <w:rsid w:val="00693EB0"/>
    <w:rsid w:val="00693FDA"/>
    <w:rsid w:val="006941CE"/>
    <w:rsid w:val="00694429"/>
    <w:rsid w:val="00694442"/>
    <w:rsid w:val="0069454F"/>
    <w:rsid w:val="0069455D"/>
    <w:rsid w:val="00694804"/>
    <w:rsid w:val="00694CB2"/>
    <w:rsid w:val="00694FB0"/>
    <w:rsid w:val="00695283"/>
    <w:rsid w:val="006952A9"/>
    <w:rsid w:val="006952C8"/>
    <w:rsid w:val="0069534C"/>
    <w:rsid w:val="006953E6"/>
    <w:rsid w:val="00695665"/>
    <w:rsid w:val="00695AE6"/>
    <w:rsid w:val="00695C6D"/>
    <w:rsid w:val="00695F82"/>
    <w:rsid w:val="00696592"/>
    <w:rsid w:val="00696E63"/>
    <w:rsid w:val="00697350"/>
    <w:rsid w:val="006975DF"/>
    <w:rsid w:val="00697970"/>
    <w:rsid w:val="00697AE5"/>
    <w:rsid w:val="00697DF3"/>
    <w:rsid w:val="00697E45"/>
    <w:rsid w:val="00697F15"/>
    <w:rsid w:val="00697F1F"/>
    <w:rsid w:val="006A004F"/>
    <w:rsid w:val="006A01DE"/>
    <w:rsid w:val="006A02B7"/>
    <w:rsid w:val="006A04D5"/>
    <w:rsid w:val="006A0533"/>
    <w:rsid w:val="006A0AA0"/>
    <w:rsid w:val="006A0BDA"/>
    <w:rsid w:val="006A0CCC"/>
    <w:rsid w:val="006A1042"/>
    <w:rsid w:val="006A129F"/>
    <w:rsid w:val="006A1350"/>
    <w:rsid w:val="006A1368"/>
    <w:rsid w:val="006A15BA"/>
    <w:rsid w:val="006A168F"/>
    <w:rsid w:val="006A16F1"/>
    <w:rsid w:val="006A17F4"/>
    <w:rsid w:val="006A1AA8"/>
    <w:rsid w:val="006A1B8E"/>
    <w:rsid w:val="006A1BA3"/>
    <w:rsid w:val="006A1D28"/>
    <w:rsid w:val="006A200D"/>
    <w:rsid w:val="006A2184"/>
    <w:rsid w:val="006A2557"/>
    <w:rsid w:val="006A2603"/>
    <w:rsid w:val="006A268B"/>
    <w:rsid w:val="006A2836"/>
    <w:rsid w:val="006A2DE9"/>
    <w:rsid w:val="006A30C6"/>
    <w:rsid w:val="006A334F"/>
    <w:rsid w:val="006A33D9"/>
    <w:rsid w:val="006A38F9"/>
    <w:rsid w:val="006A3A4F"/>
    <w:rsid w:val="006A3DE2"/>
    <w:rsid w:val="006A3F5F"/>
    <w:rsid w:val="006A4350"/>
    <w:rsid w:val="006A43AF"/>
    <w:rsid w:val="006A4467"/>
    <w:rsid w:val="006A4481"/>
    <w:rsid w:val="006A45A7"/>
    <w:rsid w:val="006A472C"/>
    <w:rsid w:val="006A4814"/>
    <w:rsid w:val="006A4C63"/>
    <w:rsid w:val="006A4FDF"/>
    <w:rsid w:val="006A505B"/>
    <w:rsid w:val="006A50E5"/>
    <w:rsid w:val="006A53A1"/>
    <w:rsid w:val="006A5802"/>
    <w:rsid w:val="006A5856"/>
    <w:rsid w:val="006A5A81"/>
    <w:rsid w:val="006A5AB3"/>
    <w:rsid w:val="006A5ACA"/>
    <w:rsid w:val="006A5CF7"/>
    <w:rsid w:val="006A5EE1"/>
    <w:rsid w:val="006A60C5"/>
    <w:rsid w:val="006A61FE"/>
    <w:rsid w:val="006A6224"/>
    <w:rsid w:val="006A62DD"/>
    <w:rsid w:val="006A63D6"/>
    <w:rsid w:val="006A6AF5"/>
    <w:rsid w:val="006A7035"/>
    <w:rsid w:val="006A70DB"/>
    <w:rsid w:val="006A713F"/>
    <w:rsid w:val="006A7360"/>
    <w:rsid w:val="006A753C"/>
    <w:rsid w:val="006A7684"/>
    <w:rsid w:val="006A779D"/>
    <w:rsid w:val="006A797A"/>
    <w:rsid w:val="006A7D91"/>
    <w:rsid w:val="006B022C"/>
    <w:rsid w:val="006B02DD"/>
    <w:rsid w:val="006B02E2"/>
    <w:rsid w:val="006B056F"/>
    <w:rsid w:val="006B0674"/>
    <w:rsid w:val="006B081D"/>
    <w:rsid w:val="006B0827"/>
    <w:rsid w:val="006B0AFA"/>
    <w:rsid w:val="006B0B40"/>
    <w:rsid w:val="006B0C73"/>
    <w:rsid w:val="006B0DA9"/>
    <w:rsid w:val="006B0E5F"/>
    <w:rsid w:val="006B1059"/>
    <w:rsid w:val="006B14D5"/>
    <w:rsid w:val="006B1714"/>
    <w:rsid w:val="006B199F"/>
    <w:rsid w:val="006B1CAA"/>
    <w:rsid w:val="006B1D0C"/>
    <w:rsid w:val="006B1DDC"/>
    <w:rsid w:val="006B1EDD"/>
    <w:rsid w:val="006B23EC"/>
    <w:rsid w:val="006B260E"/>
    <w:rsid w:val="006B2686"/>
    <w:rsid w:val="006B2DA2"/>
    <w:rsid w:val="006B3305"/>
    <w:rsid w:val="006B361E"/>
    <w:rsid w:val="006B3916"/>
    <w:rsid w:val="006B3B0F"/>
    <w:rsid w:val="006B3CD4"/>
    <w:rsid w:val="006B40A8"/>
    <w:rsid w:val="006B437A"/>
    <w:rsid w:val="006B4497"/>
    <w:rsid w:val="006B449F"/>
    <w:rsid w:val="006B4A77"/>
    <w:rsid w:val="006B4C55"/>
    <w:rsid w:val="006B5143"/>
    <w:rsid w:val="006B51A2"/>
    <w:rsid w:val="006B5230"/>
    <w:rsid w:val="006B5496"/>
    <w:rsid w:val="006B58C2"/>
    <w:rsid w:val="006B5B4F"/>
    <w:rsid w:val="006B5BC0"/>
    <w:rsid w:val="006B5D2E"/>
    <w:rsid w:val="006B5E33"/>
    <w:rsid w:val="006B5ED0"/>
    <w:rsid w:val="006B635D"/>
    <w:rsid w:val="006B641A"/>
    <w:rsid w:val="006B6711"/>
    <w:rsid w:val="006B6830"/>
    <w:rsid w:val="006B6D30"/>
    <w:rsid w:val="006B6D39"/>
    <w:rsid w:val="006B6DDE"/>
    <w:rsid w:val="006B7150"/>
    <w:rsid w:val="006B717B"/>
    <w:rsid w:val="006B7287"/>
    <w:rsid w:val="006B73C4"/>
    <w:rsid w:val="006B7427"/>
    <w:rsid w:val="006B753B"/>
    <w:rsid w:val="006B79D4"/>
    <w:rsid w:val="006B7C07"/>
    <w:rsid w:val="006B7CFD"/>
    <w:rsid w:val="006B7EE1"/>
    <w:rsid w:val="006C0078"/>
    <w:rsid w:val="006C01DA"/>
    <w:rsid w:val="006C07C0"/>
    <w:rsid w:val="006C094C"/>
    <w:rsid w:val="006C0A03"/>
    <w:rsid w:val="006C0B1B"/>
    <w:rsid w:val="006C0B46"/>
    <w:rsid w:val="006C0CC2"/>
    <w:rsid w:val="006C1307"/>
    <w:rsid w:val="006C13C7"/>
    <w:rsid w:val="006C147C"/>
    <w:rsid w:val="006C1744"/>
    <w:rsid w:val="006C1A74"/>
    <w:rsid w:val="006C1B88"/>
    <w:rsid w:val="006C1DCD"/>
    <w:rsid w:val="006C1DFD"/>
    <w:rsid w:val="006C1F76"/>
    <w:rsid w:val="006C2462"/>
    <w:rsid w:val="006C2567"/>
    <w:rsid w:val="006C2CD0"/>
    <w:rsid w:val="006C2F51"/>
    <w:rsid w:val="006C2FDB"/>
    <w:rsid w:val="006C2FE9"/>
    <w:rsid w:val="006C33A5"/>
    <w:rsid w:val="006C33E3"/>
    <w:rsid w:val="006C36C5"/>
    <w:rsid w:val="006C398E"/>
    <w:rsid w:val="006C3B43"/>
    <w:rsid w:val="006C4005"/>
    <w:rsid w:val="006C4286"/>
    <w:rsid w:val="006C42A7"/>
    <w:rsid w:val="006C42F4"/>
    <w:rsid w:val="006C44EE"/>
    <w:rsid w:val="006C4507"/>
    <w:rsid w:val="006C4589"/>
    <w:rsid w:val="006C47E8"/>
    <w:rsid w:val="006C493D"/>
    <w:rsid w:val="006C4E2E"/>
    <w:rsid w:val="006C5184"/>
    <w:rsid w:val="006C55E1"/>
    <w:rsid w:val="006C5A88"/>
    <w:rsid w:val="006C5BC1"/>
    <w:rsid w:val="006C5FF0"/>
    <w:rsid w:val="006C6291"/>
    <w:rsid w:val="006C6355"/>
    <w:rsid w:val="006C644D"/>
    <w:rsid w:val="006C65FE"/>
    <w:rsid w:val="006C6A5C"/>
    <w:rsid w:val="006C6A6F"/>
    <w:rsid w:val="006C6B6A"/>
    <w:rsid w:val="006C6C81"/>
    <w:rsid w:val="006C7115"/>
    <w:rsid w:val="006C7269"/>
    <w:rsid w:val="006C727F"/>
    <w:rsid w:val="006C7469"/>
    <w:rsid w:val="006C7499"/>
    <w:rsid w:val="006C7617"/>
    <w:rsid w:val="006C7990"/>
    <w:rsid w:val="006C7CAA"/>
    <w:rsid w:val="006C7EB9"/>
    <w:rsid w:val="006D002E"/>
    <w:rsid w:val="006D00DF"/>
    <w:rsid w:val="006D019B"/>
    <w:rsid w:val="006D01F8"/>
    <w:rsid w:val="006D021B"/>
    <w:rsid w:val="006D022A"/>
    <w:rsid w:val="006D0862"/>
    <w:rsid w:val="006D0B6F"/>
    <w:rsid w:val="006D0BDE"/>
    <w:rsid w:val="006D0F00"/>
    <w:rsid w:val="006D103B"/>
    <w:rsid w:val="006D1046"/>
    <w:rsid w:val="006D11AF"/>
    <w:rsid w:val="006D129F"/>
    <w:rsid w:val="006D132F"/>
    <w:rsid w:val="006D1614"/>
    <w:rsid w:val="006D1753"/>
    <w:rsid w:val="006D1798"/>
    <w:rsid w:val="006D18A6"/>
    <w:rsid w:val="006D199F"/>
    <w:rsid w:val="006D1EE1"/>
    <w:rsid w:val="006D211F"/>
    <w:rsid w:val="006D2295"/>
    <w:rsid w:val="006D22D5"/>
    <w:rsid w:val="006D22F7"/>
    <w:rsid w:val="006D272C"/>
    <w:rsid w:val="006D2932"/>
    <w:rsid w:val="006D2AE5"/>
    <w:rsid w:val="006D30B2"/>
    <w:rsid w:val="006D3444"/>
    <w:rsid w:val="006D3B10"/>
    <w:rsid w:val="006D3BE3"/>
    <w:rsid w:val="006D3BE8"/>
    <w:rsid w:val="006D3CF0"/>
    <w:rsid w:val="006D3FF5"/>
    <w:rsid w:val="006D40EC"/>
    <w:rsid w:val="006D435C"/>
    <w:rsid w:val="006D4375"/>
    <w:rsid w:val="006D4499"/>
    <w:rsid w:val="006D4596"/>
    <w:rsid w:val="006D4733"/>
    <w:rsid w:val="006D4E13"/>
    <w:rsid w:val="006D5018"/>
    <w:rsid w:val="006D506B"/>
    <w:rsid w:val="006D5340"/>
    <w:rsid w:val="006D5400"/>
    <w:rsid w:val="006D54C2"/>
    <w:rsid w:val="006D56F2"/>
    <w:rsid w:val="006D5766"/>
    <w:rsid w:val="006D57E1"/>
    <w:rsid w:val="006D5890"/>
    <w:rsid w:val="006D589A"/>
    <w:rsid w:val="006D5C72"/>
    <w:rsid w:val="006D5F13"/>
    <w:rsid w:val="006D626E"/>
    <w:rsid w:val="006D63AE"/>
    <w:rsid w:val="006D6579"/>
    <w:rsid w:val="006D6B3F"/>
    <w:rsid w:val="006D6BB6"/>
    <w:rsid w:val="006D6DB2"/>
    <w:rsid w:val="006D73A8"/>
    <w:rsid w:val="006D7473"/>
    <w:rsid w:val="006D7825"/>
    <w:rsid w:val="006D78CE"/>
    <w:rsid w:val="006D7A45"/>
    <w:rsid w:val="006E03F9"/>
    <w:rsid w:val="006E0651"/>
    <w:rsid w:val="006E066F"/>
    <w:rsid w:val="006E072C"/>
    <w:rsid w:val="006E0757"/>
    <w:rsid w:val="006E095C"/>
    <w:rsid w:val="006E0AA0"/>
    <w:rsid w:val="006E0ABB"/>
    <w:rsid w:val="006E0D38"/>
    <w:rsid w:val="006E0ED8"/>
    <w:rsid w:val="006E1228"/>
    <w:rsid w:val="006E1695"/>
    <w:rsid w:val="006E1BC7"/>
    <w:rsid w:val="006E1CD0"/>
    <w:rsid w:val="006E1DEB"/>
    <w:rsid w:val="006E1FC6"/>
    <w:rsid w:val="006E21F4"/>
    <w:rsid w:val="006E233C"/>
    <w:rsid w:val="006E2403"/>
    <w:rsid w:val="006E24CA"/>
    <w:rsid w:val="006E2655"/>
    <w:rsid w:val="006E26DA"/>
    <w:rsid w:val="006E280B"/>
    <w:rsid w:val="006E2A00"/>
    <w:rsid w:val="006E2AF3"/>
    <w:rsid w:val="006E2CC3"/>
    <w:rsid w:val="006E2D36"/>
    <w:rsid w:val="006E2D77"/>
    <w:rsid w:val="006E30A3"/>
    <w:rsid w:val="006E339F"/>
    <w:rsid w:val="006E33EB"/>
    <w:rsid w:val="006E35A3"/>
    <w:rsid w:val="006E3787"/>
    <w:rsid w:val="006E38F2"/>
    <w:rsid w:val="006E3E2E"/>
    <w:rsid w:val="006E4061"/>
    <w:rsid w:val="006E46B1"/>
    <w:rsid w:val="006E485C"/>
    <w:rsid w:val="006E49CF"/>
    <w:rsid w:val="006E4A56"/>
    <w:rsid w:val="006E4CED"/>
    <w:rsid w:val="006E4D0D"/>
    <w:rsid w:val="006E4E24"/>
    <w:rsid w:val="006E5290"/>
    <w:rsid w:val="006E5525"/>
    <w:rsid w:val="006E5578"/>
    <w:rsid w:val="006E579C"/>
    <w:rsid w:val="006E5A70"/>
    <w:rsid w:val="006E5DE4"/>
    <w:rsid w:val="006E5E7C"/>
    <w:rsid w:val="006E5FAB"/>
    <w:rsid w:val="006E60AA"/>
    <w:rsid w:val="006E630A"/>
    <w:rsid w:val="006E645C"/>
    <w:rsid w:val="006E64BB"/>
    <w:rsid w:val="006E653B"/>
    <w:rsid w:val="006E6710"/>
    <w:rsid w:val="006E6923"/>
    <w:rsid w:val="006E6946"/>
    <w:rsid w:val="006E69F2"/>
    <w:rsid w:val="006E6B17"/>
    <w:rsid w:val="006E6C3A"/>
    <w:rsid w:val="006E6C4F"/>
    <w:rsid w:val="006E74DD"/>
    <w:rsid w:val="006E758C"/>
    <w:rsid w:val="006E7C2A"/>
    <w:rsid w:val="006E7F4B"/>
    <w:rsid w:val="006E7FEB"/>
    <w:rsid w:val="006F0155"/>
    <w:rsid w:val="006F0243"/>
    <w:rsid w:val="006F02EC"/>
    <w:rsid w:val="006F04AF"/>
    <w:rsid w:val="006F05FF"/>
    <w:rsid w:val="006F0607"/>
    <w:rsid w:val="006F0722"/>
    <w:rsid w:val="006F0BD6"/>
    <w:rsid w:val="006F105A"/>
    <w:rsid w:val="006F10B8"/>
    <w:rsid w:val="006F11EF"/>
    <w:rsid w:val="006F127B"/>
    <w:rsid w:val="006F1688"/>
    <w:rsid w:val="006F171A"/>
    <w:rsid w:val="006F1A71"/>
    <w:rsid w:val="006F1B3F"/>
    <w:rsid w:val="006F1EA6"/>
    <w:rsid w:val="006F20B7"/>
    <w:rsid w:val="006F2167"/>
    <w:rsid w:val="006F22D1"/>
    <w:rsid w:val="006F22F2"/>
    <w:rsid w:val="006F2702"/>
    <w:rsid w:val="006F288F"/>
    <w:rsid w:val="006F2993"/>
    <w:rsid w:val="006F2E48"/>
    <w:rsid w:val="006F2EB6"/>
    <w:rsid w:val="006F3130"/>
    <w:rsid w:val="006F34E8"/>
    <w:rsid w:val="006F35CC"/>
    <w:rsid w:val="006F39D4"/>
    <w:rsid w:val="006F3BB4"/>
    <w:rsid w:val="006F3C1D"/>
    <w:rsid w:val="006F3C1E"/>
    <w:rsid w:val="006F416E"/>
    <w:rsid w:val="006F41A0"/>
    <w:rsid w:val="006F43B4"/>
    <w:rsid w:val="006F44B4"/>
    <w:rsid w:val="006F45DF"/>
    <w:rsid w:val="006F46DC"/>
    <w:rsid w:val="006F4FFA"/>
    <w:rsid w:val="006F505C"/>
    <w:rsid w:val="006F5135"/>
    <w:rsid w:val="006F5B9D"/>
    <w:rsid w:val="006F5F23"/>
    <w:rsid w:val="006F6360"/>
    <w:rsid w:val="006F6384"/>
    <w:rsid w:val="006F6609"/>
    <w:rsid w:val="006F6A1B"/>
    <w:rsid w:val="006F6B53"/>
    <w:rsid w:val="006F6FCA"/>
    <w:rsid w:val="006F6FE7"/>
    <w:rsid w:val="006F72E8"/>
    <w:rsid w:val="006F743B"/>
    <w:rsid w:val="006F792C"/>
    <w:rsid w:val="006F7972"/>
    <w:rsid w:val="006F7CD6"/>
    <w:rsid w:val="00700592"/>
    <w:rsid w:val="0070087A"/>
    <w:rsid w:val="00700968"/>
    <w:rsid w:val="00700B34"/>
    <w:rsid w:val="00700C57"/>
    <w:rsid w:val="00700E13"/>
    <w:rsid w:val="00701127"/>
    <w:rsid w:val="007014ED"/>
    <w:rsid w:val="0070162B"/>
    <w:rsid w:val="00701676"/>
    <w:rsid w:val="00701B46"/>
    <w:rsid w:val="00701BEA"/>
    <w:rsid w:val="00701E6F"/>
    <w:rsid w:val="00702060"/>
    <w:rsid w:val="0070217B"/>
    <w:rsid w:val="00702559"/>
    <w:rsid w:val="00702A84"/>
    <w:rsid w:val="00702AA8"/>
    <w:rsid w:val="00702C66"/>
    <w:rsid w:val="00703160"/>
    <w:rsid w:val="007034C3"/>
    <w:rsid w:val="0070387A"/>
    <w:rsid w:val="0070395C"/>
    <w:rsid w:val="00703F9D"/>
    <w:rsid w:val="00703FB1"/>
    <w:rsid w:val="00704418"/>
    <w:rsid w:val="00704851"/>
    <w:rsid w:val="007049AC"/>
    <w:rsid w:val="00704AFE"/>
    <w:rsid w:val="00704D2E"/>
    <w:rsid w:val="00704ECB"/>
    <w:rsid w:val="007050E8"/>
    <w:rsid w:val="00705435"/>
    <w:rsid w:val="00705463"/>
    <w:rsid w:val="007059D1"/>
    <w:rsid w:val="00705E46"/>
    <w:rsid w:val="00705FB0"/>
    <w:rsid w:val="00706054"/>
    <w:rsid w:val="00706186"/>
    <w:rsid w:val="007061DB"/>
    <w:rsid w:val="007064BE"/>
    <w:rsid w:val="0070650E"/>
    <w:rsid w:val="0070656B"/>
    <w:rsid w:val="00706775"/>
    <w:rsid w:val="00706815"/>
    <w:rsid w:val="0070693E"/>
    <w:rsid w:val="0070709C"/>
    <w:rsid w:val="0070709E"/>
    <w:rsid w:val="007071D1"/>
    <w:rsid w:val="00707236"/>
    <w:rsid w:val="007077D0"/>
    <w:rsid w:val="00707C99"/>
    <w:rsid w:val="00707DBD"/>
    <w:rsid w:val="00707DDC"/>
    <w:rsid w:val="00710035"/>
    <w:rsid w:val="00710127"/>
    <w:rsid w:val="0071018D"/>
    <w:rsid w:val="00710A9A"/>
    <w:rsid w:val="00710C3B"/>
    <w:rsid w:val="00710C4E"/>
    <w:rsid w:val="00710CE8"/>
    <w:rsid w:val="00710DD3"/>
    <w:rsid w:val="007113CE"/>
    <w:rsid w:val="0071165D"/>
    <w:rsid w:val="007117E7"/>
    <w:rsid w:val="007118BE"/>
    <w:rsid w:val="007119CF"/>
    <w:rsid w:val="00711B72"/>
    <w:rsid w:val="00711D82"/>
    <w:rsid w:val="00711D85"/>
    <w:rsid w:val="00711D9A"/>
    <w:rsid w:val="007121BD"/>
    <w:rsid w:val="007124AC"/>
    <w:rsid w:val="007127DA"/>
    <w:rsid w:val="0071287C"/>
    <w:rsid w:val="00712CBD"/>
    <w:rsid w:val="00712F09"/>
    <w:rsid w:val="00712F91"/>
    <w:rsid w:val="0071326D"/>
    <w:rsid w:val="007135E7"/>
    <w:rsid w:val="00713654"/>
    <w:rsid w:val="00713F3A"/>
    <w:rsid w:val="007140F3"/>
    <w:rsid w:val="0071417B"/>
    <w:rsid w:val="0071421C"/>
    <w:rsid w:val="0071431E"/>
    <w:rsid w:val="007146C3"/>
    <w:rsid w:val="007148EB"/>
    <w:rsid w:val="00714A39"/>
    <w:rsid w:val="00714C66"/>
    <w:rsid w:val="00714D7C"/>
    <w:rsid w:val="007150B4"/>
    <w:rsid w:val="0071517D"/>
    <w:rsid w:val="0071524D"/>
    <w:rsid w:val="00715354"/>
    <w:rsid w:val="00715B53"/>
    <w:rsid w:val="00715CD9"/>
    <w:rsid w:val="00716101"/>
    <w:rsid w:val="0071612D"/>
    <w:rsid w:val="00716143"/>
    <w:rsid w:val="007165D0"/>
    <w:rsid w:val="007165EA"/>
    <w:rsid w:val="00716691"/>
    <w:rsid w:val="00716875"/>
    <w:rsid w:val="00716B79"/>
    <w:rsid w:val="00716C3F"/>
    <w:rsid w:val="007170C3"/>
    <w:rsid w:val="00717119"/>
    <w:rsid w:val="00717379"/>
    <w:rsid w:val="00717548"/>
    <w:rsid w:val="0071784D"/>
    <w:rsid w:val="00717975"/>
    <w:rsid w:val="00717A85"/>
    <w:rsid w:val="00717B5F"/>
    <w:rsid w:val="00717BE1"/>
    <w:rsid w:val="0072009F"/>
    <w:rsid w:val="007204A4"/>
    <w:rsid w:val="0072054D"/>
    <w:rsid w:val="00721063"/>
    <w:rsid w:val="00721116"/>
    <w:rsid w:val="0072115E"/>
    <w:rsid w:val="00721226"/>
    <w:rsid w:val="00721416"/>
    <w:rsid w:val="00721AB5"/>
    <w:rsid w:val="00721B91"/>
    <w:rsid w:val="00721C5E"/>
    <w:rsid w:val="00721CA9"/>
    <w:rsid w:val="00721CE1"/>
    <w:rsid w:val="00721D98"/>
    <w:rsid w:val="00722253"/>
    <w:rsid w:val="00722713"/>
    <w:rsid w:val="0072286C"/>
    <w:rsid w:val="0072293E"/>
    <w:rsid w:val="00722CD7"/>
    <w:rsid w:val="00722ECC"/>
    <w:rsid w:val="00723273"/>
    <w:rsid w:val="007234E2"/>
    <w:rsid w:val="00723634"/>
    <w:rsid w:val="00723B56"/>
    <w:rsid w:val="00723E33"/>
    <w:rsid w:val="0072442F"/>
    <w:rsid w:val="00724737"/>
    <w:rsid w:val="007247AA"/>
    <w:rsid w:val="00724B5F"/>
    <w:rsid w:val="00724CEB"/>
    <w:rsid w:val="007250BB"/>
    <w:rsid w:val="00725376"/>
    <w:rsid w:val="0072538A"/>
    <w:rsid w:val="00725ADB"/>
    <w:rsid w:val="00725C0A"/>
    <w:rsid w:val="007262BD"/>
    <w:rsid w:val="00726562"/>
    <w:rsid w:val="007266D6"/>
    <w:rsid w:val="0072696A"/>
    <w:rsid w:val="00726A66"/>
    <w:rsid w:val="00726B44"/>
    <w:rsid w:val="00726BB9"/>
    <w:rsid w:val="00726EDB"/>
    <w:rsid w:val="00726FCC"/>
    <w:rsid w:val="00727074"/>
    <w:rsid w:val="00727399"/>
    <w:rsid w:val="007273D0"/>
    <w:rsid w:val="00727574"/>
    <w:rsid w:val="007276A1"/>
    <w:rsid w:val="007276EA"/>
    <w:rsid w:val="0072774A"/>
    <w:rsid w:val="00727835"/>
    <w:rsid w:val="00727B88"/>
    <w:rsid w:val="00727C0A"/>
    <w:rsid w:val="00727DB2"/>
    <w:rsid w:val="00727EBC"/>
    <w:rsid w:val="00727EE9"/>
    <w:rsid w:val="007300F8"/>
    <w:rsid w:val="007302E1"/>
    <w:rsid w:val="007303C5"/>
    <w:rsid w:val="00730779"/>
    <w:rsid w:val="00730AF8"/>
    <w:rsid w:val="00730C38"/>
    <w:rsid w:val="00730C61"/>
    <w:rsid w:val="00730D32"/>
    <w:rsid w:val="00730F68"/>
    <w:rsid w:val="00731254"/>
    <w:rsid w:val="0073132D"/>
    <w:rsid w:val="00731B31"/>
    <w:rsid w:val="007322CC"/>
    <w:rsid w:val="007323A4"/>
    <w:rsid w:val="007324AF"/>
    <w:rsid w:val="00732601"/>
    <w:rsid w:val="00732638"/>
    <w:rsid w:val="00732774"/>
    <w:rsid w:val="0073315D"/>
    <w:rsid w:val="0073390C"/>
    <w:rsid w:val="00733AEB"/>
    <w:rsid w:val="00733AF8"/>
    <w:rsid w:val="00733B3A"/>
    <w:rsid w:val="00733D6A"/>
    <w:rsid w:val="0073404F"/>
    <w:rsid w:val="007340EA"/>
    <w:rsid w:val="007341DD"/>
    <w:rsid w:val="007341DF"/>
    <w:rsid w:val="00734219"/>
    <w:rsid w:val="00734242"/>
    <w:rsid w:val="007342D6"/>
    <w:rsid w:val="007343C6"/>
    <w:rsid w:val="00734433"/>
    <w:rsid w:val="007347CA"/>
    <w:rsid w:val="00734B0E"/>
    <w:rsid w:val="00734BE8"/>
    <w:rsid w:val="00734D12"/>
    <w:rsid w:val="00734D6E"/>
    <w:rsid w:val="00734D9F"/>
    <w:rsid w:val="00734E9E"/>
    <w:rsid w:val="007351B2"/>
    <w:rsid w:val="00735448"/>
    <w:rsid w:val="00735A0E"/>
    <w:rsid w:val="00735ACF"/>
    <w:rsid w:val="00735C42"/>
    <w:rsid w:val="00735CDB"/>
    <w:rsid w:val="0073617D"/>
    <w:rsid w:val="007362B0"/>
    <w:rsid w:val="0073652F"/>
    <w:rsid w:val="007365F0"/>
    <w:rsid w:val="007366E0"/>
    <w:rsid w:val="00736790"/>
    <w:rsid w:val="00736BEA"/>
    <w:rsid w:val="00736C44"/>
    <w:rsid w:val="00736CAF"/>
    <w:rsid w:val="00736E40"/>
    <w:rsid w:val="00737050"/>
    <w:rsid w:val="007371D6"/>
    <w:rsid w:val="00737587"/>
    <w:rsid w:val="00737802"/>
    <w:rsid w:val="00737CB9"/>
    <w:rsid w:val="00737F76"/>
    <w:rsid w:val="00740137"/>
    <w:rsid w:val="00740626"/>
    <w:rsid w:val="007409DD"/>
    <w:rsid w:val="0074138A"/>
    <w:rsid w:val="00741402"/>
    <w:rsid w:val="00741632"/>
    <w:rsid w:val="00741839"/>
    <w:rsid w:val="00741AB2"/>
    <w:rsid w:val="00741B1B"/>
    <w:rsid w:val="00741E05"/>
    <w:rsid w:val="00742048"/>
    <w:rsid w:val="007421C7"/>
    <w:rsid w:val="007424DC"/>
    <w:rsid w:val="007431A2"/>
    <w:rsid w:val="0074354F"/>
    <w:rsid w:val="007436BF"/>
    <w:rsid w:val="00743743"/>
    <w:rsid w:val="00743A3C"/>
    <w:rsid w:val="00744131"/>
    <w:rsid w:val="00744142"/>
    <w:rsid w:val="007441FA"/>
    <w:rsid w:val="007443BC"/>
    <w:rsid w:val="007446C0"/>
    <w:rsid w:val="00744855"/>
    <w:rsid w:val="0074488A"/>
    <w:rsid w:val="00745623"/>
    <w:rsid w:val="00745928"/>
    <w:rsid w:val="00745D6C"/>
    <w:rsid w:val="00745DC2"/>
    <w:rsid w:val="00746324"/>
    <w:rsid w:val="00746418"/>
    <w:rsid w:val="00746482"/>
    <w:rsid w:val="0074665B"/>
    <w:rsid w:val="00746A34"/>
    <w:rsid w:val="00746FAF"/>
    <w:rsid w:val="007470CC"/>
    <w:rsid w:val="007472B2"/>
    <w:rsid w:val="007472B4"/>
    <w:rsid w:val="00747B9C"/>
    <w:rsid w:val="00747C50"/>
    <w:rsid w:val="00747D47"/>
    <w:rsid w:val="00747E07"/>
    <w:rsid w:val="00747EFC"/>
    <w:rsid w:val="00747F1F"/>
    <w:rsid w:val="00750040"/>
    <w:rsid w:val="0075087F"/>
    <w:rsid w:val="00750F0B"/>
    <w:rsid w:val="00750FDB"/>
    <w:rsid w:val="00751087"/>
    <w:rsid w:val="0075162B"/>
    <w:rsid w:val="00751C68"/>
    <w:rsid w:val="00751F5D"/>
    <w:rsid w:val="00752054"/>
    <w:rsid w:val="007523B2"/>
    <w:rsid w:val="00752574"/>
    <w:rsid w:val="00752676"/>
    <w:rsid w:val="0075293C"/>
    <w:rsid w:val="00752BA1"/>
    <w:rsid w:val="0075302C"/>
    <w:rsid w:val="007531D8"/>
    <w:rsid w:val="00753865"/>
    <w:rsid w:val="00753A0A"/>
    <w:rsid w:val="00753AEC"/>
    <w:rsid w:val="00753B75"/>
    <w:rsid w:val="00753C89"/>
    <w:rsid w:val="00753D02"/>
    <w:rsid w:val="00753DE3"/>
    <w:rsid w:val="00753EB7"/>
    <w:rsid w:val="00753FB2"/>
    <w:rsid w:val="0075405D"/>
    <w:rsid w:val="0075440E"/>
    <w:rsid w:val="0075447C"/>
    <w:rsid w:val="0075463A"/>
    <w:rsid w:val="00754855"/>
    <w:rsid w:val="007549A1"/>
    <w:rsid w:val="00754CE7"/>
    <w:rsid w:val="007550C3"/>
    <w:rsid w:val="00755205"/>
    <w:rsid w:val="007552D1"/>
    <w:rsid w:val="00755544"/>
    <w:rsid w:val="0075562B"/>
    <w:rsid w:val="007556FF"/>
    <w:rsid w:val="00755A9A"/>
    <w:rsid w:val="00755B65"/>
    <w:rsid w:val="0075604D"/>
    <w:rsid w:val="00756693"/>
    <w:rsid w:val="007567C2"/>
    <w:rsid w:val="007569A5"/>
    <w:rsid w:val="00756FCB"/>
    <w:rsid w:val="00757054"/>
    <w:rsid w:val="0075722B"/>
    <w:rsid w:val="00757246"/>
    <w:rsid w:val="007575D1"/>
    <w:rsid w:val="0075766B"/>
    <w:rsid w:val="007576C6"/>
    <w:rsid w:val="00757945"/>
    <w:rsid w:val="00757ADC"/>
    <w:rsid w:val="00757EB7"/>
    <w:rsid w:val="00757FCC"/>
    <w:rsid w:val="007600E8"/>
    <w:rsid w:val="0076022C"/>
    <w:rsid w:val="007604A5"/>
    <w:rsid w:val="0076077D"/>
    <w:rsid w:val="007609B0"/>
    <w:rsid w:val="00760CFA"/>
    <w:rsid w:val="00760FEA"/>
    <w:rsid w:val="00761568"/>
    <w:rsid w:val="007615C9"/>
    <w:rsid w:val="007616C1"/>
    <w:rsid w:val="00761A2D"/>
    <w:rsid w:val="00762007"/>
    <w:rsid w:val="00762619"/>
    <w:rsid w:val="00762AD3"/>
    <w:rsid w:val="00762B80"/>
    <w:rsid w:val="007632AE"/>
    <w:rsid w:val="00763356"/>
    <w:rsid w:val="00763442"/>
    <w:rsid w:val="007634F6"/>
    <w:rsid w:val="007635A6"/>
    <w:rsid w:val="00763A4A"/>
    <w:rsid w:val="00763BC0"/>
    <w:rsid w:val="00763BDD"/>
    <w:rsid w:val="00763C2E"/>
    <w:rsid w:val="00763E3F"/>
    <w:rsid w:val="0076437F"/>
    <w:rsid w:val="00764834"/>
    <w:rsid w:val="00764C77"/>
    <w:rsid w:val="00764EA0"/>
    <w:rsid w:val="00764EE5"/>
    <w:rsid w:val="00765101"/>
    <w:rsid w:val="00765122"/>
    <w:rsid w:val="00765293"/>
    <w:rsid w:val="007654FF"/>
    <w:rsid w:val="007655CB"/>
    <w:rsid w:val="00765615"/>
    <w:rsid w:val="007656A3"/>
    <w:rsid w:val="007659F7"/>
    <w:rsid w:val="00765B31"/>
    <w:rsid w:val="00765C30"/>
    <w:rsid w:val="00765C5E"/>
    <w:rsid w:val="00765CB9"/>
    <w:rsid w:val="00765DB3"/>
    <w:rsid w:val="00765DEA"/>
    <w:rsid w:val="00765F1D"/>
    <w:rsid w:val="0076633E"/>
    <w:rsid w:val="00766703"/>
    <w:rsid w:val="00766D5D"/>
    <w:rsid w:val="00766D8C"/>
    <w:rsid w:val="00766DEB"/>
    <w:rsid w:val="00766E4F"/>
    <w:rsid w:val="00766FBF"/>
    <w:rsid w:val="007670BC"/>
    <w:rsid w:val="0076730F"/>
    <w:rsid w:val="00767314"/>
    <w:rsid w:val="00767530"/>
    <w:rsid w:val="007675EF"/>
    <w:rsid w:val="00767A05"/>
    <w:rsid w:val="00767A28"/>
    <w:rsid w:val="00767DE1"/>
    <w:rsid w:val="0077021B"/>
    <w:rsid w:val="007703D7"/>
    <w:rsid w:val="0077041A"/>
    <w:rsid w:val="00770817"/>
    <w:rsid w:val="007708D2"/>
    <w:rsid w:val="00770C9D"/>
    <w:rsid w:val="00770D30"/>
    <w:rsid w:val="007710DC"/>
    <w:rsid w:val="00771127"/>
    <w:rsid w:val="0077112C"/>
    <w:rsid w:val="00771407"/>
    <w:rsid w:val="00771A1B"/>
    <w:rsid w:val="00771A6A"/>
    <w:rsid w:val="0077230A"/>
    <w:rsid w:val="00772636"/>
    <w:rsid w:val="00772825"/>
    <w:rsid w:val="007728D2"/>
    <w:rsid w:val="00772A43"/>
    <w:rsid w:val="00772B62"/>
    <w:rsid w:val="00772F63"/>
    <w:rsid w:val="00773173"/>
    <w:rsid w:val="0077325D"/>
    <w:rsid w:val="00773609"/>
    <w:rsid w:val="00773973"/>
    <w:rsid w:val="00773CCF"/>
    <w:rsid w:val="00773CD4"/>
    <w:rsid w:val="00773F9B"/>
    <w:rsid w:val="0077416F"/>
    <w:rsid w:val="007741BD"/>
    <w:rsid w:val="007743EE"/>
    <w:rsid w:val="0077446A"/>
    <w:rsid w:val="007744CF"/>
    <w:rsid w:val="007747EE"/>
    <w:rsid w:val="00774807"/>
    <w:rsid w:val="00774CC3"/>
    <w:rsid w:val="00774D7A"/>
    <w:rsid w:val="00774DCA"/>
    <w:rsid w:val="00774FD1"/>
    <w:rsid w:val="0077529C"/>
    <w:rsid w:val="007752FA"/>
    <w:rsid w:val="007755DD"/>
    <w:rsid w:val="00775787"/>
    <w:rsid w:val="00775CC9"/>
    <w:rsid w:val="00775F21"/>
    <w:rsid w:val="00775FCA"/>
    <w:rsid w:val="00776043"/>
    <w:rsid w:val="007761A3"/>
    <w:rsid w:val="0077648D"/>
    <w:rsid w:val="00776887"/>
    <w:rsid w:val="00776B3F"/>
    <w:rsid w:val="00776D27"/>
    <w:rsid w:val="00776D91"/>
    <w:rsid w:val="0077710C"/>
    <w:rsid w:val="007771DC"/>
    <w:rsid w:val="0077721F"/>
    <w:rsid w:val="00777322"/>
    <w:rsid w:val="00777458"/>
    <w:rsid w:val="00777552"/>
    <w:rsid w:val="007778F1"/>
    <w:rsid w:val="00777A02"/>
    <w:rsid w:val="00777A96"/>
    <w:rsid w:val="00777ACA"/>
    <w:rsid w:val="00777C0C"/>
    <w:rsid w:val="00777DD5"/>
    <w:rsid w:val="00780247"/>
    <w:rsid w:val="0078029E"/>
    <w:rsid w:val="007802F4"/>
    <w:rsid w:val="00780448"/>
    <w:rsid w:val="007806C3"/>
    <w:rsid w:val="007808F0"/>
    <w:rsid w:val="00780DF5"/>
    <w:rsid w:val="00780E0C"/>
    <w:rsid w:val="00780F21"/>
    <w:rsid w:val="00781119"/>
    <w:rsid w:val="007819EC"/>
    <w:rsid w:val="00781B1E"/>
    <w:rsid w:val="00781F89"/>
    <w:rsid w:val="00782310"/>
    <w:rsid w:val="007826A1"/>
    <w:rsid w:val="00782C05"/>
    <w:rsid w:val="00783016"/>
    <w:rsid w:val="007835B8"/>
    <w:rsid w:val="0078372E"/>
    <w:rsid w:val="0078374A"/>
    <w:rsid w:val="0078388B"/>
    <w:rsid w:val="0078399E"/>
    <w:rsid w:val="00783F79"/>
    <w:rsid w:val="007845EC"/>
    <w:rsid w:val="0078482C"/>
    <w:rsid w:val="0078485A"/>
    <w:rsid w:val="007848AF"/>
    <w:rsid w:val="00784981"/>
    <w:rsid w:val="00784A40"/>
    <w:rsid w:val="00784AE4"/>
    <w:rsid w:val="00784B94"/>
    <w:rsid w:val="00784BCD"/>
    <w:rsid w:val="00784E96"/>
    <w:rsid w:val="00784F63"/>
    <w:rsid w:val="007850D0"/>
    <w:rsid w:val="00785239"/>
    <w:rsid w:val="00785354"/>
    <w:rsid w:val="007854AF"/>
    <w:rsid w:val="00785865"/>
    <w:rsid w:val="0078597E"/>
    <w:rsid w:val="00785994"/>
    <w:rsid w:val="00785B75"/>
    <w:rsid w:val="00785C89"/>
    <w:rsid w:val="00785FAE"/>
    <w:rsid w:val="00785FB2"/>
    <w:rsid w:val="007860B9"/>
    <w:rsid w:val="007862B1"/>
    <w:rsid w:val="00786477"/>
    <w:rsid w:val="007865A6"/>
    <w:rsid w:val="00786709"/>
    <w:rsid w:val="00786919"/>
    <w:rsid w:val="00786B1C"/>
    <w:rsid w:val="00786BFD"/>
    <w:rsid w:val="00786C27"/>
    <w:rsid w:val="00786C96"/>
    <w:rsid w:val="00786E2E"/>
    <w:rsid w:val="007870A3"/>
    <w:rsid w:val="007871C4"/>
    <w:rsid w:val="007876B3"/>
    <w:rsid w:val="0078781F"/>
    <w:rsid w:val="00787892"/>
    <w:rsid w:val="00787E3B"/>
    <w:rsid w:val="007900B1"/>
    <w:rsid w:val="00790114"/>
    <w:rsid w:val="007901ED"/>
    <w:rsid w:val="007902AF"/>
    <w:rsid w:val="0079068D"/>
    <w:rsid w:val="007908B8"/>
    <w:rsid w:val="00790C91"/>
    <w:rsid w:val="00790CB0"/>
    <w:rsid w:val="00790D83"/>
    <w:rsid w:val="007914ED"/>
    <w:rsid w:val="0079154E"/>
    <w:rsid w:val="00791611"/>
    <w:rsid w:val="007916B6"/>
    <w:rsid w:val="00791CF9"/>
    <w:rsid w:val="0079204C"/>
    <w:rsid w:val="007926A4"/>
    <w:rsid w:val="00792DEA"/>
    <w:rsid w:val="00792E01"/>
    <w:rsid w:val="00792FC1"/>
    <w:rsid w:val="00793281"/>
    <w:rsid w:val="0079333A"/>
    <w:rsid w:val="007934C7"/>
    <w:rsid w:val="007935E0"/>
    <w:rsid w:val="0079369B"/>
    <w:rsid w:val="00793730"/>
    <w:rsid w:val="007939EF"/>
    <w:rsid w:val="00793D70"/>
    <w:rsid w:val="00793DB7"/>
    <w:rsid w:val="00793DC5"/>
    <w:rsid w:val="00794228"/>
    <w:rsid w:val="00794328"/>
    <w:rsid w:val="007943D6"/>
    <w:rsid w:val="0079445E"/>
    <w:rsid w:val="007944F8"/>
    <w:rsid w:val="00794515"/>
    <w:rsid w:val="007945DB"/>
    <w:rsid w:val="00794628"/>
    <w:rsid w:val="0079468E"/>
    <w:rsid w:val="007946A8"/>
    <w:rsid w:val="00794745"/>
    <w:rsid w:val="007948FE"/>
    <w:rsid w:val="00794D31"/>
    <w:rsid w:val="00794DF2"/>
    <w:rsid w:val="0079523B"/>
    <w:rsid w:val="007952BF"/>
    <w:rsid w:val="0079534F"/>
    <w:rsid w:val="007953E4"/>
    <w:rsid w:val="007956A2"/>
    <w:rsid w:val="007958CF"/>
    <w:rsid w:val="007958E5"/>
    <w:rsid w:val="00795A9D"/>
    <w:rsid w:val="00795B9C"/>
    <w:rsid w:val="00795E0E"/>
    <w:rsid w:val="00795EF7"/>
    <w:rsid w:val="00795F44"/>
    <w:rsid w:val="007963B7"/>
    <w:rsid w:val="00796466"/>
    <w:rsid w:val="00796488"/>
    <w:rsid w:val="00796694"/>
    <w:rsid w:val="007966E3"/>
    <w:rsid w:val="007967EB"/>
    <w:rsid w:val="00796AA6"/>
    <w:rsid w:val="00796E5B"/>
    <w:rsid w:val="0079725F"/>
    <w:rsid w:val="007972CB"/>
    <w:rsid w:val="007974A4"/>
    <w:rsid w:val="0079753D"/>
    <w:rsid w:val="007A0151"/>
    <w:rsid w:val="007A0360"/>
    <w:rsid w:val="007A0A63"/>
    <w:rsid w:val="007A0BD9"/>
    <w:rsid w:val="007A0FEA"/>
    <w:rsid w:val="007A1013"/>
    <w:rsid w:val="007A1458"/>
    <w:rsid w:val="007A1528"/>
    <w:rsid w:val="007A1756"/>
    <w:rsid w:val="007A1900"/>
    <w:rsid w:val="007A1A0B"/>
    <w:rsid w:val="007A207F"/>
    <w:rsid w:val="007A20E4"/>
    <w:rsid w:val="007A22FB"/>
    <w:rsid w:val="007A27B1"/>
    <w:rsid w:val="007A29BD"/>
    <w:rsid w:val="007A2A56"/>
    <w:rsid w:val="007A2C3F"/>
    <w:rsid w:val="007A315E"/>
    <w:rsid w:val="007A317E"/>
    <w:rsid w:val="007A327A"/>
    <w:rsid w:val="007A33C3"/>
    <w:rsid w:val="007A34F0"/>
    <w:rsid w:val="007A365B"/>
    <w:rsid w:val="007A3975"/>
    <w:rsid w:val="007A39C9"/>
    <w:rsid w:val="007A3AFA"/>
    <w:rsid w:val="007A3CA0"/>
    <w:rsid w:val="007A3E4C"/>
    <w:rsid w:val="007A3F0E"/>
    <w:rsid w:val="007A422D"/>
    <w:rsid w:val="007A443C"/>
    <w:rsid w:val="007A4774"/>
    <w:rsid w:val="007A4881"/>
    <w:rsid w:val="007A4955"/>
    <w:rsid w:val="007A4ADF"/>
    <w:rsid w:val="007A4EDE"/>
    <w:rsid w:val="007A514C"/>
    <w:rsid w:val="007A52F7"/>
    <w:rsid w:val="007A532E"/>
    <w:rsid w:val="007A53F5"/>
    <w:rsid w:val="007A547D"/>
    <w:rsid w:val="007A592D"/>
    <w:rsid w:val="007A5EF3"/>
    <w:rsid w:val="007A6350"/>
    <w:rsid w:val="007A651B"/>
    <w:rsid w:val="007A6531"/>
    <w:rsid w:val="007A66CA"/>
    <w:rsid w:val="007A670A"/>
    <w:rsid w:val="007A6764"/>
    <w:rsid w:val="007A6814"/>
    <w:rsid w:val="007A69AB"/>
    <w:rsid w:val="007A6E40"/>
    <w:rsid w:val="007A6EB4"/>
    <w:rsid w:val="007A70A0"/>
    <w:rsid w:val="007A7207"/>
    <w:rsid w:val="007A72BC"/>
    <w:rsid w:val="007A7405"/>
    <w:rsid w:val="007A75D8"/>
    <w:rsid w:val="007A76C1"/>
    <w:rsid w:val="007A7947"/>
    <w:rsid w:val="007A7F2F"/>
    <w:rsid w:val="007A7FF8"/>
    <w:rsid w:val="007B03D9"/>
    <w:rsid w:val="007B0975"/>
    <w:rsid w:val="007B0BE6"/>
    <w:rsid w:val="007B1015"/>
    <w:rsid w:val="007B11F8"/>
    <w:rsid w:val="007B15A2"/>
    <w:rsid w:val="007B1606"/>
    <w:rsid w:val="007B1A5B"/>
    <w:rsid w:val="007B1A9C"/>
    <w:rsid w:val="007B1AE2"/>
    <w:rsid w:val="007B1D3E"/>
    <w:rsid w:val="007B1DC6"/>
    <w:rsid w:val="007B20EB"/>
    <w:rsid w:val="007B22C7"/>
    <w:rsid w:val="007B24AD"/>
    <w:rsid w:val="007B27D0"/>
    <w:rsid w:val="007B28C3"/>
    <w:rsid w:val="007B2971"/>
    <w:rsid w:val="007B2A11"/>
    <w:rsid w:val="007B2C52"/>
    <w:rsid w:val="007B2CCB"/>
    <w:rsid w:val="007B2D0D"/>
    <w:rsid w:val="007B2FBE"/>
    <w:rsid w:val="007B30E9"/>
    <w:rsid w:val="007B312B"/>
    <w:rsid w:val="007B317D"/>
    <w:rsid w:val="007B369C"/>
    <w:rsid w:val="007B3994"/>
    <w:rsid w:val="007B39C0"/>
    <w:rsid w:val="007B3F0F"/>
    <w:rsid w:val="007B43E0"/>
    <w:rsid w:val="007B4443"/>
    <w:rsid w:val="007B44A4"/>
    <w:rsid w:val="007B49BB"/>
    <w:rsid w:val="007B4D15"/>
    <w:rsid w:val="007B4DFC"/>
    <w:rsid w:val="007B525B"/>
    <w:rsid w:val="007B56D5"/>
    <w:rsid w:val="007B5A15"/>
    <w:rsid w:val="007B5BD5"/>
    <w:rsid w:val="007B5BF0"/>
    <w:rsid w:val="007B5DE8"/>
    <w:rsid w:val="007B5E8A"/>
    <w:rsid w:val="007B652A"/>
    <w:rsid w:val="007B66AF"/>
    <w:rsid w:val="007B67CA"/>
    <w:rsid w:val="007B6B6A"/>
    <w:rsid w:val="007B6D6B"/>
    <w:rsid w:val="007B6EE0"/>
    <w:rsid w:val="007B70D2"/>
    <w:rsid w:val="007B71B1"/>
    <w:rsid w:val="007B7321"/>
    <w:rsid w:val="007B73B1"/>
    <w:rsid w:val="007B7475"/>
    <w:rsid w:val="007B75B1"/>
    <w:rsid w:val="007B78E3"/>
    <w:rsid w:val="007B790E"/>
    <w:rsid w:val="007B7A01"/>
    <w:rsid w:val="007B7D07"/>
    <w:rsid w:val="007B7D8D"/>
    <w:rsid w:val="007B7DDF"/>
    <w:rsid w:val="007C00C2"/>
    <w:rsid w:val="007C06FC"/>
    <w:rsid w:val="007C0D39"/>
    <w:rsid w:val="007C0F15"/>
    <w:rsid w:val="007C124A"/>
    <w:rsid w:val="007C131A"/>
    <w:rsid w:val="007C13EF"/>
    <w:rsid w:val="007C152A"/>
    <w:rsid w:val="007C17D2"/>
    <w:rsid w:val="007C1807"/>
    <w:rsid w:val="007C19A5"/>
    <w:rsid w:val="007C1A1D"/>
    <w:rsid w:val="007C1AEF"/>
    <w:rsid w:val="007C1B30"/>
    <w:rsid w:val="007C1BA4"/>
    <w:rsid w:val="007C1E2C"/>
    <w:rsid w:val="007C2042"/>
    <w:rsid w:val="007C20C1"/>
    <w:rsid w:val="007C22E7"/>
    <w:rsid w:val="007C255B"/>
    <w:rsid w:val="007C261A"/>
    <w:rsid w:val="007C275C"/>
    <w:rsid w:val="007C28DE"/>
    <w:rsid w:val="007C2BA5"/>
    <w:rsid w:val="007C2BBA"/>
    <w:rsid w:val="007C2EEB"/>
    <w:rsid w:val="007C2F80"/>
    <w:rsid w:val="007C3054"/>
    <w:rsid w:val="007C33B3"/>
    <w:rsid w:val="007C38F8"/>
    <w:rsid w:val="007C44F7"/>
    <w:rsid w:val="007C47C0"/>
    <w:rsid w:val="007C47E1"/>
    <w:rsid w:val="007C4A7D"/>
    <w:rsid w:val="007C4D51"/>
    <w:rsid w:val="007C50F9"/>
    <w:rsid w:val="007C5173"/>
    <w:rsid w:val="007C524E"/>
    <w:rsid w:val="007C528B"/>
    <w:rsid w:val="007C5621"/>
    <w:rsid w:val="007C5A39"/>
    <w:rsid w:val="007C5A4F"/>
    <w:rsid w:val="007C5CE1"/>
    <w:rsid w:val="007C5F44"/>
    <w:rsid w:val="007C61B7"/>
    <w:rsid w:val="007C6227"/>
    <w:rsid w:val="007C6273"/>
    <w:rsid w:val="007C697D"/>
    <w:rsid w:val="007C6E0B"/>
    <w:rsid w:val="007C6FED"/>
    <w:rsid w:val="007C6FF5"/>
    <w:rsid w:val="007C70B9"/>
    <w:rsid w:val="007C74F7"/>
    <w:rsid w:val="007C75AA"/>
    <w:rsid w:val="007C768F"/>
    <w:rsid w:val="007C77BA"/>
    <w:rsid w:val="007C7969"/>
    <w:rsid w:val="007C7FEC"/>
    <w:rsid w:val="007D002E"/>
    <w:rsid w:val="007D005B"/>
    <w:rsid w:val="007D0233"/>
    <w:rsid w:val="007D07F2"/>
    <w:rsid w:val="007D07F4"/>
    <w:rsid w:val="007D0801"/>
    <w:rsid w:val="007D0981"/>
    <w:rsid w:val="007D0CAD"/>
    <w:rsid w:val="007D0DC5"/>
    <w:rsid w:val="007D0E65"/>
    <w:rsid w:val="007D0EE6"/>
    <w:rsid w:val="007D0F79"/>
    <w:rsid w:val="007D1076"/>
    <w:rsid w:val="007D10C7"/>
    <w:rsid w:val="007D1236"/>
    <w:rsid w:val="007D1246"/>
    <w:rsid w:val="007D1303"/>
    <w:rsid w:val="007D144C"/>
    <w:rsid w:val="007D156F"/>
    <w:rsid w:val="007D17D4"/>
    <w:rsid w:val="007D18F1"/>
    <w:rsid w:val="007D1956"/>
    <w:rsid w:val="007D1C2E"/>
    <w:rsid w:val="007D1D20"/>
    <w:rsid w:val="007D1E95"/>
    <w:rsid w:val="007D1EA2"/>
    <w:rsid w:val="007D20BE"/>
    <w:rsid w:val="007D2112"/>
    <w:rsid w:val="007D2231"/>
    <w:rsid w:val="007D2282"/>
    <w:rsid w:val="007D23E3"/>
    <w:rsid w:val="007D24C2"/>
    <w:rsid w:val="007D2535"/>
    <w:rsid w:val="007D25F7"/>
    <w:rsid w:val="007D2879"/>
    <w:rsid w:val="007D2C75"/>
    <w:rsid w:val="007D2CAA"/>
    <w:rsid w:val="007D2CF7"/>
    <w:rsid w:val="007D328B"/>
    <w:rsid w:val="007D38A2"/>
    <w:rsid w:val="007D3B9C"/>
    <w:rsid w:val="007D3EC2"/>
    <w:rsid w:val="007D3ECE"/>
    <w:rsid w:val="007D402E"/>
    <w:rsid w:val="007D4387"/>
    <w:rsid w:val="007D4602"/>
    <w:rsid w:val="007D4B4E"/>
    <w:rsid w:val="007D4BCB"/>
    <w:rsid w:val="007D4C5A"/>
    <w:rsid w:val="007D4CA2"/>
    <w:rsid w:val="007D4DD2"/>
    <w:rsid w:val="007D500F"/>
    <w:rsid w:val="007D51A6"/>
    <w:rsid w:val="007D52A8"/>
    <w:rsid w:val="007D5316"/>
    <w:rsid w:val="007D5659"/>
    <w:rsid w:val="007D5902"/>
    <w:rsid w:val="007D59FE"/>
    <w:rsid w:val="007D5A50"/>
    <w:rsid w:val="007D5B01"/>
    <w:rsid w:val="007D5E32"/>
    <w:rsid w:val="007D5E96"/>
    <w:rsid w:val="007D61A7"/>
    <w:rsid w:val="007D62A8"/>
    <w:rsid w:val="007D63F7"/>
    <w:rsid w:val="007D6651"/>
    <w:rsid w:val="007D684B"/>
    <w:rsid w:val="007D6B67"/>
    <w:rsid w:val="007D6F47"/>
    <w:rsid w:val="007D7059"/>
    <w:rsid w:val="007D7083"/>
    <w:rsid w:val="007D7257"/>
    <w:rsid w:val="007D7389"/>
    <w:rsid w:val="007D7674"/>
    <w:rsid w:val="007D76C0"/>
    <w:rsid w:val="007D7B84"/>
    <w:rsid w:val="007D7C6D"/>
    <w:rsid w:val="007D7E27"/>
    <w:rsid w:val="007D7F67"/>
    <w:rsid w:val="007E01B6"/>
    <w:rsid w:val="007E03B5"/>
    <w:rsid w:val="007E07AB"/>
    <w:rsid w:val="007E0983"/>
    <w:rsid w:val="007E0C87"/>
    <w:rsid w:val="007E0E25"/>
    <w:rsid w:val="007E0F89"/>
    <w:rsid w:val="007E1149"/>
    <w:rsid w:val="007E11A5"/>
    <w:rsid w:val="007E1A19"/>
    <w:rsid w:val="007E1A3F"/>
    <w:rsid w:val="007E1B44"/>
    <w:rsid w:val="007E1B46"/>
    <w:rsid w:val="007E1BA0"/>
    <w:rsid w:val="007E1FCD"/>
    <w:rsid w:val="007E20BA"/>
    <w:rsid w:val="007E2324"/>
    <w:rsid w:val="007E2336"/>
    <w:rsid w:val="007E24A1"/>
    <w:rsid w:val="007E2574"/>
    <w:rsid w:val="007E25D2"/>
    <w:rsid w:val="007E2820"/>
    <w:rsid w:val="007E2A78"/>
    <w:rsid w:val="007E2AE2"/>
    <w:rsid w:val="007E2C92"/>
    <w:rsid w:val="007E2D0D"/>
    <w:rsid w:val="007E2E1D"/>
    <w:rsid w:val="007E2E48"/>
    <w:rsid w:val="007E2ECE"/>
    <w:rsid w:val="007E2FED"/>
    <w:rsid w:val="007E3180"/>
    <w:rsid w:val="007E321E"/>
    <w:rsid w:val="007E37F5"/>
    <w:rsid w:val="007E3961"/>
    <w:rsid w:val="007E3E67"/>
    <w:rsid w:val="007E4533"/>
    <w:rsid w:val="007E4578"/>
    <w:rsid w:val="007E458D"/>
    <w:rsid w:val="007E4593"/>
    <w:rsid w:val="007E46E7"/>
    <w:rsid w:val="007E4F60"/>
    <w:rsid w:val="007E4F6E"/>
    <w:rsid w:val="007E516C"/>
    <w:rsid w:val="007E5229"/>
    <w:rsid w:val="007E55DD"/>
    <w:rsid w:val="007E5655"/>
    <w:rsid w:val="007E56AF"/>
    <w:rsid w:val="007E5A6B"/>
    <w:rsid w:val="007E5B28"/>
    <w:rsid w:val="007E5CDA"/>
    <w:rsid w:val="007E5DFA"/>
    <w:rsid w:val="007E60A9"/>
    <w:rsid w:val="007E62FA"/>
    <w:rsid w:val="007E64B4"/>
    <w:rsid w:val="007E64E9"/>
    <w:rsid w:val="007E6938"/>
    <w:rsid w:val="007E6C50"/>
    <w:rsid w:val="007E721B"/>
    <w:rsid w:val="007E7263"/>
    <w:rsid w:val="007E72F3"/>
    <w:rsid w:val="007E73D1"/>
    <w:rsid w:val="007E78F3"/>
    <w:rsid w:val="007E793E"/>
    <w:rsid w:val="007E799F"/>
    <w:rsid w:val="007E7B63"/>
    <w:rsid w:val="007E7C2A"/>
    <w:rsid w:val="007E7C5C"/>
    <w:rsid w:val="007E7C76"/>
    <w:rsid w:val="007E7C9D"/>
    <w:rsid w:val="007E7E5C"/>
    <w:rsid w:val="007F01D4"/>
    <w:rsid w:val="007F023E"/>
    <w:rsid w:val="007F0250"/>
    <w:rsid w:val="007F07C6"/>
    <w:rsid w:val="007F07CE"/>
    <w:rsid w:val="007F07D7"/>
    <w:rsid w:val="007F09CB"/>
    <w:rsid w:val="007F0B52"/>
    <w:rsid w:val="007F0D36"/>
    <w:rsid w:val="007F1164"/>
    <w:rsid w:val="007F121B"/>
    <w:rsid w:val="007F127D"/>
    <w:rsid w:val="007F1376"/>
    <w:rsid w:val="007F15A1"/>
    <w:rsid w:val="007F1679"/>
    <w:rsid w:val="007F1979"/>
    <w:rsid w:val="007F1B10"/>
    <w:rsid w:val="007F1BA1"/>
    <w:rsid w:val="007F1C77"/>
    <w:rsid w:val="007F1CA0"/>
    <w:rsid w:val="007F1CBD"/>
    <w:rsid w:val="007F1CDD"/>
    <w:rsid w:val="007F1D34"/>
    <w:rsid w:val="007F1DD9"/>
    <w:rsid w:val="007F1E0A"/>
    <w:rsid w:val="007F20DD"/>
    <w:rsid w:val="007F2187"/>
    <w:rsid w:val="007F2272"/>
    <w:rsid w:val="007F2393"/>
    <w:rsid w:val="007F239A"/>
    <w:rsid w:val="007F25F7"/>
    <w:rsid w:val="007F27DE"/>
    <w:rsid w:val="007F28E0"/>
    <w:rsid w:val="007F2B71"/>
    <w:rsid w:val="007F302B"/>
    <w:rsid w:val="007F3104"/>
    <w:rsid w:val="007F338D"/>
    <w:rsid w:val="007F34C4"/>
    <w:rsid w:val="007F3686"/>
    <w:rsid w:val="007F37F4"/>
    <w:rsid w:val="007F3935"/>
    <w:rsid w:val="007F3D40"/>
    <w:rsid w:val="007F3DE8"/>
    <w:rsid w:val="007F41CD"/>
    <w:rsid w:val="007F43EC"/>
    <w:rsid w:val="007F4414"/>
    <w:rsid w:val="007F456D"/>
    <w:rsid w:val="007F4608"/>
    <w:rsid w:val="007F4609"/>
    <w:rsid w:val="007F496D"/>
    <w:rsid w:val="007F4979"/>
    <w:rsid w:val="007F4B0B"/>
    <w:rsid w:val="007F4B4B"/>
    <w:rsid w:val="007F5323"/>
    <w:rsid w:val="007F5338"/>
    <w:rsid w:val="007F5457"/>
    <w:rsid w:val="007F556B"/>
    <w:rsid w:val="007F56D4"/>
    <w:rsid w:val="007F5959"/>
    <w:rsid w:val="007F5A28"/>
    <w:rsid w:val="007F5AB1"/>
    <w:rsid w:val="007F5BF2"/>
    <w:rsid w:val="007F5D8E"/>
    <w:rsid w:val="007F5DE8"/>
    <w:rsid w:val="007F5E1F"/>
    <w:rsid w:val="007F5E28"/>
    <w:rsid w:val="007F5E5F"/>
    <w:rsid w:val="007F6210"/>
    <w:rsid w:val="007F62BA"/>
    <w:rsid w:val="007F649A"/>
    <w:rsid w:val="007F64C8"/>
    <w:rsid w:val="007F6675"/>
    <w:rsid w:val="007F694C"/>
    <w:rsid w:val="007F6D9B"/>
    <w:rsid w:val="007F6E12"/>
    <w:rsid w:val="007F6E22"/>
    <w:rsid w:val="007F70A8"/>
    <w:rsid w:val="007F7269"/>
    <w:rsid w:val="007F770A"/>
    <w:rsid w:val="007F771E"/>
    <w:rsid w:val="007F7971"/>
    <w:rsid w:val="007F7A66"/>
    <w:rsid w:val="007F7BA5"/>
    <w:rsid w:val="007F7C8C"/>
    <w:rsid w:val="007F7EB6"/>
    <w:rsid w:val="007F7FDB"/>
    <w:rsid w:val="007F7FEB"/>
    <w:rsid w:val="00800154"/>
    <w:rsid w:val="00800314"/>
    <w:rsid w:val="00800540"/>
    <w:rsid w:val="0080083F"/>
    <w:rsid w:val="0080093A"/>
    <w:rsid w:val="00800FFB"/>
    <w:rsid w:val="0080102F"/>
    <w:rsid w:val="008014A2"/>
    <w:rsid w:val="00801A78"/>
    <w:rsid w:val="00801AEC"/>
    <w:rsid w:val="00801B6C"/>
    <w:rsid w:val="00801CC0"/>
    <w:rsid w:val="008026BA"/>
    <w:rsid w:val="00802703"/>
    <w:rsid w:val="008029AC"/>
    <w:rsid w:val="00803105"/>
    <w:rsid w:val="008031AF"/>
    <w:rsid w:val="0080328B"/>
    <w:rsid w:val="008032FB"/>
    <w:rsid w:val="008033E6"/>
    <w:rsid w:val="008036E2"/>
    <w:rsid w:val="0080394D"/>
    <w:rsid w:val="00803C63"/>
    <w:rsid w:val="00803E82"/>
    <w:rsid w:val="00804179"/>
    <w:rsid w:val="00804480"/>
    <w:rsid w:val="00804621"/>
    <w:rsid w:val="00804B8A"/>
    <w:rsid w:val="00804D33"/>
    <w:rsid w:val="00804E9D"/>
    <w:rsid w:val="008051D0"/>
    <w:rsid w:val="008053EF"/>
    <w:rsid w:val="008054CF"/>
    <w:rsid w:val="00805651"/>
    <w:rsid w:val="00805B04"/>
    <w:rsid w:val="00805E4E"/>
    <w:rsid w:val="00805EC6"/>
    <w:rsid w:val="0080620A"/>
    <w:rsid w:val="00806286"/>
    <w:rsid w:val="008063A1"/>
    <w:rsid w:val="0080652C"/>
    <w:rsid w:val="00806589"/>
    <w:rsid w:val="00806A1C"/>
    <w:rsid w:val="00806D4F"/>
    <w:rsid w:val="00806E5F"/>
    <w:rsid w:val="00807212"/>
    <w:rsid w:val="00807667"/>
    <w:rsid w:val="00807669"/>
    <w:rsid w:val="00807953"/>
    <w:rsid w:val="00807C74"/>
    <w:rsid w:val="00807E76"/>
    <w:rsid w:val="00807EBF"/>
    <w:rsid w:val="00810100"/>
    <w:rsid w:val="00810299"/>
    <w:rsid w:val="008104B7"/>
    <w:rsid w:val="00810654"/>
    <w:rsid w:val="0081098D"/>
    <w:rsid w:val="00810A7C"/>
    <w:rsid w:val="00810ABF"/>
    <w:rsid w:val="00810C7E"/>
    <w:rsid w:val="00810D8F"/>
    <w:rsid w:val="00810E4D"/>
    <w:rsid w:val="008115BA"/>
    <w:rsid w:val="0081168A"/>
    <w:rsid w:val="00811902"/>
    <w:rsid w:val="00811976"/>
    <w:rsid w:val="00811A5A"/>
    <w:rsid w:val="00811A9A"/>
    <w:rsid w:val="00811E35"/>
    <w:rsid w:val="008121FD"/>
    <w:rsid w:val="00812528"/>
    <w:rsid w:val="00812BD5"/>
    <w:rsid w:val="00812C48"/>
    <w:rsid w:val="00812DEE"/>
    <w:rsid w:val="00812E77"/>
    <w:rsid w:val="0081343A"/>
    <w:rsid w:val="008134F2"/>
    <w:rsid w:val="00813672"/>
    <w:rsid w:val="00813838"/>
    <w:rsid w:val="008138B1"/>
    <w:rsid w:val="00813B12"/>
    <w:rsid w:val="00813BE3"/>
    <w:rsid w:val="00813F91"/>
    <w:rsid w:val="0081400A"/>
    <w:rsid w:val="0081420B"/>
    <w:rsid w:val="00814358"/>
    <w:rsid w:val="00814860"/>
    <w:rsid w:val="008149C8"/>
    <w:rsid w:val="00814B0F"/>
    <w:rsid w:val="00814B92"/>
    <w:rsid w:val="00814E20"/>
    <w:rsid w:val="00814F73"/>
    <w:rsid w:val="0081516D"/>
    <w:rsid w:val="00815491"/>
    <w:rsid w:val="0081550B"/>
    <w:rsid w:val="00815664"/>
    <w:rsid w:val="00815C5C"/>
    <w:rsid w:val="00815CAE"/>
    <w:rsid w:val="00815CB1"/>
    <w:rsid w:val="00815D32"/>
    <w:rsid w:val="00815F16"/>
    <w:rsid w:val="00816240"/>
    <w:rsid w:val="0081689E"/>
    <w:rsid w:val="00816A29"/>
    <w:rsid w:val="00816C02"/>
    <w:rsid w:val="00816C86"/>
    <w:rsid w:val="00816DB8"/>
    <w:rsid w:val="00816E14"/>
    <w:rsid w:val="00816FDE"/>
    <w:rsid w:val="0081738D"/>
    <w:rsid w:val="00817484"/>
    <w:rsid w:val="00817631"/>
    <w:rsid w:val="008176CB"/>
    <w:rsid w:val="00817923"/>
    <w:rsid w:val="00817B5B"/>
    <w:rsid w:val="00817F54"/>
    <w:rsid w:val="00817FAA"/>
    <w:rsid w:val="0082036C"/>
    <w:rsid w:val="008203F2"/>
    <w:rsid w:val="008204C5"/>
    <w:rsid w:val="00820507"/>
    <w:rsid w:val="00820A46"/>
    <w:rsid w:val="00820B79"/>
    <w:rsid w:val="00820C30"/>
    <w:rsid w:val="00820D0C"/>
    <w:rsid w:val="00820D73"/>
    <w:rsid w:val="00820E5B"/>
    <w:rsid w:val="008211D0"/>
    <w:rsid w:val="008211FF"/>
    <w:rsid w:val="00821462"/>
    <w:rsid w:val="008214B7"/>
    <w:rsid w:val="0082173B"/>
    <w:rsid w:val="008217AF"/>
    <w:rsid w:val="00821839"/>
    <w:rsid w:val="0082196B"/>
    <w:rsid w:val="00821AF0"/>
    <w:rsid w:val="00821B39"/>
    <w:rsid w:val="00821BB0"/>
    <w:rsid w:val="00821C24"/>
    <w:rsid w:val="0082201E"/>
    <w:rsid w:val="008223D5"/>
    <w:rsid w:val="0082285E"/>
    <w:rsid w:val="00822BDD"/>
    <w:rsid w:val="00822CAF"/>
    <w:rsid w:val="00822D5B"/>
    <w:rsid w:val="00822DA2"/>
    <w:rsid w:val="00822FAC"/>
    <w:rsid w:val="00823176"/>
    <w:rsid w:val="0082325A"/>
    <w:rsid w:val="00823298"/>
    <w:rsid w:val="00823459"/>
    <w:rsid w:val="0082364F"/>
    <w:rsid w:val="00823875"/>
    <w:rsid w:val="00823A35"/>
    <w:rsid w:val="00823AA2"/>
    <w:rsid w:val="00824175"/>
    <w:rsid w:val="008245FC"/>
    <w:rsid w:val="00824621"/>
    <w:rsid w:val="00824688"/>
    <w:rsid w:val="00824866"/>
    <w:rsid w:val="00824893"/>
    <w:rsid w:val="008248AB"/>
    <w:rsid w:val="008248E3"/>
    <w:rsid w:val="00824DD4"/>
    <w:rsid w:val="00824F7A"/>
    <w:rsid w:val="00825130"/>
    <w:rsid w:val="00825162"/>
    <w:rsid w:val="00825408"/>
    <w:rsid w:val="00825566"/>
    <w:rsid w:val="00825615"/>
    <w:rsid w:val="00825B81"/>
    <w:rsid w:val="00825B96"/>
    <w:rsid w:val="00825E38"/>
    <w:rsid w:val="0082628D"/>
    <w:rsid w:val="0082682C"/>
    <w:rsid w:val="00826AE2"/>
    <w:rsid w:val="00826CF6"/>
    <w:rsid w:val="00826D39"/>
    <w:rsid w:val="00826F0F"/>
    <w:rsid w:val="00826FEA"/>
    <w:rsid w:val="008270B1"/>
    <w:rsid w:val="00827195"/>
    <w:rsid w:val="0082724B"/>
    <w:rsid w:val="00827824"/>
    <w:rsid w:val="00827D46"/>
    <w:rsid w:val="00827E42"/>
    <w:rsid w:val="00827F84"/>
    <w:rsid w:val="00830522"/>
    <w:rsid w:val="0083090A"/>
    <w:rsid w:val="00830B5B"/>
    <w:rsid w:val="00830F6D"/>
    <w:rsid w:val="00830F9F"/>
    <w:rsid w:val="0083106D"/>
    <w:rsid w:val="00831268"/>
    <w:rsid w:val="0083139C"/>
    <w:rsid w:val="008314D4"/>
    <w:rsid w:val="008317FB"/>
    <w:rsid w:val="00831A48"/>
    <w:rsid w:val="00831BA4"/>
    <w:rsid w:val="00831EAC"/>
    <w:rsid w:val="0083201D"/>
    <w:rsid w:val="008320F3"/>
    <w:rsid w:val="00832555"/>
    <w:rsid w:val="00832906"/>
    <w:rsid w:val="00832D76"/>
    <w:rsid w:val="00832D92"/>
    <w:rsid w:val="008332B5"/>
    <w:rsid w:val="008333EB"/>
    <w:rsid w:val="008335C2"/>
    <w:rsid w:val="00833987"/>
    <w:rsid w:val="00833AB5"/>
    <w:rsid w:val="00833DDA"/>
    <w:rsid w:val="00833EF7"/>
    <w:rsid w:val="00833F20"/>
    <w:rsid w:val="00834238"/>
    <w:rsid w:val="008342CC"/>
    <w:rsid w:val="00834402"/>
    <w:rsid w:val="0083478C"/>
    <w:rsid w:val="0083481E"/>
    <w:rsid w:val="00834BD4"/>
    <w:rsid w:val="00834BF1"/>
    <w:rsid w:val="00834D60"/>
    <w:rsid w:val="00835508"/>
    <w:rsid w:val="00835FEF"/>
    <w:rsid w:val="008360C3"/>
    <w:rsid w:val="0083610C"/>
    <w:rsid w:val="0083648E"/>
    <w:rsid w:val="00836891"/>
    <w:rsid w:val="00836E46"/>
    <w:rsid w:val="00836E85"/>
    <w:rsid w:val="0083730C"/>
    <w:rsid w:val="00837318"/>
    <w:rsid w:val="00837333"/>
    <w:rsid w:val="0083735D"/>
    <w:rsid w:val="008373E8"/>
    <w:rsid w:val="0083754B"/>
    <w:rsid w:val="00837632"/>
    <w:rsid w:val="00837A2A"/>
    <w:rsid w:val="00837B3E"/>
    <w:rsid w:val="00837F4A"/>
    <w:rsid w:val="00840004"/>
    <w:rsid w:val="008401C1"/>
    <w:rsid w:val="0084021B"/>
    <w:rsid w:val="00840512"/>
    <w:rsid w:val="008406E7"/>
    <w:rsid w:val="00840895"/>
    <w:rsid w:val="008409ED"/>
    <w:rsid w:val="00840BA7"/>
    <w:rsid w:val="00840F2E"/>
    <w:rsid w:val="00841422"/>
    <w:rsid w:val="00841504"/>
    <w:rsid w:val="00841819"/>
    <w:rsid w:val="00841825"/>
    <w:rsid w:val="008419F9"/>
    <w:rsid w:val="00841BA1"/>
    <w:rsid w:val="00841BEF"/>
    <w:rsid w:val="00841FDA"/>
    <w:rsid w:val="00841FEC"/>
    <w:rsid w:val="0084204E"/>
    <w:rsid w:val="008423C8"/>
    <w:rsid w:val="00842F62"/>
    <w:rsid w:val="00842FCA"/>
    <w:rsid w:val="00843127"/>
    <w:rsid w:val="008431E0"/>
    <w:rsid w:val="008432E1"/>
    <w:rsid w:val="0084346B"/>
    <w:rsid w:val="008434DC"/>
    <w:rsid w:val="00843544"/>
    <w:rsid w:val="00843723"/>
    <w:rsid w:val="00843836"/>
    <w:rsid w:val="00843892"/>
    <w:rsid w:val="00844264"/>
    <w:rsid w:val="0084442E"/>
    <w:rsid w:val="00844457"/>
    <w:rsid w:val="0084453E"/>
    <w:rsid w:val="00844916"/>
    <w:rsid w:val="00844C9A"/>
    <w:rsid w:val="00844CD5"/>
    <w:rsid w:val="00844D4B"/>
    <w:rsid w:val="00844D68"/>
    <w:rsid w:val="00844D7E"/>
    <w:rsid w:val="008452E4"/>
    <w:rsid w:val="008454A8"/>
    <w:rsid w:val="0084569A"/>
    <w:rsid w:val="00845768"/>
    <w:rsid w:val="00845BFC"/>
    <w:rsid w:val="00845D81"/>
    <w:rsid w:val="00845DE2"/>
    <w:rsid w:val="00845E41"/>
    <w:rsid w:val="00845EDA"/>
    <w:rsid w:val="00845F0C"/>
    <w:rsid w:val="00845FC7"/>
    <w:rsid w:val="00846129"/>
    <w:rsid w:val="008463E2"/>
    <w:rsid w:val="00846724"/>
    <w:rsid w:val="0084699A"/>
    <w:rsid w:val="00846E79"/>
    <w:rsid w:val="00847059"/>
    <w:rsid w:val="00847115"/>
    <w:rsid w:val="00847365"/>
    <w:rsid w:val="008473CB"/>
    <w:rsid w:val="00847461"/>
    <w:rsid w:val="00847580"/>
    <w:rsid w:val="008475FC"/>
    <w:rsid w:val="008478C1"/>
    <w:rsid w:val="00847A3F"/>
    <w:rsid w:val="00847C68"/>
    <w:rsid w:val="00847D40"/>
    <w:rsid w:val="00847F3F"/>
    <w:rsid w:val="008502EF"/>
    <w:rsid w:val="0085030A"/>
    <w:rsid w:val="00850374"/>
    <w:rsid w:val="00850571"/>
    <w:rsid w:val="008506EC"/>
    <w:rsid w:val="00850821"/>
    <w:rsid w:val="00850A5F"/>
    <w:rsid w:val="00850B98"/>
    <w:rsid w:val="00850C3A"/>
    <w:rsid w:val="00850DED"/>
    <w:rsid w:val="00850F8E"/>
    <w:rsid w:val="008510FF"/>
    <w:rsid w:val="008511E2"/>
    <w:rsid w:val="008518B6"/>
    <w:rsid w:val="008518D7"/>
    <w:rsid w:val="00851ADE"/>
    <w:rsid w:val="00851BA4"/>
    <w:rsid w:val="00851DEF"/>
    <w:rsid w:val="00851E8F"/>
    <w:rsid w:val="00851F17"/>
    <w:rsid w:val="00851F8F"/>
    <w:rsid w:val="00852168"/>
    <w:rsid w:val="0085265C"/>
    <w:rsid w:val="0085273B"/>
    <w:rsid w:val="008529AC"/>
    <w:rsid w:val="008529C7"/>
    <w:rsid w:val="00852B73"/>
    <w:rsid w:val="00852D1C"/>
    <w:rsid w:val="00852E4A"/>
    <w:rsid w:val="00852FDA"/>
    <w:rsid w:val="00853164"/>
    <w:rsid w:val="00853277"/>
    <w:rsid w:val="00853702"/>
    <w:rsid w:val="00853880"/>
    <w:rsid w:val="00853915"/>
    <w:rsid w:val="0085395D"/>
    <w:rsid w:val="0085395F"/>
    <w:rsid w:val="00853A37"/>
    <w:rsid w:val="00853B95"/>
    <w:rsid w:val="00853F93"/>
    <w:rsid w:val="00854274"/>
    <w:rsid w:val="00854756"/>
    <w:rsid w:val="00854ACD"/>
    <w:rsid w:val="00854CCF"/>
    <w:rsid w:val="00854D19"/>
    <w:rsid w:val="00854FB6"/>
    <w:rsid w:val="008550BB"/>
    <w:rsid w:val="008553C3"/>
    <w:rsid w:val="008556AF"/>
    <w:rsid w:val="00855709"/>
    <w:rsid w:val="008558AF"/>
    <w:rsid w:val="00855E0A"/>
    <w:rsid w:val="00855FAE"/>
    <w:rsid w:val="0085609B"/>
    <w:rsid w:val="0085644F"/>
    <w:rsid w:val="00856488"/>
    <w:rsid w:val="008565F9"/>
    <w:rsid w:val="0085662B"/>
    <w:rsid w:val="008567D4"/>
    <w:rsid w:val="008568B2"/>
    <w:rsid w:val="008568BC"/>
    <w:rsid w:val="00857505"/>
    <w:rsid w:val="008579E1"/>
    <w:rsid w:val="00857C45"/>
    <w:rsid w:val="00857C71"/>
    <w:rsid w:val="00857C76"/>
    <w:rsid w:val="008602A8"/>
    <w:rsid w:val="008605C0"/>
    <w:rsid w:val="0086061D"/>
    <w:rsid w:val="008609E4"/>
    <w:rsid w:val="00860D54"/>
    <w:rsid w:val="00860E65"/>
    <w:rsid w:val="008610C0"/>
    <w:rsid w:val="00861287"/>
    <w:rsid w:val="00861441"/>
    <w:rsid w:val="0086171E"/>
    <w:rsid w:val="00861AC7"/>
    <w:rsid w:val="00861F3D"/>
    <w:rsid w:val="00862207"/>
    <w:rsid w:val="00862366"/>
    <w:rsid w:val="008623E6"/>
    <w:rsid w:val="00862466"/>
    <w:rsid w:val="00862590"/>
    <w:rsid w:val="008625C3"/>
    <w:rsid w:val="008625EB"/>
    <w:rsid w:val="0086277B"/>
    <w:rsid w:val="0086286C"/>
    <w:rsid w:val="00862F8D"/>
    <w:rsid w:val="00863010"/>
    <w:rsid w:val="00863345"/>
    <w:rsid w:val="00863515"/>
    <w:rsid w:val="00863766"/>
    <w:rsid w:val="00863FAE"/>
    <w:rsid w:val="00864020"/>
    <w:rsid w:val="00864343"/>
    <w:rsid w:val="00864451"/>
    <w:rsid w:val="00864BBA"/>
    <w:rsid w:val="00864BD1"/>
    <w:rsid w:val="00864D09"/>
    <w:rsid w:val="008650F4"/>
    <w:rsid w:val="008655B0"/>
    <w:rsid w:val="008657C7"/>
    <w:rsid w:val="008659A2"/>
    <w:rsid w:val="008659FA"/>
    <w:rsid w:val="00865C56"/>
    <w:rsid w:val="00865C5E"/>
    <w:rsid w:val="0086624A"/>
    <w:rsid w:val="008664FA"/>
    <w:rsid w:val="00866816"/>
    <w:rsid w:val="0086689D"/>
    <w:rsid w:val="0086699E"/>
    <w:rsid w:val="00866B69"/>
    <w:rsid w:val="00866C46"/>
    <w:rsid w:val="00866C5A"/>
    <w:rsid w:val="00866D41"/>
    <w:rsid w:val="00867011"/>
    <w:rsid w:val="00867107"/>
    <w:rsid w:val="00867899"/>
    <w:rsid w:val="0086789D"/>
    <w:rsid w:val="00867BCE"/>
    <w:rsid w:val="00867D43"/>
    <w:rsid w:val="008701C4"/>
    <w:rsid w:val="008704F1"/>
    <w:rsid w:val="008704F4"/>
    <w:rsid w:val="0087059B"/>
    <w:rsid w:val="00870658"/>
    <w:rsid w:val="00870AFE"/>
    <w:rsid w:val="00870DE9"/>
    <w:rsid w:val="00870F44"/>
    <w:rsid w:val="00871030"/>
    <w:rsid w:val="00871819"/>
    <w:rsid w:val="0087185D"/>
    <w:rsid w:val="00871869"/>
    <w:rsid w:val="00871AA5"/>
    <w:rsid w:val="00871E1E"/>
    <w:rsid w:val="008720FA"/>
    <w:rsid w:val="00872170"/>
    <w:rsid w:val="0087279E"/>
    <w:rsid w:val="00872C93"/>
    <w:rsid w:val="00872CC5"/>
    <w:rsid w:val="00872E4F"/>
    <w:rsid w:val="008730A5"/>
    <w:rsid w:val="008734D3"/>
    <w:rsid w:val="0087352A"/>
    <w:rsid w:val="00873679"/>
    <w:rsid w:val="0087396D"/>
    <w:rsid w:val="00873B50"/>
    <w:rsid w:val="00873E00"/>
    <w:rsid w:val="00873EE1"/>
    <w:rsid w:val="00873F48"/>
    <w:rsid w:val="008743CB"/>
    <w:rsid w:val="008745F4"/>
    <w:rsid w:val="008745F7"/>
    <w:rsid w:val="00874717"/>
    <w:rsid w:val="008747F9"/>
    <w:rsid w:val="00874C6A"/>
    <w:rsid w:val="00874CEA"/>
    <w:rsid w:val="00874E9C"/>
    <w:rsid w:val="00874F78"/>
    <w:rsid w:val="00875003"/>
    <w:rsid w:val="00875140"/>
    <w:rsid w:val="00875304"/>
    <w:rsid w:val="00875431"/>
    <w:rsid w:val="00875573"/>
    <w:rsid w:val="00875826"/>
    <w:rsid w:val="00875973"/>
    <w:rsid w:val="00875C06"/>
    <w:rsid w:val="00875E1F"/>
    <w:rsid w:val="00875F16"/>
    <w:rsid w:val="00876104"/>
    <w:rsid w:val="00876148"/>
    <w:rsid w:val="008761E2"/>
    <w:rsid w:val="008763FF"/>
    <w:rsid w:val="0087660B"/>
    <w:rsid w:val="00876687"/>
    <w:rsid w:val="008766C2"/>
    <w:rsid w:val="008768C6"/>
    <w:rsid w:val="0087697A"/>
    <w:rsid w:val="00876A88"/>
    <w:rsid w:val="00876B84"/>
    <w:rsid w:val="00877162"/>
    <w:rsid w:val="008775AE"/>
    <w:rsid w:val="008776CE"/>
    <w:rsid w:val="008777FC"/>
    <w:rsid w:val="008778F5"/>
    <w:rsid w:val="0087797D"/>
    <w:rsid w:val="00877AC8"/>
    <w:rsid w:val="00877C48"/>
    <w:rsid w:val="0088001A"/>
    <w:rsid w:val="00880067"/>
    <w:rsid w:val="00880294"/>
    <w:rsid w:val="00880496"/>
    <w:rsid w:val="00880909"/>
    <w:rsid w:val="00880BEC"/>
    <w:rsid w:val="00880C70"/>
    <w:rsid w:val="008812E8"/>
    <w:rsid w:val="00881523"/>
    <w:rsid w:val="0088177C"/>
    <w:rsid w:val="008819D2"/>
    <w:rsid w:val="008819E1"/>
    <w:rsid w:val="00881A96"/>
    <w:rsid w:val="00881B6E"/>
    <w:rsid w:val="00882251"/>
    <w:rsid w:val="0088282F"/>
    <w:rsid w:val="008829F6"/>
    <w:rsid w:val="00882A47"/>
    <w:rsid w:val="00882CED"/>
    <w:rsid w:val="00882E2C"/>
    <w:rsid w:val="00882E7D"/>
    <w:rsid w:val="00882F91"/>
    <w:rsid w:val="00883192"/>
    <w:rsid w:val="008831F3"/>
    <w:rsid w:val="0088324E"/>
    <w:rsid w:val="008833D6"/>
    <w:rsid w:val="008833ED"/>
    <w:rsid w:val="008838C6"/>
    <w:rsid w:val="00883A19"/>
    <w:rsid w:val="00883A5D"/>
    <w:rsid w:val="00883B45"/>
    <w:rsid w:val="00883BA0"/>
    <w:rsid w:val="0088411E"/>
    <w:rsid w:val="00884453"/>
    <w:rsid w:val="008845CD"/>
    <w:rsid w:val="0088468F"/>
    <w:rsid w:val="008848D5"/>
    <w:rsid w:val="00884BD6"/>
    <w:rsid w:val="00884C48"/>
    <w:rsid w:val="00884CF3"/>
    <w:rsid w:val="00884EB3"/>
    <w:rsid w:val="00884EC7"/>
    <w:rsid w:val="00885155"/>
    <w:rsid w:val="008851E3"/>
    <w:rsid w:val="0088526F"/>
    <w:rsid w:val="00885384"/>
    <w:rsid w:val="00885715"/>
    <w:rsid w:val="00885998"/>
    <w:rsid w:val="00885DEC"/>
    <w:rsid w:val="00885F6C"/>
    <w:rsid w:val="00885FC9"/>
    <w:rsid w:val="0088619A"/>
    <w:rsid w:val="008862A4"/>
    <w:rsid w:val="0088633F"/>
    <w:rsid w:val="00886843"/>
    <w:rsid w:val="00886BAD"/>
    <w:rsid w:val="00886E37"/>
    <w:rsid w:val="00886E6D"/>
    <w:rsid w:val="0088701E"/>
    <w:rsid w:val="008871F2"/>
    <w:rsid w:val="00887374"/>
    <w:rsid w:val="008876FA"/>
    <w:rsid w:val="008879E4"/>
    <w:rsid w:val="00887A55"/>
    <w:rsid w:val="00887ED1"/>
    <w:rsid w:val="008901BB"/>
    <w:rsid w:val="0089021A"/>
    <w:rsid w:val="00890287"/>
    <w:rsid w:val="0089076A"/>
    <w:rsid w:val="008909E2"/>
    <w:rsid w:val="00890B51"/>
    <w:rsid w:val="00890F5B"/>
    <w:rsid w:val="00891589"/>
    <w:rsid w:val="0089169A"/>
    <w:rsid w:val="0089173C"/>
    <w:rsid w:val="00891966"/>
    <w:rsid w:val="00891BA6"/>
    <w:rsid w:val="00891BD1"/>
    <w:rsid w:val="00891D5B"/>
    <w:rsid w:val="00891E0E"/>
    <w:rsid w:val="00891F15"/>
    <w:rsid w:val="00891F3C"/>
    <w:rsid w:val="008920EC"/>
    <w:rsid w:val="008921BB"/>
    <w:rsid w:val="00892246"/>
    <w:rsid w:val="0089289D"/>
    <w:rsid w:val="00892C26"/>
    <w:rsid w:val="00892CF9"/>
    <w:rsid w:val="008930EE"/>
    <w:rsid w:val="00893131"/>
    <w:rsid w:val="008933E3"/>
    <w:rsid w:val="008934BD"/>
    <w:rsid w:val="008937D3"/>
    <w:rsid w:val="00893E36"/>
    <w:rsid w:val="00893F5A"/>
    <w:rsid w:val="008940EF"/>
    <w:rsid w:val="008941CC"/>
    <w:rsid w:val="00894348"/>
    <w:rsid w:val="00894427"/>
    <w:rsid w:val="0089468E"/>
    <w:rsid w:val="008947B7"/>
    <w:rsid w:val="00894CF8"/>
    <w:rsid w:val="00894E59"/>
    <w:rsid w:val="00895762"/>
    <w:rsid w:val="008957E5"/>
    <w:rsid w:val="00895820"/>
    <w:rsid w:val="008958A1"/>
    <w:rsid w:val="00895C3E"/>
    <w:rsid w:val="00895C70"/>
    <w:rsid w:val="00895EEE"/>
    <w:rsid w:val="00895FDE"/>
    <w:rsid w:val="00896634"/>
    <w:rsid w:val="00896977"/>
    <w:rsid w:val="00896AE3"/>
    <w:rsid w:val="00896D8B"/>
    <w:rsid w:val="00896EAA"/>
    <w:rsid w:val="0089759C"/>
    <w:rsid w:val="00897B1C"/>
    <w:rsid w:val="00897B86"/>
    <w:rsid w:val="00897BD5"/>
    <w:rsid w:val="00897BF6"/>
    <w:rsid w:val="00897FC6"/>
    <w:rsid w:val="008A004F"/>
    <w:rsid w:val="008A00C3"/>
    <w:rsid w:val="008A0103"/>
    <w:rsid w:val="008A0293"/>
    <w:rsid w:val="008A06D3"/>
    <w:rsid w:val="008A07BA"/>
    <w:rsid w:val="008A09E6"/>
    <w:rsid w:val="008A0A95"/>
    <w:rsid w:val="008A0F9B"/>
    <w:rsid w:val="008A1276"/>
    <w:rsid w:val="008A12C0"/>
    <w:rsid w:val="008A1647"/>
    <w:rsid w:val="008A1A1E"/>
    <w:rsid w:val="008A2023"/>
    <w:rsid w:val="008A2087"/>
    <w:rsid w:val="008A212D"/>
    <w:rsid w:val="008A21D2"/>
    <w:rsid w:val="008A28F5"/>
    <w:rsid w:val="008A29E6"/>
    <w:rsid w:val="008A2C13"/>
    <w:rsid w:val="008A2C9C"/>
    <w:rsid w:val="008A2CBA"/>
    <w:rsid w:val="008A3130"/>
    <w:rsid w:val="008A3167"/>
    <w:rsid w:val="008A3389"/>
    <w:rsid w:val="008A351C"/>
    <w:rsid w:val="008A3561"/>
    <w:rsid w:val="008A360E"/>
    <w:rsid w:val="008A36A3"/>
    <w:rsid w:val="008A36F8"/>
    <w:rsid w:val="008A3ADF"/>
    <w:rsid w:val="008A3BD2"/>
    <w:rsid w:val="008A3C93"/>
    <w:rsid w:val="008A3FE4"/>
    <w:rsid w:val="008A4062"/>
    <w:rsid w:val="008A420E"/>
    <w:rsid w:val="008A427C"/>
    <w:rsid w:val="008A43C3"/>
    <w:rsid w:val="008A4740"/>
    <w:rsid w:val="008A499B"/>
    <w:rsid w:val="008A4C8A"/>
    <w:rsid w:val="008A4EA4"/>
    <w:rsid w:val="008A4FAD"/>
    <w:rsid w:val="008A57A9"/>
    <w:rsid w:val="008A5A15"/>
    <w:rsid w:val="008A5A3B"/>
    <w:rsid w:val="008A5B9C"/>
    <w:rsid w:val="008A5D97"/>
    <w:rsid w:val="008A5DD0"/>
    <w:rsid w:val="008A6A8D"/>
    <w:rsid w:val="008A6AC3"/>
    <w:rsid w:val="008A6EF4"/>
    <w:rsid w:val="008A7282"/>
    <w:rsid w:val="008A75D8"/>
    <w:rsid w:val="008A7682"/>
    <w:rsid w:val="008A76F7"/>
    <w:rsid w:val="008A7707"/>
    <w:rsid w:val="008A776D"/>
    <w:rsid w:val="008A77C8"/>
    <w:rsid w:val="008A78F5"/>
    <w:rsid w:val="008A79BE"/>
    <w:rsid w:val="008A79D5"/>
    <w:rsid w:val="008A7C7D"/>
    <w:rsid w:val="008B022C"/>
    <w:rsid w:val="008B0461"/>
    <w:rsid w:val="008B05C1"/>
    <w:rsid w:val="008B06AB"/>
    <w:rsid w:val="008B0956"/>
    <w:rsid w:val="008B09DC"/>
    <w:rsid w:val="008B0A88"/>
    <w:rsid w:val="008B0BDF"/>
    <w:rsid w:val="008B0DCE"/>
    <w:rsid w:val="008B0E00"/>
    <w:rsid w:val="008B0E2B"/>
    <w:rsid w:val="008B0FC4"/>
    <w:rsid w:val="008B105D"/>
    <w:rsid w:val="008B113F"/>
    <w:rsid w:val="008B117F"/>
    <w:rsid w:val="008B12EF"/>
    <w:rsid w:val="008B1396"/>
    <w:rsid w:val="008B1501"/>
    <w:rsid w:val="008B16B3"/>
    <w:rsid w:val="008B16CC"/>
    <w:rsid w:val="008B1D8C"/>
    <w:rsid w:val="008B1F1A"/>
    <w:rsid w:val="008B1FBA"/>
    <w:rsid w:val="008B2278"/>
    <w:rsid w:val="008B2662"/>
    <w:rsid w:val="008B2719"/>
    <w:rsid w:val="008B2781"/>
    <w:rsid w:val="008B28B7"/>
    <w:rsid w:val="008B2A90"/>
    <w:rsid w:val="008B2C6F"/>
    <w:rsid w:val="008B2F69"/>
    <w:rsid w:val="008B300F"/>
    <w:rsid w:val="008B3297"/>
    <w:rsid w:val="008B3298"/>
    <w:rsid w:val="008B375E"/>
    <w:rsid w:val="008B39BF"/>
    <w:rsid w:val="008B39C1"/>
    <w:rsid w:val="008B3A57"/>
    <w:rsid w:val="008B3C4D"/>
    <w:rsid w:val="008B3D20"/>
    <w:rsid w:val="008B40FB"/>
    <w:rsid w:val="008B4160"/>
    <w:rsid w:val="008B421E"/>
    <w:rsid w:val="008B438C"/>
    <w:rsid w:val="008B44A4"/>
    <w:rsid w:val="008B4991"/>
    <w:rsid w:val="008B4A3F"/>
    <w:rsid w:val="008B4DFE"/>
    <w:rsid w:val="008B51E2"/>
    <w:rsid w:val="008B5225"/>
    <w:rsid w:val="008B53DA"/>
    <w:rsid w:val="008B5482"/>
    <w:rsid w:val="008B58A5"/>
    <w:rsid w:val="008B59BC"/>
    <w:rsid w:val="008B5DC0"/>
    <w:rsid w:val="008B5F10"/>
    <w:rsid w:val="008B62BC"/>
    <w:rsid w:val="008B639D"/>
    <w:rsid w:val="008B67B3"/>
    <w:rsid w:val="008B6882"/>
    <w:rsid w:val="008B69CA"/>
    <w:rsid w:val="008B6A47"/>
    <w:rsid w:val="008B6C41"/>
    <w:rsid w:val="008B6CBD"/>
    <w:rsid w:val="008B6CC4"/>
    <w:rsid w:val="008B6D63"/>
    <w:rsid w:val="008B6E19"/>
    <w:rsid w:val="008B7073"/>
    <w:rsid w:val="008B714B"/>
    <w:rsid w:val="008B7225"/>
    <w:rsid w:val="008B72FA"/>
    <w:rsid w:val="008B76E3"/>
    <w:rsid w:val="008B77B8"/>
    <w:rsid w:val="008B7A77"/>
    <w:rsid w:val="008B7B37"/>
    <w:rsid w:val="008B7DF6"/>
    <w:rsid w:val="008B7F23"/>
    <w:rsid w:val="008B7F60"/>
    <w:rsid w:val="008C0442"/>
    <w:rsid w:val="008C0816"/>
    <w:rsid w:val="008C0B26"/>
    <w:rsid w:val="008C1873"/>
    <w:rsid w:val="008C187F"/>
    <w:rsid w:val="008C1CF1"/>
    <w:rsid w:val="008C1DA7"/>
    <w:rsid w:val="008C217F"/>
    <w:rsid w:val="008C29F6"/>
    <w:rsid w:val="008C2B67"/>
    <w:rsid w:val="008C2C2E"/>
    <w:rsid w:val="008C2CCA"/>
    <w:rsid w:val="008C2D53"/>
    <w:rsid w:val="008C2E61"/>
    <w:rsid w:val="008C333A"/>
    <w:rsid w:val="008C38BF"/>
    <w:rsid w:val="008C39BB"/>
    <w:rsid w:val="008C3B50"/>
    <w:rsid w:val="008C3CF9"/>
    <w:rsid w:val="008C3DEC"/>
    <w:rsid w:val="008C40A9"/>
    <w:rsid w:val="008C4163"/>
    <w:rsid w:val="008C4345"/>
    <w:rsid w:val="008C4558"/>
    <w:rsid w:val="008C4703"/>
    <w:rsid w:val="008C4777"/>
    <w:rsid w:val="008C4B53"/>
    <w:rsid w:val="008C4D9A"/>
    <w:rsid w:val="008C532E"/>
    <w:rsid w:val="008C5598"/>
    <w:rsid w:val="008C5713"/>
    <w:rsid w:val="008C578C"/>
    <w:rsid w:val="008C58AE"/>
    <w:rsid w:val="008C5CDC"/>
    <w:rsid w:val="008C63E1"/>
    <w:rsid w:val="008C63F2"/>
    <w:rsid w:val="008C642B"/>
    <w:rsid w:val="008C67A5"/>
    <w:rsid w:val="008C68F3"/>
    <w:rsid w:val="008C69CE"/>
    <w:rsid w:val="008C6E03"/>
    <w:rsid w:val="008C73D8"/>
    <w:rsid w:val="008C7430"/>
    <w:rsid w:val="008C76D4"/>
    <w:rsid w:val="008C76F2"/>
    <w:rsid w:val="008C7804"/>
    <w:rsid w:val="008C7A7C"/>
    <w:rsid w:val="008C7B11"/>
    <w:rsid w:val="008C7D7D"/>
    <w:rsid w:val="008C7E47"/>
    <w:rsid w:val="008C7EC6"/>
    <w:rsid w:val="008C7EF7"/>
    <w:rsid w:val="008C7EF9"/>
    <w:rsid w:val="008D01A9"/>
    <w:rsid w:val="008D0663"/>
    <w:rsid w:val="008D0736"/>
    <w:rsid w:val="008D0927"/>
    <w:rsid w:val="008D09BB"/>
    <w:rsid w:val="008D0AA1"/>
    <w:rsid w:val="008D0AB5"/>
    <w:rsid w:val="008D0D10"/>
    <w:rsid w:val="008D0D94"/>
    <w:rsid w:val="008D0EEA"/>
    <w:rsid w:val="008D1448"/>
    <w:rsid w:val="008D163C"/>
    <w:rsid w:val="008D16AB"/>
    <w:rsid w:val="008D181E"/>
    <w:rsid w:val="008D18DD"/>
    <w:rsid w:val="008D1F24"/>
    <w:rsid w:val="008D1FAC"/>
    <w:rsid w:val="008D23A7"/>
    <w:rsid w:val="008D253D"/>
    <w:rsid w:val="008D254B"/>
    <w:rsid w:val="008D2696"/>
    <w:rsid w:val="008D283A"/>
    <w:rsid w:val="008D2BAC"/>
    <w:rsid w:val="008D2C52"/>
    <w:rsid w:val="008D3327"/>
    <w:rsid w:val="008D343E"/>
    <w:rsid w:val="008D41A7"/>
    <w:rsid w:val="008D449F"/>
    <w:rsid w:val="008D4587"/>
    <w:rsid w:val="008D47A1"/>
    <w:rsid w:val="008D47DB"/>
    <w:rsid w:val="008D4863"/>
    <w:rsid w:val="008D4A03"/>
    <w:rsid w:val="008D4A7B"/>
    <w:rsid w:val="008D4B98"/>
    <w:rsid w:val="008D503A"/>
    <w:rsid w:val="008D5044"/>
    <w:rsid w:val="008D542B"/>
    <w:rsid w:val="008D5ABB"/>
    <w:rsid w:val="008D5BE6"/>
    <w:rsid w:val="008D5DF1"/>
    <w:rsid w:val="008D644E"/>
    <w:rsid w:val="008D6831"/>
    <w:rsid w:val="008D6861"/>
    <w:rsid w:val="008D6AF8"/>
    <w:rsid w:val="008D6C9F"/>
    <w:rsid w:val="008D6EC3"/>
    <w:rsid w:val="008D6F42"/>
    <w:rsid w:val="008D6FB0"/>
    <w:rsid w:val="008D7A21"/>
    <w:rsid w:val="008D7AD1"/>
    <w:rsid w:val="008D7B07"/>
    <w:rsid w:val="008D7BB1"/>
    <w:rsid w:val="008D7C69"/>
    <w:rsid w:val="008D7D84"/>
    <w:rsid w:val="008D7F12"/>
    <w:rsid w:val="008E017A"/>
    <w:rsid w:val="008E04AD"/>
    <w:rsid w:val="008E057C"/>
    <w:rsid w:val="008E07CC"/>
    <w:rsid w:val="008E0B25"/>
    <w:rsid w:val="008E151E"/>
    <w:rsid w:val="008E16F1"/>
    <w:rsid w:val="008E16FC"/>
    <w:rsid w:val="008E17CF"/>
    <w:rsid w:val="008E1852"/>
    <w:rsid w:val="008E1865"/>
    <w:rsid w:val="008E19E0"/>
    <w:rsid w:val="008E1A7C"/>
    <w:rsid w:val="008E1ED5"/>
    <w:rsid w:val="008E2548"/>
    <w:rsid w:val="008E2553"/>
    <w:rsid w:val="008E2BDB"/>
    <w:rsid w:val="008E3111"/>
    <w:rsid w:val="008E3464"/>
    <w:rsid w:val="008E36A9"/>
    <w:rsid w:val="008E38E0"/>
    <w:rsid w:val="008E3A41"/>
    <w:rsid w:val="008E3BD8"/>
    <w:rsid w:val="008E3D31"/>
    <w:rsid w:val="008E40D8"/>
    <w:rsid w:val="008E4230"/>
    <w:rsid w:val="008E4239"/>
    <w:rsid w:val="008E453B"/>
    <w:rsid w:val="008E460A"/>
    <w:rsid w:val="008E46B8"/>
    <w:rsid w:val="008E46DB"/>
    <w:rsid w:val="008E4A0E"/>
    <w:rsid w:val="008E4ACE"/>
    <w:rsid w:val="008E5141"/>
    <w:rsid w:val="008E5767"/>
    <w:rsid w:val="008E5815"/>
    <w:rsid w:val="008E589E"/>
    <w:rsid w:val="008E5955"/>
    <w:rsid w:val="008E5A0F"/>
    <w:rsid w:val="008E5C2C"/>
    <w:rsid w:val="008E5C4C"/>
    <w:rsid w:val="008E60AA"/>
    <w:rsid w:val="008E60B9"/>
    <w:rsid w:val="008E60BF"/>
    <w:rsid w:val="008E6241"/>
    <w:rsid w:val="008E640D"/>
    <w:rsid w:val="008E648D"/>
    <w:rsid w:val="008E68C4"/>
    <w:rsid w:val="008E6B4D"/>
    <w:rsid w:val="008E6DB6"/>
    <w:rsid w:val="008E6E75"/>
    <w:rsid w:val="008E7061"/>
    <w:rsid w:val="008E70F9"/>
    <w:rsid w:val="008E740D"/>
    <w:rsid w:val="008E752C"/>
    <w:rsid w:val="008E75D1"/>
    <w:rsid w:val="008E77C6"/>
    <w:rsid w:val="008E77E3"/>
    <w:rsid w:val="008E786B"/>
    <w:rsid w:val="008E7990"/>
    <w:rsid w:val="008E79CA"/>
    <w:rsid w:val="008E7D13"/>
    <w:rsid w:val="008E7DB3"/>
    <w:rsid w:val="008F040D"/>
    <w:rsid w:val="008F0421"/>
    <w:rsid w:val="008F0747"/>
    <w:rsid w:val="008F095D"/>
    <w:rsid w:val="008F0A18"/>
    <w:rsid w:val="008F0E1F"/>
    <w:rsid w:val="008F0E3B"/>
    <w:rsid w:val="008F12B4"/>
    <w:rsid w:val="008F13C1"/>
    <w:rsid w:val="008F15DF"/>
    <w:rsid w:val="008F173D"/>
    <w:rsid w:val="008F1758"/>
    <w:rsid w:val="008F1968"/>
    <w:rsid w:val="008F1980"/>
    <w:rsid w:val="008F1B61"/>
    <w:rsid w:val="008F1C7F"/>
    <w:rsid w:val="008F1EDE"/>
    <w:rsid w:val="008F2105"/>
    <w:rsid w:val="008F2151"/>
    <w:rsid w:val="008F26C1"/>
    <w:rsid w:val="008F2A92"/>
    <w:rsid w:val="008F3269"/>
    <w:rsid w:val="008F332B"/>
    <w:rsid w:val="008F333E"/>
    <w:rsid w:val="008F36A2"/>
    <w:rsid w:val="008F3780"/>
    <w:rsid w:val="008F3B1E"/>
    <w:rsid w:val="008F3C04"/>
    <w:rsid w:val="008F3CBE"/>
    <w:rsid w:val="008F3D3E"/>
    <w:rsid w:val="008F4070"/>
    <w:rsid w:val="008F4F63"/>
    <w:rsid w:val="008F503B"/>
    <w:rsid w:val="008F512E"/>
    <w:rsid w:val="008F5394"/>
    <w:rsid w:val="008F549B"/>
    <w:rsid w:val="008F5578"/>
    <w:rsid w:val="008F573C"/>
    <w:rsid w:val="008F5882"/>
    <w:rsid w:val="008F5B7D"/>
    <w:rsid w:val="008F5D64"/>
    <w:rsid w:val="008F5E50"/>
    <w:rsid w:val="008F5EC9"/>
    <w:rsid w:val="008F643D"/>
    <w:rsid w:val="008F660B"/>
    <w:rsid w:val="008F6748"/>
    <w:rsid w:val="008F67AE"/>
    <w:rsid w:val="008F6858"/>
    <w:rsid w:val="008F6912"/>
    <w:rsid w:val="008F6C1D"/>
    <w:rsid w:val="008F6DEA"/>
    <w:rsid w:val="008F6EC5"/>
    <w:rsid w:val="008F70D6"/>
    <w:rsid w:val="008F7405"/>
    <w:rsid w:val="008F7490"/>
    <w:rsid w:val="008F7900"/>
    <w:rsid w:val="008F79EC"/>
    <w:rsid w:val="008F7A51"/>
    <w:rsid w:val="00900351"/>
    <w:rsid w:val="009004F0"/>
    <w:rsid w:val="00900836"/>
    <w:rsid w:val="00900953"/>
    <w:rsid w:val="009009C5"/>
    <w:rsid w:val="009009D8"/>
    <w:rsid w:val="009009F6"/>
    <w:rsid w:val="00900E58"/>
    <w:rsid w:val="00900FD4"/>
    <w:rsid w:val="009010DE"/>
    <w:rsid w:val="0090117F"/>
    <w:rsid w:val="0090149A"/>
    <w:rsid w:val="009017D0"/>
    <w:rsid w:val="0090182C"/>
    <w:rsid w:val="009018A2"/>
    <w:rsid w:val="00901919"/>
    <w:rsid w:val="0090193F"/>
    <w:rsid w:val="0090199A"/>
    <w:rsid w:val="00901C5C"/>
    <w:rsid w:val="00901C9C"/>
    <w:rsid w:val="00901F6E"/>
    <w:rsid w:val="0090215F"/>
    <w:rsid w:val="009023A9"/>
    <w:rsid w:val="00902442"/>
    <w:rsid w:val="009026B9"/>
    <w:rsid w:val="00902BDA"/>
    <w:rsid w:val="00902CF4"/>
    <w:rsid w:val="00902D02"/>
    <w:rsid w:val="00902EDF"/>
    <w:rsid w:val="0090303D"/>
    <w:rsid w:val="00903190"/>
    <w:rsid w:val="0090322D"/>
    <w:rsid w:val="00903467"/>
    <w:rsid w:val="0090352E"/>
    <w:rsid w:val="00903817"/>
    <w:rsid w:val="00903D05"/>
    <w:rsid w:val="00903E6C"/>
    <w:rsid w:val="009040BE"/>
    <w:rsid w:val="009043A1"/>
    <w:rsid w:val="0090448F"/>
    <w:rsid w:val="009044EF"/>
    <w:rsid w:val="00904A95"/>
    <w:rsid w:val="00904BE9"/>
    <w:rsid w:val="00905255"/>
    <w:rsid w:val="00905364"/>
    <w:rsid w:val="009053BE"/>
    <w:rsid w:val="009055D8"/>
    <w:rsid w:val="0090567C"/>
    <w:rsid w:val="00905921"/>
    <w:rsid w:val="0090599C"/>
    <w:rsid w:val="00905DF9"/>
    <w:rsid w:val="00905F69"/>
    <w:rsid w:val="009068A7"/>
    <w:rsid w:val="009068B3"/>
    <w:rsid w:val="00906C17"/>
    <w:rsid w:val="00907162"/>
    <w:rsid w:val="00907180"/>
    <w:rsid w:val="009075CE"/>
    <w:rsid w:val="009076B6"/>
    <w:rsid w:val="009076ED"/>
    <w:rsid w:val="0090798A"/>
    <w:rsid w:val="0090798B"/>
    <w:rsid w:val="00907AF7"/>
    <w:rsid w:val="00907C87"/>
    <w:rsid w:val="00907D32"/>
    <w:rsid w:val="00907E4D"/>
    <w:rsid w:val="0091022E"/>
    <w:rsid w:val="0091079A"/>
    <w:rsid w:val="00910CD7"/>
    <w:rsid w:val="00910F94"/>
    <w:rsid w:val="00911690"/>
    <w:rsid w:val="009116B9"/>
    <w:rsid w:val="00911C7A"/>
    <w:rsid w:val="00911CD6"/>
    <w:rsid w:val="00911D37"/>
    <w:rsid w:val="00911DC1"/>
    <w:rsid w:val="00911EF6"/>
    <w:rsid w:val="0091216B"/>
    <w:rsid w:val="00912395"/>
    <w:rsid w:val="009124DA"/>
    <w:rsid w:val="00912576"/>
    <w:rsid w:val="00912831"/>
    <w:rsid w:val="009128A4"/>
    <w:rsid w:val="00912915"/>
    <w:rsid w:val="00912F0F"/>
    <w:rsid w:val="00912FEC"/>
    <w:rsid w:val="00912FF8"/>
    <w:rsid w:val="00913324"/>
    <w:rsid w:val="00913331"/>
    <w:rsid w:val="00913415"/>
    <w:rsid w:val="0091353D"/>
    <w:rsid w:val="0091361F"/>
    <w:rsid w:val="009136F1"/>
    <w:rsid w:val="00913AEB"/>
    <w:rsid w:val="009141C7"/>
    <w:rsid w:val="00914261"/>
    <w:rsid w:val="00914519"/>
    <w:rsid w:val="0091468C"/>
    <w:rsid w:val="009148BF"/>
    <w:rsid w:val="0091491F"/>
    <w:rsid w:val="009149DD"/>
    <w:rsid w:val="00914BE2"/>
    <w:rsid w:val="00914D3C"/>
    <w:rsid w:val="00914DAE"/>
    <w:rsid w:val="00914EA4"/>
    <w:rsid w:val="00914EB0"/>
    <w:rsid w:val="00915B28"/>
    <w:rsid w:val="00915D3C"/>
    <w:rsid w:val="00915FF1"/>
    <w:rsid w:val="00916636"/>
    <w:rsid w:val="009168FD"/>
    <w:rsid w:val="00916F72"/>
    <w:rsid w:val="0091706A"/>
    <w:rsid w:val="009173A3"/>
    <w:rsid w:val="009173EA"/>
    <w:rsid w:val="0091775D"/>
    <w:rsid w:val="009178DB"/>
    <w:rsid w:val="00917A07"/>
    <w:rsid w:val="00917A33"/>
    <w:rsid w:val="00917E09"/>
    <w:rsid w:val="00917E4B"/>
    <w:rsid w:val="00920446"/>
    <w:rsid w:val="009207C9"/>
    <w:rsid w:val="00920847"/>
    <w:rsid w:val="00920CAD"/>
    <w:rsid w:val="00920DBF"/>
    <w:rsid w:val="00920E28"/>
    <w:rsid w:val="00920ECC"/>
    <w:rsid w:val="009212A0"/>
    <w:rsid w:val="009213A6"/>
    <w:rsid w:val="00921490"/>
    <w:rsid w:val="009216A9"/>
    <w:rsid w:val="00921897"/>
    <w:rsid w:val="009218A5"/>
    <w:rsid w:val="00921C99"/>
    <w:rsid w:val="00921E08"/>
    <w:rsid w:val="00921EA4"/>
    <w:rsid w:val="00921ECD"/>
    <w:rsid w:val="0092214F"/>
    <w:rsid w:val="009226A6"/>
    <w:rsid w:val="00922A92"/>
    <w:rsid w:val="00922AEC"/>
    <w:rsid w:val="00922D6C"/>
    <w:rsid w:val="00922EE7"/>
    <w:rsid w:val="009230D5"/>
    <w:rsid w:val="0092357B"/>
    <w:rsid w:val="00923871"/>
    <w:rsid w:val="009238E7"/>
    <w:rsid w:val="00923CFD"/>
    <w:rsid w:val="00923E62"/>
    <w:rsid w:val="00923FA3"/>
    <w:rsid w:val="009241BC"/>
    <w:rsid w:val="009241EE"/>
    <w:rsid w:val="0092452E"/>
    <w:rsid w:val="00924562"/>
    <w:rsid w:val="0092471F"/>
    <w:rsid w:val="00924768"/>
    <w:rsid w:val="009249F4"/>
    <w:rsid w:val="00924C72"/>
    <w:rsid w:val="00924FA2"/>
    <w:rsid w:val="00924FE6"/>
    <w:rsid w:val="00925041"/>
    <w:rsid w:val="00925137"/>
    <w:rsid w:val="009253BC"/>
    <w:rsid w:val="0092541D"/>
    <w:rsid w:val="00926713"/>
    <w:rsid w:val="00926929"/>
    <w:rsid w:val="00926CA1"/>
    <w:rsid w:val="009273C0"/>
    <w:rsid w:val="00927578"/>
    <w:rsid w:val="009275CA"/>
    <w:rsid w:val="009277DA"/>
    <w:rsid w:val="0092782E"/>
    <w:rsid w:val="00927A55"/>
    <w:rsid w:val="00927BB7"/>
    <w:rsid w:val="00927DEF"/>
    <w:rsid w:val="00927DFF"/>
    <w:rsid w:val="009304AD"/>
    <w:rsid w:val="009307F1"/>
    <w:rsid w:val="0093094E"/>
    <w:rsid w:val="009309AA"/>
    <w:rsid w:val="00930AC6"/>
    <w:rsid w:val="00930F88"/>
    <w:rsid w:val="009312D0"/>
    <w:rsid w:val="009314DE"/>
    <w:rsid w:val="00931716"/>
    <w:rsid w:val="00931801"/>
    <w:rsid w:val="009319C0"/>
    <w:rsid w:val="00931C29"/>
    <w:rsid w:val="00931CA2"/>
    <w:rsid w:val="00931D7E"/>
    <w:rsid w:val="00931EFD"/>
    <w:rsid w:val="00932111"/>
    <w:rsid w:val="009321F3"/>
    <w:rsid w:val="009322D8"/>
    <w:rsid w:val="00932355"/>
    <w:rsid w:val="00932370"/>
    <w:rsid w:val="00932790"/>
    <w:rsid w:val="00932AFA"/>
    <w:rsid w:val="00932B19"/>
    <w:rsid w:val="00932CE1"/>
    <w:rsid w:val="00933033"/>
    <w:rsid w:val="00933034"/>
    <w:rsid w:val="009331BC"/>
    <w:rsid w:val="009337D6"/>
    <w:rsid w:val="0093399B"/>
    <w:rsid w:val="009339DF"/>
    <w:rsid w:val="00933A7D"/>
    <w:rsid w:val="00933A9D"/>
    <w:rsid w:val="00933BE4"/>
    <w:rsid w:val="00933C04"/>
    <w:rsid w:val="00933CEA"/>
    <w:rsid w:val="00933EF2"/>
    <w:rsid w:val="00933EFD"/>
    <w:rsid w:val="00934123"/>
    <w:rsid w:val="00934224"/>
    <w:rsid w:val="00934422"/>
    <w:rsid w:val="00934424"/>
    <w:rsid w:val="009344F4"/>
    <w:rsid w:val="0093456E"/>
    <w:rsid w:val="00934871"/>
    <w:rsid w:val="00934887"/>
    <w:rsid w:val="0093489A"/>
    <w:rsid w:val="00934A2D"/>
    <w:rsid w:val="00934BE8"/>
    <w:rsid w:val="00934DA0"/>
    <w:rsid w:val="00934DC3"/>
    <w:rsid w:val="0093509B"/>
    <w:rsid w:val="0093522E"/>
    <w:rsid w:val="00935357"/>
    <w:rsid w:val="00935464"/>
    <w:rsid w:val="009356C5"/>
    <w:rsid w:val="00935845"/>
    <w:rsid w:val="00935E10"/>
    <w:rsid w:val="00935E24"/>
    <w:rsid w:val="00936408"/>
    <w:rsid w:val="00936478"/>
    <w:rsid w:val="00936852"/>
    <w:rsid w:val="0093685E"/>
    <w:rsid w:val="00936979"/>
    <w:rsid w:val="00936AB1"/>
    <w:rsid w:val="00936BFC"/>
    <w:rsid w:val="00936C34"/>
    <w:rsid w:val="00936DDA"/>
    <w:rsid w:val="009372DC"/>
    <w:rsid w:val="00937393"/>
    <w:rsid w:val="009376F0"/>
    <w:rsid w:val="00937884"/>
    <w:rsid w:val="00937AA6"/>
    <w:rsid w:val="00937D0B"/>
    <w:rsid w:val="00937D62"/>
    <w:rsid w:val="00937DD9"/>
    <w:rsid w:val="00940033"/>
    <w:rsid w:val="00940468"/>
    <w:rsid w:val="00940546"/>
    <w:rsid w:val="00940923"/>
    <w:rsid w:val="00940AD6"/>
    <w:rsid w:val="00940DFE"/>
    <w:rsid w:val="00940EC9"/>
    <w:rsid w:val="00940F72"/>
    <w:rsid w:val="0094104F"/>
    <w:rsid w:val="009411CA"/>
    <w:rsid w:val="009412E2"/>
    <w:rsid w:val="009413E6"/>
    <w:rsid w:val="00941D10"/>
    <w:rsid w:val="00941DA2"/>
    <w:rsid w:val="00941EA2"/>
    <w:rsid w:val="00942071"/>
    <w:rsid w:val="009420D4"/>
    <w:rsid w:val="00942158"/>
    <w:rsid w:val="00942444"/>
    <w:rsid w:val="00942471"/>
    <w:rsid w:val="009425F5"/>
    <w:rsid w:val="00942846"/>
    <w:rsid w:val="00942A23"/>
    <w:rsid w:val="00942C51"/>
    <w:rsid w:val="0094307C"/>
    <w:rsid w:val="00943098"/>
    <w:rsid w:val="00943192"/>
    <w:rsid w:val="009438AD"/>
    <w:rsid w:val="00943A11"/>
    <w:rsid w:val="00943A49"/>
    <w:rsid w:val="00943B90"/>
    <w:rsid w:val="00943D21"/>
    <w:rsid w:val="00943E32"/>
    <w:rsid w:val="00944110"/>
    <w:rsid w:val="00944199"/>
    <w:rsid w:val="009443E6"/>
    <w:rsid w:val="0094447C"/>
    <w:rsid w:val="0094450C"/>
    <w:rsid w:val="009446D2"/>
    <w:rsid w:val="00944A75"/>
    <w:rsid w:val="00944C67"/>
    <w:rsid w:val="00944D0E"/>
    <w:rsid w:val="0094507D"/>
    <w:rsid w:val="00945403"/>
    <w:rsid w:val="00945585"/>
    <w:rsid w:val="00945789"/>
    <w:rsid w:val="009458D6"/>
    <w:rsid w:val="00945A85"/>
    <w:rsid w:val="009460D7"/>
    <w:rsid w:val="0094631B"/>
    <w:rsid w:val="00946375"/>
    <w:rsid w:val="009463BE"/>
    <w:rsid w:val="009465A1"/>
    <w:rsid w:val="0094671C"/>
    <w:rsid w:val="0094675F"/>
    <w:rsid w:val="009467EA"/>
    <w:rsid w:val="00946BE1"/>
    <w:rsid w:val="00946F85"/>
    <w:rsid w:val="00947189"/>
    <w:rsid w:val="009471A7"/>
    <w:rsid w:val="009471DB"/>
    <w:rsid w:val="00947258"/>
    <w:rsid w:val="00947324"/>
    <w:rsid w:val="00947559"/>
    <w:rsid w:val="00947785"/>
    <w:rsid w:val="00947867"/>
    <w:rsid w:val="009478EE"/>
    <w:rsid w:val="00947A8E"/>
    <w:rsid w:val="00947D80"/>
    <w:rsid w:val="00947F7D"/>
    <w:rsid w:val="00950154"/>
    <w:rsid w:val="009504F5"/>
    <w:rsid w:val="0095072A"/>
    <w:rsid w:val="00950B0C"/>
    <w:rsid w:val="00950C01"/>
    <w:rsid w:val="00950ECA"/>
    <w:rsid w:val="00950EF3"/>
    <w:rsid w:val="00951125"/>
    <w:rsid w:val="00951452"/>
    <w:rsid w:val="0095157F"/>
    <w:rsid w:val="00951DDE"/>
    <w:rsid w:val="00951E31"/>
    <w:rsid w:val="00951F30"/>
    <w:rsid w:val="0095217B"/>
    <w:rsid w:val="009522CE"/>
    <w:rsid w:val="0095242C"/>
    <w:rsid w:val="00952695"/>
    <w:rsid w:val="00952939"/>
    <w:rsid w:val="00952B86"/>
    <w:rsid w:val="00952BD4"/>
    <w:rsid w:val="00952C49"/>
    <w:rsid w:val="00952E7E"/>
    <w:rsid w:val="00952FEF"/>
    <w:rsid w:val="0095316D"/>
    <w:rsid w:val="0095331F"/>
    <w:rsid w:val="009534AF"/>
    <w:rsid w:val="00953686"/>
    <w:rsid w:val="00953846"/>
    <w:rsid w:val="0095391D"/>
    <w:rsid w:val="0095406B"/>
    <w:rsid w:val="0095406C"/>
    <w:rsid w:val="009541B4"/>
    <w:rsid w:val="009541EE"/>
    <w:rsid w:val="00954476"/>
    <w:rsid w:val="009544C4"/>
    <w:rsid w:val="00954BE8"/>
    <w:rsid w:val="00954C61"/>
    <w:rsid w:val="00954E79"/>
    <w:rsid w:val="00955039"/>
    <w:rsid w:val="00955105"/>
    <w:rsid w:val="0095522D"/>
    <w:rsid w:val="009552F7"/>
    <w:rsid w:val="009555DE"/>
    <w:rsid w:val="0095564A"/>
    <w:rsid w:val="00955685"/>
    <w:rsid w:val="0095571C"/>
    <w:rsid w:val="009558E9"/>
    <w:rsid w:val="009559AA"/>
    <w:rsid w:val="009559F7"/>
    <w:rsid w:val="00955CE4"/>
    <w:rsid w:val="00955D60"/>
    <w:rsid w:val="00955D89"/>
    <w:rsid w:val="009560FF"/>
    <w:rsid w:val="009561A6"/>
    <w:rsid w:val="00956712"/>
    <w:rsid w:val="009567A1"/>
    <w:rsid w:val="00956914"/>
    <w:rsid w:val="00956937"/>
    <w:rsid w:val="00956A67"/>
    <w:rsid w:val="00956E5D"/>
    <w:rsid w:val="00956EB2"/>
    <w:rsid w:val="00957972"/>
    <w:rsid w:val="00957D9E"/>
    <w:rsid w:val="00957FC3"/>
    <w:rsid w:val="00960122"/>
    <w:rsid w:val="00960356"/>
    <w:rsid w:val="0096081B"/>
    <w:rsid w:val="009608D7"/>
    <w:rsid w:val="0096099A"/>
    <w:rsid w:val="009609E4"/>
    <w:rsid w:val="00960A60"/>
    <w:rsid w:val="00960C65"/>
    <w:rsid w:val="00960EB1"/>
    <w:rsid w:val="00961087"/>
    <w:rsid w:val="0096121A"/>
    <w:rsid w:val="00961269"/>
    <w:rsid w:val="009612C5"/>
    <w:rsid w:val="009614AD"/>
    <w:rsid w:val="009615B0"/>
    <w:rsid w:val="009615F5"/>
    <w:rsid w:val="00961B47"/>
    <w:rsid w:val="00961CE4"/>
    <w:rsid w:val="009623D6"/>
    <w:rsid w:val="009623DA"/>
    <w:rsid w:val="00962410"/>
    <w:rsid w:val="009625EC"/>
    <w:rsid w:val="0096265E"/>
    <w:rsid w:val="0096268C"/>
    <w:rsid w:val="00962966"/>
    <w:rsid w:val="00962996"/>
    <w:rsid w:val="00962C02"/>
    <w:rsid w:val="00962D79"/>
    <w:rsid w:val="00962E5B"/>
    <w:rsid w:val="00963271"/>
    <w:rsid w:val="0096369A"/>
    <w:rsid w:val="009637F8"/>
    <w:rsid w:val="009639AC"/>
    <w:rsid w:val="00963BEE"/>
    <w:rsid w:val="00963DC3"/>
    <w:rsid w:val="00963E2E"/>
    <w:rsid w:val="00963E58"/>
    <w:rsid w:val="00964376"/>
    <w:rsid w:val="00964676"/>
    <w:rsid w:val="009646CA"/>
    <w:rsid w:val="00964709"/>
    <w:rsid w:val="0096470F"/>
    <w:rsid w:val="0096491A"/>
    <w:rsid w:val="00964BF3"/>
    <w:rsid w:val="00964F77"/>
    <w:rsid w:val="0096500C"/>
    <w:rsid w:val="009650A6"/>
    <w:rsid w:val="009650D4"/>
    <w:rsid w:val="00965204"/>
    <w:rsid w:val="00965612"/>
    <w:rsid w:val="00965774"/>
    <w:rsid w:val="00965A06"/>
    <w:rsid w:val="00965FEF"/>
    <w:rsid w:val="0096643D"/>
    <w:rsid w:val="009668E4"/>
    <w:rsid w:val="00966A22"/>
    <w:rsid w:val="00966B13"/>
    <w:rsid w:val="00966CD4"/>
    <w:rsid w:val="00966DCA"/>
    <w:rsid w:val="0096703C"/>
    <w:rsid w:val="009671AA"/>
    <w:rsid w:val="00967A67"/>
    <w:rsid w:val="00967C3D"/>
    <w:rsid w:val="00967FCA"/>
    <w:rsid w:val="009700EC"/>
    <w:rsid w:val="00970228"/>
    <w:rsid w:val="00970279"/>
    <w:rsid w:val="00970300"/>
    <w:rsid w:val="009704D4"/>
    <w:rsid w:val="00970512"/>
    <w:rsid w:val="0097060D"/>
    <w:rsid w:val="009707ED"/>
    <w:rsid w:val="00970847"/>
    <w:rsid w:val="0097112B"/>
    <w:rsid w:val="009711FD"/>
    <w:rsid w:val="0097121B"/>
    <w:rsid w:val="00971687"/>
    <w:rsid w:val="009716E9"/>
    <w:rsid w:val="00971C5B"/>
    <w:rsid w:val="00971CC9"/>
    <w:rsid w:val="00971D71"/>
    <w:rsid w:val="0097212B"/>
    <w:rsid w:val="00972561"/>
    <w:rsid w:val="00972667"/>
    <w:rsid w:val="009731A2"/>
    <w:rsid w:val="009731B2"/>
    <w:rsid w:val="0097330E"/>
    <w:rsid w:val="0097334B"/>
    <w:rsid w:val="009738B6"/>
    <w:rsid w:val="00973B3E"/>
    <w:rsid w:val="00973B9B"/>
    <w:rsid w:val="00973C14"/>
    <w:rsid w:val="00973CFD"/>
    <w:rsid w:val="00973F87"/>
    <w:rsid w:val="0097413A"/>
    <w:rsid w:val="00974485"/>
    <w:rsid w:val="00974544"/>
    <w:rsid w:val="00974E21"/>
    <w:rsid w:val="00974E35"/>
    <w:rsid w:val="00974FE0"/>
    <w:rsid w:val="00975068"/>
    <w:rsid w:val="00975156"/>
    <w:rsid w:val="00975184"/>
    <w:rsid w:val="009753C6"/>
    <w:rsid w:val="009756FC"/>
    <w:rsid w:val="00975814"/>
    <w:rsid w:val="00975959"/>
    <w:rsid w:val="00975BE4"/>
    <w:rsid w:val="00975D60"/>
    <w:rsid w:val="00975E3B"/>
    <w:rsid w:val="00975FDC"/>
    <w:rsid w:val="009761F5"/>
    <w:rsid w:val="009762AD"/>
    <w:rsid w:val="00976383"/>
    <w:rsid w:val="009763C6"/>
    <w:rsid w:val="009764DA"/>
    <w:rsid w:val="009766D8"/>
    <w:rsid w:val="009769FE"/>
    <w:rsid w:val="00976AEA"/>
    <w:rsid w:val="00976E4E"/>
    <w:rsid w:val="0097738A"/>
    <w:rsid w:val="0097759E"/>
    <w:rsid w:val="009776A4"/>
    <w:rsid w:val="00977A7B"/>
    <w:rsid w:val="00977C84"/>
    <w:rsid w:val="00977F1E"/>
    <w:rsid w:val="00977F30"/>
    <w:rsid w:val="00977F41"/>
    <w:rsid w:val="00980222"/>
    <w:rsid w:val="009809E9"/>
    <w:rsid w:val="00980B0C"/>
    <w:rsid w:val="00980C65"/>
    <w:rsid w:val="00980E5A"/>
    <w:rsid w:val="00981098"/>
    <w:rsid w:val="009810A3"/>
    <w:rsid w:val="00981110"/>
    <w:rsid w:val="0098121D"/>
    <w:rsid w:val="009812DA"/>
    <w:rsid w:val="00981451"/>
    <w:rsid w:val="0098148F"/>
    <w:rsid w:val="00981C4D"/>
    <w:rsid w:val="00981F0E"/>
    <w:rsid w:val="00981FF6"/>
    <w:rsid w:val="00982065"/>
    <w:rsid w:val="00982077"/>
    <w:rsid w:val="0098282A"/>
    <w:rsid w:val="00982A4F"/>
    <w:rsid w:val="0098347B"/>
    <w:rsid w:val="00983A28"/>
    <w:rsid w:val="00983DCD"/>
    <w:rsid w:val="00983F4B"/>
    <w:rsid w:val="00983FFA"/>
    <w:rsid w:val="0098401F"/>
    <w:rsid w:val="00984F00"/>
    <w:rsid w:val="00984F62"/>
    <w:rsid w:val="009853A7"/>
    <w:rsid w:val="00985608"/>
    <w:rsid w:val="00985619"/>
    <w:rsid w:val="0098577A"/>
    <w:rsid w:val="00985914"/>
    <w:rsid w:val="00985A27"/>
    <w:rsid w:val="00985A85"/>
    <w:rsid w:val="00985D67"/>
    <w:rsid w:val="00985F02"/>
    <w:rsid w:val="009861B9"/>
    <w:rsid w:val="00986451"/>
    <w:rsid w:val="0098723B"/>
    <w:rsid w:val="00987427"/>
    <w:rsid w:val="009876C8"/>
    <w:rsid w:val="00987C1F"/>
    <w:rsid w:val="00987D6F"/>
    <w:rsid w:val="00990144"/>
    <w:rsid w:val="00990165"/>
    <w:rsid w:val="0099031A"/>
    <w:rsid w:val="00990331"/>
    <w:rsid w:val="009904EF"/>
    <w:rsid w:val="00990577"/>
    <w:rsid w:val="00990845"/>
    <w:rsid w:val="00990AAF"/>
    <w:rsid w:val="00990C3D"/>
    <w:rsid w:val="00990C72"/>
    <w:rsid w:val="00990E04"/>
    <w:rsid w:val="00990E3C"/>
    <w:rsid w:val="00990EFE"/>
    <w:rsid w:val="00991210"/>
    <w:rsid w:val="00991238"/>
    <w:rsid w:val="0099150C"/>
    <w:rsid w:val="009915CA"/>
    <w:rsid w:val="00991612"/>
    <w:rsid w:val="00991629"/>
    <w:rsid w:val="009919AA"/>
    <w:rsid w:val="00991CDE"/>
    <w:rsid w:val="00991D86"/>
    <w:rsid w:val="0099204E"/>
    <w:rsid w:val="00992238"/>
    <w:rsid w:val="009923C7"/>
    <w:rsid w:val="009923D4"/>
    <w:rsid w:val="009923DA"/>
    <w:rsid w:val="009927E4"/>
    <w:rsid w:val="00992942"/>
    <w:rsid w:val="00992B07"/>
    <w:rsid w:val="00992C17"/>
    <w:rsid w:val="00992C5B"/>
    <w:rsid w:val="00993320"/>
    <w:rsid w:val="009935A1"/>
    <w:rsid w:val="009936BA"/>
    <w:rsid w:val="009938F6"/>
    <w:rsid w:val="00993AF0"/>
    <w:rsid w:val="00993BD6"/>
    <w:rsid w:val="00993F7D"/>
    <w:rsid w:val="009949B4"/>
    <w:rsid w:val="00994BFB"/>
    <w:rsid w:val="00994CDC"/>
    <w:rsid w:val="00994F5C"/>
    <w:rsid w:val="00994F6D"/>
    <w:rsid w:val="00995059"/>
    <w:rsid w:val="0099506D"/>
    <w:rsid w:val="00995568"/>
    <w:rsid w:val="00995895"/>
    <w:rsid w:val="009959AA"/>
    <w:rsid w:val="009959B5"/>
    <w:rsid w:val="00995E57"/>
    <w:rsid w:val="00995F06"/>
    <w:rsid w:val="00995F12"/>
    <w:rsid w:val="0099611D"/>
    <w:rsid w:val="0099624E"/>
    <w:rsid w:val="00996501"/>
    <w:rsid w:val="00996B3C"/>
    <w:rsid w:val="00996C18"/>
    <w:rsid w:val="00996EDC"/>
    <w:rsid w:val="00997038"/>
    <w:rsid w:val="00997131"/>
    <w:rsid w:val="00997281"/>
    <w:rsid w:val="009974D5"/>
    <w:rsid w:val="0099756E"/>
    <w:rsid w:val="00997C87"/>
    <w:rsid w:val="00997F67"/>
    <w:rsid w:val="009A000B"/>
    <w:rsid w:val="009A02F7"/>
    <w:rsid w:val="009A0777"/>
    <w:rsid w:val="009A0DC9"/>
    <w:rsid w:val="009A0FD6"/>
    <w:rsid w:val="009A150B"/>
    <w:rsid w:val="009A15E3"/>
    <w:rsid w:val="009A1621"/>
    <w:rsid w:val="009A1666"/>
    <w:rsid w:val="009A16A9"/>
    <w:rsid w:val="009A1A78"/>
    <w:rsid w:val="009A1B4F"/>
    <w:rsid w:val="009A1CD9"/>
    <w:rsid w:val="009A206B"/>
    <w:rsid w:val="009A222B"/>
    <w:rsid w:val="009A2239"/>
    <w:rsid w:val="009A2335"/>
    <w:rsid w:val="009A292F"/>
    <w:rsid w:val="009A297D"/>
    <w:rsid w:val="009A29AB"/>
    <w:rsid w:val="009A29CA"/>
    <w:rsid w:val="009A2C04"/>
    <w:rsid w:val="009A2C3B"/>
    <w:rsid w:val="009A2F8D"/>
    <w:rsid w:val="009A2FAA"/>
    <w:rsid w:val="009A319F"/>
    <w:rsid w:val="009A39EC"/>
    <w:rsid w:val="009A3A13"/>
    <w:rsid w:val="009A3FBF"/>
    <w:rsid w:val="009A40D5"/>
    <w:rsid w:val="009A4344"/>
    <w:rsid w:val="009A4360"/>
    <w:rsid w:val="009A4435"/>
    <w:rsid w:val="009A4476"/>
    <w:rsid w:val="009A4491"/>
    <w:rsid w:val="009A489F"/>
    <w:rsid w:val="009A4AA8"/>
    <w:rsid w:val="009A4C14"/>
    <w:rsid w:val="009A4C82"/>
    <w:rsid w:val="009A4C99"/>
    <w:rsid w:val="009A4F80"/>
    <w:rsid w:val="009A4FCC"/>
    <w:rsid w:val="009A4FFF"/>
    <w:rsid w:val="009A52C6"/>
    <w:rsid w:val="009A5432"/>
    <w:rsid w:val="009A543A"/>
    <w:rsid w:val="009A54FE"/>
    <w:rsid w:val="009A570F"/>
    <w:rsid w:val="009A5A5C"/>
    <w:rsid w:val="009A5AC3"/>
    <w:rsid w:val="009A5EC2"/>
    <w:rsid w:val="009A5F28"/>
    <w:rsid w:val="009A6161"/>
    <w:rsid w:val="009A675D"/>
    <w:rsid w:val="009A68E6"/>
    <w:rsid w:val="009A69A1"/>
    <w:rsid w:val="009A6D93"/>
    <w:rsid w:val="009A70CB"/>
    <w:rsid w:val="009A7222"/>
    <w:rsid w:val="009A7253"/>
    <w:rsid w:val="009A73B5"/>
    <w:rsid w:val="009A73B9"/>
    <w:rsid w:val="009A7F9C"/>
    <w:rsid w:val="009B0D14"/>
    <w:rsid w:val="009B10B2"/>
    <w:rsid w:val="009B10B6"/>
    <w:rsid w:val="009B134A"/>
    <w:rsid w:val="009B1623"/>
    <w:rsid w:val="009B1D87"/>
    <w:rsid w:val="009B1E1D"/>
    <w:rsid w:val="009B1E89"/>
    <w:rsid w:val="009B2051"/>
    <w:rsid w:val="009B2059"/>
    <w:rsid w:val="009B206D"/>
    <w:rsid w:val="009B2445"/>
    <w:rsid w:val="009B277A"/>
    <w:rsid w:val="009B296C"/>
    <w:rsid w:val="009B2BDC"/>
    <w:rsid w:val="009B2D3E"/>
    <w:rsid w:val="009B3308"/>
    <w:rsid w:val="009B3340"/>
    <w:rsid w:val="009B3459"/>
    <w:rsid w:val="009B3902"/>
    <w:rsid w:val="009B3AA5"/>
    <w:rsid w:val="009B3DF3"/>
    <w:rsid w:val="009B43A3"/>
    <w:rsid w:val="009B4A57"/>
    <w:rsid w:val="009B5264"/>
    <w:rsid w:val="009B5369"/>
    <w:rsid w:val="009B53E2"/>
    <w:rsid w:val="009B54F1"/>
    <w:rsid w:val="009B556B"/>
    <w:rsid w:val="009B5BC1"/>
    <w:rsid w:val="009B6144"/>
    <w:rsid w:val="009B61ED"/>
    <w:rsid w:val="009B6254"/>
    <w:rsid w:val="009B62C7"/>
    <w:rsid w:val="009B6344"/>
    <w:rsid w:val="009B63F6"/>
    <w:rsid w:val="009B64B2"/>
    <w:rsid w:val="009B6527"/>
    <w:rsid w:val="009B66E1"/>
    <w:rsid w:val="009B6756"/>
    <w:rsid w:val="009B6B98"/>
    <w:rsid w:val="009B6C89"/>
    <w:rsid w:val="009B6D4A"/>
    <w:rsid w:val="009B6F6F"/>
    <w:rsid w:val="009B704D"/>
    <w:rsid w:val="009B7061"/>
    <w:rsid w:val="009B7135"/>
    <w:rsid w:val="009B73C3"/>
    <w:rsid w:val="009C0032"/>
    <w:rsid w:val="009C0122"/>
    <w:rsid w:val="009C016E"/>
    <w:rsid w:val="009C0323"/>
    <w:rsid w:val="009C041E"/>
    <w:rsid w:val="009C0689"/>
    <w:rsid w:val="009C073A"/>
    <w:rsid w:val="009C077C"/>
    <w:rsid w:val="009C0B90"/>
    <w:rsid w:val="009C0FA1"/>
    <w:rsid w:val="009C12AE"/>
    <w:rsid w:val="009C12C7"/>
    <w:rsid w:val="009C1462"/>
    <w:rsid w:val="009C14FC"/>
    <w:rsid w:val="009C17CE"/>
    <w:rsid w:val="009C18AC"/>
    <w:rsid w:val="009C1BD6"/>
    <w:rsid w:val="009C1C68"/>
    <w:rsid w:val="009C1D41"/>
    <w:rsid w:val="009C1FD9"/>
    <w:rsid w:val="009C2204"/>
    <w:rsid w:val="009C2250"/>
    <w:rsid w:val="009C2398"/>
    <w:rsid w:val="009C25A4"/>
    <w:rsid w:val="009C2A9F"/>
    <w:rsid w:val="009C348B"/>
    <w:rsid w:val="009C3537"/>
    <w:rsid w:val="009C359E"/>
    <w:rsid w:val="009C3AC0"/>
    <w:rsid w:val="009C3D78"/>
    <w:rsid w:val="009C3E70"/>
    <w:rsid w:val="009C3E96"/>
    <w:rsid w:val="009C402A"/>
    <w:rsid w:val="009C422F"/>
    <w:rsid w:val="009C43A4"/>
    <w:rsid w:val="009C4737"/>
    <w:rsid w:val="009C4760"/>
    <w:rsid w:val="009C484E"/>
    <w:rsid w:val="009C4D99"/>
    <w:rsid w:val="009C4F9B"/>
    <w:rsid w:val="009C50B2"/>
    <w:rsid w:val="009C539A"/>
    <w:rsid w:val="009C5434"/>
    <w:rsid w:val="009C5557"/>
    <w:rsid w:val="009C5710"/>
    <w:rsid w:val="009C5804"/>
    <w:rsid w:val="009C5987"/>
    <w:rsid w:val="009C5AC9"/>
    <w:rsid w:val="009C5AE4"/>
    <w:rsid w:val="009C5EDF"/>
    <w:rsid w:val="009C6270"/>
    <w:rsid w:val="009C6333"/>
    <w:rsid w:val="009C635B"/>
    <w:rsid w:val="009C66C2"/>
    <w:rsid w:val="009C68E0"/>
    <w:rsid w:val="009C6A91"/>
    <w:rsid w:val="009C6BC4"/>
    <w:rsid w:val="009C6BDF"/>
    <w:rsid w:val="009C6C6B"/>
    <w:rsid w:val="009C6DBB"/>
    <w:rsid w:val="009C6F49"/>
    <w:rsid w:val="009C702A"/>
    <w:rsid w:val="009C7059"/>
    <w:rsid w:val="009C7100"/>
    <w:rsid w:val="009C719D"/>
    <w:rsid w:val="009C7426"/>
    <w:rsid w:val="009C753D"/>
    <w:rsid w:val="009C760F"/>
    <w:rsid w:val="009C7C28"/>
    <w:rsid w:val="009D039C"/>
    <w:rsid w:val="009D097F"/>
    <w:rsid w:val="009D0BB8"/>
    <w:rsid w:val="009D0F1A"/>
    <w:rsid w:val="009D102D"/>
    <w:rsid w:val="009D11AD"/>
    <w:rsid w:val="009D13A7"/>
    <w:rsid w:val="009D13D5"/>
    <w:rsid w:val="009D1A06"/>
    <w:rsid w:val="009D1C17"/>
    <w:rsid w:val="009D1F8A"/>
    <w:rsid w:val="009D219F"/>
    <w:rsid w:val="009D2227"/>
    <w:rsid w:val="009D2274"/>
    <w:rsid w:val="009D235E"/>
    <w:rsid w:val="009D2414"/>
    <w:rsid w:val="009D28C5"/>
    <w:rsid w:val="009D2A2B"/>
    <w:rsid w:val="009D2D75"/>
    <w:rsid w:val="009D3139"/>
    <w:rsid w:val="009D35F0"/>
    <w:rsid w:val="009D361A"/>
    <w:rsid w:val="009D3980"/>
    <w:rsid w:val="009D3D4B"/>
    <w:rsid w:val="009D3DB0"/>
    <w:rsid w:val="009D40D9"/>
    <w:rsid w:val="009D4398"/>
    <w:rsid w:val="009D4432"/>
    <w:rsid w:val="009D450C"/>
    <w:rsid w:val="009D4611"/>
    <w:rsid w:val="009D4704"/>
    <w:rsid w:val="009D49F2"/>
    <w:rsid w:val="009D4BA8"/>
    <w:rsid w:val="009D4D1E"/>
    <w:rsid w:val="009D5C10"/>
    <w:rsid w:val="009D5CD5"/>
    <w:rsid w:val="009D5FA8"/>
    <w:rsid w:val="009D605B"/>
    <w:rsid w:val="009D60BD"/>
    <w:rsid w:val="009D61F7"/>
    <w:rsid w:val="009D6259"/>
    <w:rsid w:val="009D62D8"/>
    <w:rsid w:val="009D655F"/>
    <w:rsid w:val="009D67AD"/>
    <w:rsid w:val="009D69F3"/>
    <w:rsid w:val="009D6BB7"/>
    <w:rsid w:val="009D6C45"/>
    <w:rsid w:val="009D6CB9"/>
    <w:rsid w:val="009D6FAE"/>
    <w:rsid w:val="009D6FD6"/>
    <w:rsid w:val="009D700F"/>
    <w:rsid w:val="009D705A"/>
    <w:rsid w:val="009D714C"/>
    <w:rsid w:val="009D7252"/>
    <w:rsid w:val="009D74D3"/>
    <w:rsid w:val="009D7612"/>
    <w:rsid w:val="009D7724"/>
    <w:rsid w:val="009D77CD"/>
    <w:rsid w:val="009D7D99"/>
    <w:rsid w:val="009D7D9E"/>
    <w:rsid w:val="009E0337"/>
    <w:rsid w:val="009E0501"/>
    <w:rsid w:val="009E0541"/>
    <w:rsid w:val="009E05D1"/>
    <w:rsid w:val="009E05E8"/>
    <w:rsid w:val="009E0D39"/>
    <w:rsid w:val="009E0E19"/>
    <w:rsid w:val="009E0F19"/>
    <w:rsid w:val="009E16E5"/>
    <w:rsid w:val="009E1727"/>
    <w:rsid w:val="009E17F0"/>
    <w:rsid w:val="009E1824"/>
    <w:rsid w:val="009E1A4E"/>
    <w:rsid w:val="009E1C23"/>
    <w:rsid w:val="009E1E8A"/>
    <w:rsid w:val="009E22A2"/>
    <w:rsid w:val="009E248E"/>
    <w:rsid w:val="009E2699"/>
    <w:rsid w:val="009E294E"/>
    <w:rsid w:val="009E2C41"/>
    <w:rsid w:val="009E2E58"/>
    <w:rsid w:val="009E2F72"/>
    <w:rsid w:val="009E3D08"/>
    <w:rsid w:val="009E3EEF"/>
    <w:rsid w:val="009E4063"/>
    <w:rsid w:val="009E41F5"/>
    <w:rsid w:val="009E429D"/>
    <w:rsid w:val="009E471B"/>
    <w:rsid w:val="009E47EC"/>
    <w:rsid w:val="009E48BC"/>
    <w:rsid w:val="009E4A5E"/>
    <w:rsid w:val="009E4DDD"/>
    <w:rsid w:val="009E5006"/>
    <w:rsid w:val="009E5211"/>
    <w:rsid w:val="009E5268"/>
    <w:rsid w:val="009E5281"/>
    <w:rsid w:val="009E529A"/>
    <w:rsid w:val="009E52DA"/>
    <w:rsid w:val="009E539E"/>
    <w:rsid w:val="009E55CE"/>
    <w:rsid w:val="009E56C6"/>
    <w:rsid w:val="009E5B49"/>
    <w:rsid w:val="009E5E58"/>
    <w:rsid w:val="009E5FB2"/>
    <w:rsid w:val="009E602C"/>
    <w:rsid w:val="009E61EB"/>
    <w:rsid w:val="009E6759"/>
    <w:rsid w:val="009E6C43"/>
    <w:rsid w:val="009E6C55"/>
    <w:rsid w:val="009E6D47"/>
    <w:rsid w:val="009E6E1E"/>
    <w:rsid w:val="009E72CA"/>
    <w:rsid w:val="009E7723"/>
    <w:rsid w:val="009E783B"/>
    <w:rsid w:val="009E7B69"/>
    <w:rsid w:val="009E7BF7"/>
    <w:rsid w:val="009E7EA0"/>
    <w:rsid w:val="009E7FA8"/>
    <w:rsid w:val="009F0074"/>
    <w:rsid w:val="009F0549"/>
    <w:rsid w:val="009F0627"/>
    <w:rsid w:val="009F0744"/>
    <w:rsid w:val="009F0777"/>
    <w:rsid w:val="009F07BB"/>
    <w:rsid w:val="009F0E27"/>
    <w:rsid w:val="009F116B"/>
    <w:rsid w:val="009F1813"/>
    <w:rsid w:val="009F18C9"/>
    <w:rsid w:val="009F1B13"/>
    <w:rsid w:val="009F1B6A"/>
    <w:rsid w:val="009F1BF7"/>
    <w:rsid w:val="009F1C24"/>
    <w:rsid w:val="009F214C"/>
    <w:rsid w:val="009F22E9"/>
    <w:rsid w:val="009F26AD"/>
    <w:rsid w:val="009F28BB"/>
    <w:rsid w:val="009F2AE3"/>
    <w:rsid w:val="009F2DB4"/>
    <w:rsid w:val="009F2FEF"/>
    <w:rsid w:val="009F3064"/>
    <w:rsid w:val="009F3457"/>
    <w:rsid w:val="009F3D23"/>
    <w:rsid w:val="009F3E15"/>
    <w:rsid w:val="009F3EF0"/>
    <w:rsid w:val="009F4076"/>
    <w:rsid w:val="009F4237"/>
    <w:rsid w:val="009F423D"/>
    <w:rsid w:val="009F43BD"/>
    <w:rsid w:val="009F44EB"/>
    <w:rsid w:val="009F462D"/>
    <w:rsid w:val="009F4631"/>
    <w:rsid w:val="009F464B"/>
    <w:rsid w:val="009F4777"/>
    <w:rsid w:val="009F49C5"/>
    <w:rsid w:val="009F4CAB"/>
    <w:rsid w:val="009F4E49"/>
    <w:rsid w:val="009F4F72"/>
    <w:rsid w:val="009F5049"/>
    <w:rsid w:val="009F51FD"/>
    <w:rsid w:val="009F5489"/>
    <w:rsid w:val="009F5519"/>
    <w:rsid w:val="009F5650"/>
    <w:rsid w:val="009F5831"/>
    <w:rsid w:val="009F58B2"/>
    <w:rsid w:val="009F5C28"/>
    <w:rsid w:val="009F5D86"/>
    <w:rsid w:val="009F5F57"/>
    <w:rsid w:val="009F6453"/>
    <w:rsid w:val="009F65FC"/>
    <w:rsid w:val="009F689E"/>
    <w:rsid w:val="009F6AAF"/>
    <w:rsid w:val="009F6AB1"/>
    <w:rsid w:val="009F6AF7"/>
    <w:rsid w:val="009F6D32"/>
    <w:rsid w:val="009F6D76"/>
    <w:rsid w:val="009F718C"/>
    <w:rsid w:val="009F71C1"/>
    <w:rsid w:val="009F744E"/>
    <w:rsid w:val="009F7507"/>
    <w:rsid w:val="009F7652"/>
    <w:rsid w:val="009F77D9"/>
    <w:rsid w:val="009F7AAE"/>
    <w:rsid w:val="009F7C75"/>
    <w:rsid w:val="009F7CB9"/>
    <w:rsid w:val="009F7CD0"/>
    <w:rsid w:val="009F7EC5"/>
    <w:rsid w:val="009F7FC0"/>
    <w:rsid w:val="00A0002E"/>
    <w:rsid w:val="00A00153"/>
    <w:rsid w:val="00A001F0"/>
    <w:rsid w:val="00A001FE"/>
    <w:rsid w:val="00A002E1"/>
    <w:rsid w:val="00A002E2"/>
    <w:rsid w:val="00A003A7"/>
    <w:rsid w:val="00A004DE"/>
    <w:rsid w:val="00A008DE"/>
    <w:rsid w:val="00A01073"/>
    <w:rsid w:val="00A0113B"/>
    <w:rsid w:val="00A011D7"/>
    <w:rsid w:val="00A0144A"/>
    <w:rsid w:val="00A01859"/>
    <w:rsid w:val="00A018AF"/>
    <w:rsid w:val="00A018D8"/>
    <w:rsid w:val="00A019F4"/>
    <w:rsid w:val="00A01B4E"/>
    <w:rsid w:val="00A01CC9"/>
    <w:rsid w:val="00A0206D"/>
    <w:rsid w:val="00A0209E"/>
    <w:rsid w:val="00A022C1"/>
    <w:rsid w:val="00A023F9"/>
    <w:rsid w:val="00A025E8"/>
    <w:rsid w:val="00A02602"/>
    <w:rsid w:val="00A029D8"/>
    <w:rsid w:val="00A02A52"/>
    <w:rsid w:val="00A02BF4"/>
    <w:rsid w:val="00A02D3A"/>
    <w:rsid w:val="00A033DB"/>
    <w:rsid w:val="00A034C9"/>
    <w:rsid w:val="00A03602"/>
    <w:rsid w:val="00A03645"/>
    <w:rsid w:val="00A03DF2"/>
    <w:rsid w:val="00A041DA"/>
    <w:rsid w:val="00A04264"/>
    <w:rsid w:val="00A04350"/>
    <w:rsid w:val="00A04757"/>
    <w:rsid w:val="00A049E8"/>
    <w:rsid w:val="00A054A7"/>
    <w:rsid w:val="00A059EB"/>
    <w:rsid w:val="00A05AFD"/>
    <w:rsid w:val="00A05FAF"/>
    <w:rsid w:val="00A06334"/>
    <w:rsid w:val="00A0641D"/>
    <w:rsid w:val="00A06763"/>
    <w:rsid w:val="00A06AC9"/>
    <w:rsid w:val="00A06F3E"/>
    <w:rsid w:val="00A073EB"/>
    <w:rsid w:val="00A074FF"/>
    <w:rsid w:val="00A07766"/>
    <w:rsid w:val="00A077A3"/>
    <w:rsid w:val="00A07A9A"/>
    <w:rsid w:val="00A100AB"/>
    <w:rsid w:val="00A101A0"/>
    <w:rsid w:val="00A103FC"/>
    <w:rsid w:val="00A103FF"/>
    <w:rsid w:val="00A10499"/>
    <w:rsid w:val="00A104F2"/>
    <w:rsid w:val="00A10A4F"/>
    <w:rsid w:val="00A11A09"/>
    <w:rsid w:val="00A11A61"/>
    <w:rsid w:val="00A11AB9"/>
    <w:rsid w:val="00A122DC"/>
    <w:rsid w:val="00A1252B"/>
    <w:rsid w:val="00A1271D"/>
    <w:rsid w:val="00A127E4"/>
    <w:rsid w:val="00A12CBE"/>
    <w:rsid w:val="00A12CCE"/>
    <w:rsid w:val="00A12F11"/>
    <w:rsid w:val="00A132D4"/>
    <w:rsid w:val="00A13536"/>
    <w:rsid w:val="00A136D9"/>
    <w:rsid w:val="00A13BC5"/>
    <w:rsid w:val="00A13D5C"/>
    <w:rsid w:val="00A13D6A"/>
    <w:rsid w:val="00A1405D"/>
    <w:rsid w:val="00A141BD"/>
    <w:rsid w:val="00A141C2"/>
    <w:rsid w:val="00A145BD"/>
    <w:rsid w:val="00A146AC"/>
    <w:rsid w:val="00A14AA3"/>
    <w:rsid w:val="00A14ACF"/>
    <w:rsid w:val="00A14FFF"/>
    <w:rsid w:val="00A15325"/>
    <w:rsid w:val="00A158C1"/>
    <w:rsid w:val="00A1597F"/>
    <w:rsid w:val="00A15B4A"/>
    <w:rsid w:val="00A15D29"/>
    <w:rsid w:val="00A16073"/>
    <w:rsid w:val="00A160F7"/>
    <w:rsid w:val="00A16233"/>
    <w:rsid w:val="00A164E0"/>
    <w:rsid w:val="00A16BC0"/>
    <w:rsid w:val="00A16C9A"/>
    <w:rsid w:val="00A16EC0"/>
    <w:rsid w:val="00A16ECB"/>
    <w:rsid w:val="00A17048"/>
    <w:rsid w:val="00A17051"/>
    <w:rsid w:val="00A1764B"/>
    <w:rsid w:val="00A177D6"/>
    <w:rsid w:val="00A177D7"/>
    <w:rsid w:val="00A179D0"/>
    <w:rsid w:val="00A17EB6"/>
    <w:rsid w:val="00A2023C"/>
    <w:rsid w:val="00A2091B"/>
    <w:rsid w:val="00A20948"/>
    <w:rsid w:val="00A209C9"/>
    <w:rsid w:val="00A209FD"/>
    <w:rsid w:val="00A20A86"/>
    <w:rsid w:val="00A20E0B"/>
    <w:rsid w:val="00A21299"/>
    <w:rsid w:val="00A21318"/>
    <w:rsid w:val="00A21721"/>
    <w:rsid w:val="00A21944"/>
    <w:rsid w:val="00A21D44"/>
    <w:rsid w:val="00A21F83"/>
    <w:rsid w:val="00A222B7"/>
    <w:rsid w:val="00A2233F"/>
    <w:rsid w:val="00A22371"/>
    <w:rsid w:val="00A223CB"/>
    <w:rsid w:val="00A2248C"/>
    <w:rsid w:val="00A226CA"/>
    <w:rsid w:val="00A22D42"/>
    <w:rsid w:val="00A22DE1"/>
    <w:rsid w:val="00A23233"/>
    <w:rsid w:val="00A238AE"/>
    <w:rsid w:val="00A23A8B"/>
    <w:rsid w:val="00A23B98"/>
    <w:rsid w:val="00A23BA6"/>
    <w:rsid w:val="00A23E2A"/>
    <w:rsid w:val="00A23E71"/>
    <w:rsid w:val="00A24212"/>
    <w:rsid w:val="00A24753"/>
    <w:rsid w:val="00A247CC"/>
    <w:rsid w:val="00A248B3"/>
    <w:rsid w:val="00A2490A"/>
    <w:rsid w:val="00A249C5"/>
    <w:rsid w:val="00A24BB7"/>
    <w:rsid w:val="00A24C37"/>
    <w:rsid w:val="00A24CBA"/>
    <w:rsid w:val="00A24CC8"/>
    <w:rsid w:val="00A25034"/>
    <w:rsid w:val="00A25085"/>
    <w:rsid w:val="00A250F2"/>
    <w:rsid w:val="00A251AA"/>
    <w:rsid w:val="00A2523F"/>
    <w:rsid w:val="00A2560B"/>
    <w:rsid w:val="00A2561A"/>
    <w:rsid w:val="00A2575A"/>
    <w:rsid w:val="00A257A4"/>
    <w:rsid w:val="00A2583E"/>
    <w:rsid w:val="00A258B6"/>
    <w:rsid w:val="00A25953"/>
    <w:rsid w:val="00A25C48"/>
    <w:rsid w:val="00A25C98"/>
    <w:rsid w:val="00A25D30"/>
    <w:rsid w:val="00A25F4D"/>
    <w:rsid w:val="00A25F56"/>
    <w:rsid w:val="00A2618A"/>
    <w:rsid w:val="00A267B3"/>
    <w:rsid w:val="00A268F8"/>
    <w:rsid w:val="00A26B7A"/>
    <w:rsid w:val="00A26C8E"/>
    <w:rsid w:val="00A26D73"/>
    <w:rsid w:val="00A26DCE"/>
    <w:rsid w:val="00A26FC2"/>
    <w:rsid w:val="00A27537"/>
    <w:rsid w:val="00A27619"/>
    <w:rsid w:val="00A276C4"/>
    <w:rsid w:val="00A279E0"/>
    <w:rsid w:val="00A27D30"/>
    <w:rsid w:val="00A27D3A"/>
    <w:rsid w:val="00A3015D"/>
    <w:rsid w:val="00A30221"/>
    <w:rsid w:val="00A3038E"/>
    <w:rsid w:val="00A303F1"/>
    <w:rsid w:val="00A3040B"/>
    <w:rsid w:val="00A30617"/>
    <w:rsid w:val="00A306D7"/>
    <w:rsid w:val="00A309E6"/>
    <w:rsid w:val="00A30A56"/>
    <w:rsid w:val="00A30BD2"/>
    <w:rsid w:val="00A30EF5"/>
    <w:rsid w:val="00A3134C"/>
    <w:rsid w:val="00A31385"/>
    <w:rsid w:val="00A3139F"/>
    <w:rsid w:val="00A31550"/>
    <w:rsid w:val="00A315B1"/>
    <w:rsid w:val="00A31813"/>
    <w:rsid w:val="00A318FB"/>
    <w:rsid w:val="00A31CD5"/>
    <w:rsid w:val="00A31D41"/>
    <w:rsid w:val="00A31E47"/>
    <w:rsid w:val="00A31F6A"/>
    <w:rsid w:val="00A3211E"/>
    <w:rsid w:val="00A3215E"/>
    <w:rsid w:val="00A322D8"/>
    <w:rsid w:val="00A3232C"/>
    <w:rsid w:val="00A32526"/>
    <w:rsid w:val="00A32536"/>
    <w:rsid w:val="00A325A7"/>
    <w:rsid w:val="00A3286A"/>
    <w:rsid w:val="00A3287D"/>
    <w:rsid w:val="00A32A6D"/>
    <w:rsid w:val="00A32D70"/>
    <w:rsid w:val="00A32FB1"/>
    <w:rsid w:val="00A33164"/>
    <w:rsid w:val="00A333CD"/>
    <w:rsid w:val="00A335F8"/>
    <w:rsid w:val="00A33733"/>
    <w:rsid w:val="00A33771"/>
    <w:rsid w:val="00A339A9"/>
    <w:rsid w:val="00A33C6F"/>
    <w:rsid w:val="00A340A2"/>
    <w:rsid w:val="00A34604"/>
    <w:rsid w:val="00A34695"/>
    <w:rsid w:val="00A34793"/>
    <w:rsid w:val="00A34A07"/>
    <w:rsid w:val="00A34A30"/>
    <w:rsid w:val="00A34A61"/>
    <w:rsid w:val="00A34A63"/>
    <w:rsid w:val="00A34E3B"/>
    <w:rsid w:val="00A34F09"/>
    <w:rsid w:val="00A34F56"/>
    <w:rsid w:val="00A352B9"/>
    <w:rsid w:val="00A352F1"/>
    <w:rsid w:val="00A354E7"/>
    <w:rsid w:val="00A3553A"/>
    <w:rsid w:val="00A35999"/>
    <w:rsid w:val="00A35BBA"/>
    <w:rsid w:val="00A35FA1"/>
    <w:rsid w:val="00A35FA2"/>
    <w:rsid w:val="00A3681A"/>
    <w:rsid w:val="00A36BAE"/>
    <w:rsid w:val="00A36E0E"/>
    <w:rsid w:val="00A37225"/>
    <w:rsid w:val="00A37484"/>
    <w:rsid w:val="00A37530"/>
    <w:rsid w:val="00A37631"/>
    <w:rsid w:val="00A3770F"/>
    <w:rsid w:val="00A377EB"/>
    <w:rsid w:val="00A37829"/>
    <w:rsid w:val="00A378A2"/>
    <w:rsid w:val="00A37CA1"/>
    <w:rsid w:val="00A37F0A"/>
    <w:rsid w:val="00A37F26"/>
    <w:rsid w:val="00A40457"/>
    <w:rsid w:val="00A4070A"/>
    <w:rsid w:val="00A407CE"/>
    <w:rsid w:val="00A40921"/>
    <w:rsid w:val="00A40A52"/>
    <w:rsid w:val="00A40A67"/>
    <w:rsid w:val="00A40C4A"/>
    <w:rsid w:val="00A40D49"/>
    <w:rsid w:val="00A41099"/>
    <w:rsid w:val="00A4162D"/>
    <w:rsid w:val="00A417A0"/>
    <w:rsid w:val="00A4180B"/>
    <w:rsid w:val="00A419CD"/>
    <w:rsid w:val="00A41AF7"/>
    <w:rsid w:val="00A42123"/>
    <w:rsid w:val="00A421DC"/>
    <w:rsid w:val="00A42258"/>
    <w:rsid w:val="00A423AD"/>
    <w:rsid w:val="00A428EB"/>
    <w:rsid w:val="00A430A1"/>
    <w:rsid w:val="00A431C1"/>
    <w:rsid w:val="00A43225"/>
    <w:rsid w:val="00A439CC"/>
    <w:rsid w:val="00A43B1E"/>
    <w:rsid w:val="00A43C7C"/>
    <w:rsid w:val="00A43FDD"/>
    <w:rsid w:val="00A4425F"/>
    <w:rsid w:val="00A445B2"/>
    <w:rsid w:val="00A44761"/>
    <w:rsid w:val="00A44772"/>
    <w:rsid w:val="00A449B7"/>
    <w:rsid w:val="00A44CA8"/>
    <w:rsid w:val="00A44CAB"/>
    <w:rsid w:val="00A44E8D"/>
    <w:rsid w:val="00A450F5"/>
    <w:rsid w:val="00A451EB"/>
    <w:rsid w:val="00A451EF"/>
    <w:rsid w:val="00A45627"/>
    <w:rsid w:val="00A456C8"/>
    <w:rsid w:val="00A45E0F"/>
    <w:rsid w:val="00A460E7"/>
    <w:rsid w:val="00A4610A"/>
    <w:rsid w:val="00A46141"/>
    <w:rsid w:val="00A468DF"/>
    <w:rsid w:val="00A468E7"/>
    <w:rsid w:val="00A46904"/>
    <w:rsid w:val="00A469BA"/>
    <w:rsid w:val="00A46A87"/>
    <w:rsid w:val="00A46E43"/>
    <w:rsid w:val="00A46EE7"/>
    <w:rsid w:val="00A471BB"/>
    <w:rsid w:val="00A4740B"/>
    <w:rsid w:val="00A4761E"/>
    <w:rsid w:val="00A47760"/>
    <w:rsid w:val="00A478BA"/>
    <w:rsid w:val="00A501AC"/>
    <w:rsid w:val="00A5024E"/>
    <w:rsid w:val="00A503AC"/>
    <w:rsid w:val="00A5069A"/>
    <w:rsid w:val="00A507A8"/>
    <w:rsid w:val="00A50C88"/>
    <w:rsid w:val="00A50F96"/>
    <w:rsid w:val="00A510A9"/>
    <w:rsid w:val="00A51217"/>
    <w:rsid w:val="00A51305"/>
    <w:rsid w:val="00A51436"/>
    <w:rsid w:val="00A514AD"/>
    <w:rsid w:val="00A515DE"/>
    <w:rsid w:val="00A51866"/>
    <w:rsid w:val="00A518FD"/>
    <w:rsid w:val="00A51C46"/>
    <w:rsid w:val="00A51F0A"/>
    <w:rsid w:val="00A51F62"/>
    <w:rsid w:val="00A52263"/>
    <w:rsid w:val="00A522A6"/>
    <w:rsid w:val="00A5250A"/>
    <w:rsid w:val="00A5310F"/>
    <w:rsid w:val="00A53397"/>
    <w:rsid w:val="00A53742"/>
    <w:rsid w:val="00A538F5"/>
    <w:rsid w:val="00A53BC3"/>
    <w:rsid w:val="00A53BCD"/>
    <w:rsid w:val="00A53CF3"/>
    <w:rsid w:val="00A53D9D"/>
    <w:rsid w:val="00A53E0A"/>
    <w:rsid w:val="00A53FA1"/>
    <w:rsid w:val="00A5480D"/>
    <w:rsid w:val="00A548D1"/>
    <w:rsid w:val="00A54EAE"/>
    <w:rsid w:val="00A55194"/>
    <w:rsid w:val="00A5522C"/>
    <w:rsid w:val="00A552AA"/>
    <w:rsid w:val="00A55425"/>
    <w:rsid w:val="00A55639"/>
    <w:rsid w:val="00A557CA"/>
    <w:rsid w:val="00A557E2"/>
    <w:rsid w:val="00A558F8"/>
    <w:rsid w:val="00A55AE4"/>
    <w:rsid w:val="00A55CE9"/>
    <w:rsid w:val="00A55E6C"/>
    <w:rsid w:val="00A560FB"/>
    <w:rsid w:val="00A5627F"/>
    <w:rsid w:val="00A562E1"/>
    <w:rsid w:val="00A56526"/>
    <w:rsid w:val="00A565C5"/>
    <w:rsid w:val="00A5676D"/>
    <w:rsid w:val="00A56803"/>
    <w:rsid w:val="00A56D45"/>
    <w:rsid w:val="00A56E8F"/>
    <w:rsid w:val="00A574DF"/>
    <w:rsid w:val="00A57721"/>
    <w:rsid w:val="00A6048B"/>
    <w:rsid w:val="00A60491"/>
    <w:rsid w:val="00A607EC"/>
    <w:rsid w:val="00A609DB"/>
    <w:rsid w:val="00A60B53"/>
    <w:rsid w:val="00A60CE7"/>
    <w:rsid w:val="00A61199"/>
    <w:rsid w:val="00A6121E"/>
    <w:rsid w:val="00A61413"/>
    <w:rsid w:val="00A61415"/>
    <w:rsid w:val="00A61469"/>
    <w:rsid w:val="00A616A6"/>
    <w:rsid w:val="00A6189D"/>
    <w:rsid w:val="00A61964"/>
    <w:rsid w:val="00A61CCB"/>
    <w:rsid w:val="00A61FA0"/>
    <w:rsid w:val="00A620BB"/>
    <w:rsid w:val="00A6213B"/>
    <w:rsid w:val="00A621AA"/>
    <w:rsid w:val="00A621BD"/>
    <w:rsid w:val="00A622B2"/>
    <w:rsid w:val="00A62429"/>
    <w:rsid w:val="00A62535"/>
    <w:rsid w:val="00A62869"/>
    <w:rsid w:val="00A62875"/>
    <w:rsid w:val="00A629C7"/>
    <w:rsid w:val="00A62A3D"/>
    <w:rsid w:val="00A62EE7"/>
    <w:rsid w:val="00A62F68"/>
    <w:rsid w:val="00A6305B"/>
    <w:rsid w:val="00A6317E"/>
    <w:rsid w:val="00A632F4"/>
    <w:rsid w:val="00A63551"/>
    <w:rsid w:val="00A63649"/>
    <w:rsid w:val="00A63755"/>
    <w:rsid w:val="00A63824"/>
    <w:rsid w:val="00A63A77"/>
    <w:rsid w:val="00A63BDD"/>
    <w:rsid w:val="00A63C0D"/>
    <w:rsid w:val="00A63DCD"/>
    <w:rsid w:val="00A63EB0"/>
    <w:rsid w:val="00A640BA"/>
    <w:rsid w:val="00A641A1"/>
    <w:rsid w:val="00A64276"/>
    <w:rsid w:val="00A642C2"/>
    <w:rsid w:val="00A64336"/>
    <w:rsid w:val="00A6470E"/>
    <w:rsid w:val="00A647FD"/>
    <w:rsid w:val="00A649D4"/>
    <w:rsid w:val="00A6559B"/>
    <w:rsid w:val="00A65863"/>
    <w:rsid w:val="00A659B6"/>
    <w:rsid w:val="00A65DB9"/>
    <w:rsid w:val="00A65E16"/>
    <w:rsid w:val="00A65EA4"/>
    <w:rsid w:val="00A660BD"/>
    <w:rsid w:val="00A66173"/>
    <w:rsid w:val="00A6618D"/>
    <w:rsid w:val="00A661AE"/>
    <w:rsid w:val="00A663A4"/>
    <w:rsid w:val="00A66807"/>
    <w:rsid w:val="00A6684C"/>
    <w:rsid w:val="00A66C22"/>
    <w:rsid w:val="00A66CE1"/>
    <w:rsid w:val="00A66D55"/>
    <w:rsid w:val="00A66DDC"/>
    <w:rsid w:val="00A66F0E"/>
    <w:rsid w:val="00A66FA7"/>
    <w:rsid w:val="00A67109"/>
    <w:rsid w:val="00A674BA"/>
    <w:rsid w:val="00A6751B"/>
    <w:rsid w:val="00A67538"/>
    <w:rsid w:val="00A67594"/>
    <w:rsid w:val="00A675AD"/>
    <w:rsid w:val="00A67857"/>
    <w:rsid w:val="00A67964"/>
    <w:rsid w:val="00A67A9D"/>
    <w:rsid w:val="00A67E40"/>
    <w:rsid w:val="00A67ED7"/>
    <w:rsid w:val="00A67EF1"/>
    <w:rsid w:val="00A67EF8"/>
    <w:rsid w:val="00A67F08"/>
    <w:rsid w:val="00A67F6B"/>
    <w:rsid w:val="00A70109"/>
    <w:rsid w:val="00A7010B"/>
    <w:rsid w:val="00A7016B"/>
    <w:rsid w:val="00A7024E"/>
    <w:rsid w:val="00A702D7"/>
    <w:rsid w:val="00A7046E"/>
    <w:rsid w:val="00A7047D"/>
    <w:rsid w:val="00A7064A"/>
    <w:rsid w:val="00A70A58"/>
    <w:rsid w:val="00A70BBA"/>
    <w:rsid w:val="00A7111B"/>
    <w:rsid w:val="00A71255"/>
    <w:rsid w:val="00A712EF"/>
    <w:rsid w:val="00A7186C"/>
    <w:rsid w:val="00A719FA"/>
    <w:rsid w:val="00A71A51"/>
    <w:rsid w:val="00A71F53"/>
    <w:rsid w:val="00A72448"/>
    <w:rsid w:val="00A726B3"/>
    <w:rsid w:val="00A7272A"/>
    <w:rsid w:val="00A72BD1"/>
    <w:rsid w:val="00A72F60"/>
    <w:rsid w:val="00A733D5"/>
    <w:rsid w:val="00A735A7"/>
    <w:rsid w:val="00A7395C"/>
    <w:rsid w:val="00A73B0F"/>
    <w:rsid w:val="00A73B7A"/>
    <w:rsid w:val="00A73D2B"/>
    <w:rsid w:val="00A73DF3"/>
    <w:rsid w:val="00A73E50"/>
    <w:rsid w:val="00A74133"/>
    <w:rsid w:val="00A74179"/>
    <w:rsid w:val="00A743D6"/>
    <w:rsid w:val="00A74579"/>
    <w:rsid w:val="00A7476F"/>
    <w:rsid w:val="00A747EC"/>
    <w:rsid w:val="00A74998"/>
    <w:rsid w:val="00A75039"/>
    <w:rsid w:val="00A7578A"/>
    <w:rsid w:val="00A7579E"/>
    <w:rsid w:val="00A75869"/>
    <w:rsid w:val="00A75A1F"/>
    <w:rsid w:val="00A75DAE"/>
    <w:rsid w:val="00A75E25"/>
    <w:rsid w:val="00A762A6"/>
    <w:rsid w:val="00A762CD"/>
    <w:rsid w:val="00A76A0B"/>
    <w:rsid w:val="00A76B45"/>
    <w:rsid w:val="00A76B86"/>
    <w:rsid w:val="00A76E1A"/>
    <w:rsid w:val="00A76F6C"/>
    <w:rsid w:val="00A77156"/>
    <w:rsid w:val="00A77478"/>
    <w:rsid w:val="00A7776B"/>
    <w:rsid w:val="00A77888"/>
    <w:rsid w:val="00A77A4F"/>
    <w:rsid w:val="00A77ACF"/>
    <w:rsid w:val="00A77CB6"/>
    <w:rsid w:val="00A8000B"/>
    <w:rsid w:val="00A80117"/>
    <w:rsid w:val="00A80156"/>
    <w:rsid w:val="00A80571"/>
    <w:rsid w:val="00A808BF"/>
    <w:rsid w:val="00A80B4E"/>
    <w:rsid w:val="00A80C98"/>
    <w:rsid w:val="00A80FDF"/>
    <w:rsid w:val="00A8101D"/>
    <w:rsid w:val="00A8167C"/>
    <w:rsid w:val="00A81866"/>
    <w:rsid w:val="00A81A6D"/>
    <w:rsid w:val="00A81A8B"/>
    <w:rsid w:val="00A8218D"/>
    <w:rsid w:val="00A8222A"/>
    <w:rsid w:val="00A8232F"/>
    <w:rsid w:val="00A8273B"/>
    <w:rsid w:val="00A827AD"/>
    <w:rsid w:val="00A82825"/>
    <w:rsid w:val="00A8289F"/>
    <w:rsid w:val="00A82974"/>
    <w:rsid w:val="00A82CB1"/>
    <w:rsid w:val="00A82D01"/>
    <w:rsid w:val="00A82D4F"/>
    <w:rsid w:val="00A83030"/>
    <w:rsid w:val="00A8337F"/>
    <w:rsid w:val="00A83449"/>
    <w:rsid w:val="00A8378E"/>
    <w:rsid w:val="00A83BA9"/>
    <w:rsid w:val="00A83CCD"/>
    <w:rsid w:val="00A83D02"/>
    <w:rsid w:val="00A840B1"/>
    <w:rsid w:val="00A84112"/>
    <w:rsid w:val="00A84172"/>
    <w:rsid w:val="00A848E4"/>
    <w:rsid w:val="00A84A35"/>
    <w:rsid w:val="00A84B8D"/>
    <w:rsid w:val="00A851F8"/>
    <w:rsid w:val="00A8521A"/>
    <w:rsid w:val="00A85311"/>
    <w:rsid w:val="00A85646"/>
    <w:rsid w:val="00A856F9"/>
    <w:rsid w:val="00A856FE"/>
    <w:rsid w:val="00A8596E"/>
    <w:rsid w:val="00A85ADC"/>
    <w:rsid w:val="00A85B98"/>
    <w:rsid w:val="00A85C81"/>
    <w:rsid w:val="00A85D30"/>
    <w:rsid w:val="00A8632A"/>
    <w:rsid w:val="00A863B8"/>
    <w:rsid w:val="00A86617"/>
    <w:rsid w:val="00A869A3"/>
    <w:rsid w:val="00A86AA2"/>
    <w:rsid w:val="00A86FE3"/>
    <w:rsid w:val="00A8722C"/>
    <w:rsid w:val="00A87297"/>
    <w:rsid w:val="00A8739F"/>
    <w:rsid w:val="00A876F5"/>
    <w:rsid w:val="00A87A92"/>
    <w:rsid w:val="00A87DA1"/>
    <w:rsid w:val="00A87E95"/>
    <w:rsid w:val="00A90012"/>
    <w:rsid w:val="00A901CE"/>
    <w:rsid w:val="00A902A2"/>
    <w:rsid w:val="00A902EC"/>
    <w:rsid w:val="00A9032F"/>
    <w:rsid w:val="00A90548"/>
    <w:rsid w:val="00A90730"/>
    <w:rsid w:val="00A90C68"/>
    <w:rsid w:val="00A90E9C"/>
    <w:rsid w:val="00A91146"/>
    <w:rsid w:val="00A9117F"/>
    <w:rsid w:val="00A91297"/>
    <w:rsid w:val="00A91551"/>
    <w:rsid w:val="00A916CD"/>
    <w:rsid w:val="00A9181D"/>
    <w:rsid w:val="00A91CA5"/>
    <w:rsid w:val="00A91CA9"/>
    <w:rsid w:val="00A91CAF"/>
    <w:rsid w:val="00A91D1D"/>
    <w:rsid w:val="00A91D34"/>
    <w:rsid w:val="00A91ED9"/>
    <w:rsid w:val="00A91FE2"/>
    <w:rsid w:val="00A9202A"/>
    <w:rsid w:val="00A92087"/>
    <w:rsid w:val="00A92156"/>
    <w:rsid w:val="00A9224E"/>
    <w:rsid w:val="00A92323"/>
    <w:rsid w:val="00A92350"/>
    <w:rsid w:val="00A924E9"/>
    <w:rsid w:val="00A92641"/>
    <w:rsid w:val="00A9275A"/>
    <w:rsid w:val="00A927F9"/>
    <w:rsid w:val="00A92939"/>
    <w:rsid w:val="00A92A61"/>
    <w:rsid w:val="00A92BF3"/>
    <w:rsid w:val="00A92E57"/>
    <w:rsid w:val="00A92E5E"/>
    <w:rsid w:val="00A9323C"/>
    <w:rsid w:val="00A9358C"/>
    <w:rsid w:val="00A93B1F"/>
    <w:rsid w:val="00A93DD8"/>
    <w:rsid w:val="00A93EDE"/>
    <w:rsid w:val="00A942BD"/>
    <w:rsid w:val="00A94430"/>
    <w:rsid w:val="00A9462D"/>
    <w:rsid w:val="00A94751"/>
    <w:rsid w:val="00A949A1"/>
    <w:rsid w:val="00A94CD3"/>
    <w:rsid w:val="00A94E4F"/>
    <w:rsid w:val="00A94FEA"/>
    <w:rsid w:val="00A951E3"/>
    <w:rsid w:val="00A9544C"/>
    <w:rsid w:val="00A95702"/>
    <w:rsid w:val="00A9598B"/>
    <w:rsid w:val="00A95A4D"/>
    <w:rsid w:val="00A95A5C"/>
    <w:rsid w:val="00A95CF4"/>
    <w:rsid w:val="00A95D75"/>
    <w:rsid w:val="00A95F7A"/>
    <w:rsid w:val="00A96349"/>
    <w:rsid w:val="00A96557"/>
    <w:rsid w:val="00A9687E"/>
    <w:rsid w:val="00A96B04"/>
    <w:rsid w:val="00A96B13"/>
    <w:rsid w:val="00A96B1E"/>
    <w:rsid w:val="00A96E7C"/>
    <w:rsid w:val="00A96ECC"/>
    <w:rsid w:val="00A96F45"/>
    <w:rsid w:val="00A9725C"/>
    <w:rsid w:val="00A976C4"/>
    <w:rsid w:val="00A978AF"/>
    <w:rsid w:val="00A97ACE"/>
    <w:rsid w:val="00A97B19"/>
    <w:rsid w:val="00A97C9C"/>
    <w:rsid w:val="00A97D23"/>
    <w:rsid w:val="00A97FA5"/>
    <w:rsid w:val="00A97FA8"/>
    <w:rsid w:val="00AA0013"/>
    <w:rsid w:val="00AA03BA"/>
    <w:rsid w:val="00AA04BF"/>
    <w:rsid w:val="00AA09A6"/>
    <w:rsid w:val="00AA0E53"/>
    <w:rsid w:val="00AA190B"/>
    <w:rsid w:val="00AA1914"/>
    <w:rsid w:val="00AA1996"/>
    <w:rsid w:val="00AA1C36"/>
    <w:rsid w:val="00AA1C99"/>
    <w:rsid w:val="00AA1E70"/>
    <w:rsid w:val="00AA2337"/>
    <w:rsid w:val="00AA24AF"/>
    <w:rsid w:val="00AA24CB"/>
    <w:rsid w:val="00AA2837"/>
    <w:rsid w:val="00AA2926"/>
    <w:rsid w:val="00AA2AB8"/>
    <w:rsid w:val="00AA2D9D"/>
    <w:rsid w:val="00AA2F81"/>
    <w:rsid w:val="00AA30E1"/>
    <w:rsid w:val="00AA3808"/>
    <w:rsid w:val="00AA3BD2"/>
    <w:rsid w:val="00AA3D29"/>
    <w:rsid w:val="00AA40A3"/>
    <w:rsid w:val="00AA41CB"/>
    <w:rsid w:val="00AA41D2"/>
    <w:rsid w:val="00AA4278"/>
    <w:rsid w:val="00AA43AA"/>
    <w:rsid w:val="00AA48DE"/>
    <w:rsid w:val="00AA5268"/>
    <w:rsid w:val="00AA5558"/>
    <w:rsid w:val="00AA5682"/>
    <w:rsid w:val="00AA5783"/>
    <w:rsid w:val="00AA57E3"/>
    <w:rsid w:val="00AA5A90"/>
    <w:rsid w:val="00AA5C39"/>
    <w:rsid w:val="00AA5D0E"/>
    <w:rsid w:val="00AA60A6"/>
    <w:rsid w:val="00AA614A"/>
    <w:rsid w:val="00AA6691"/>
    <w:rsid w:val="00AA6947"/>
    <w:rsid w:val="00AA69BF"/>
    <w:rsid w:val="00AA6A06"/>
    <w:rsid w:val="00AA6F09"/>
    <w:rsid w:val="00AA7326"/>
    <w:rsid w:val="00AA7327"/>
    <w:rsid w:val="00AA737F"/>
    <w:rsid w:val="00AA73A8"/>
    <w:rsid w:val="00AA73AB"/>
    <w:rsid w:val="00AA7549"/>
    <w:rsid w:val="00AA75F3"/>
    <w:rsid w:val="00AA7742"/>
    <w:rsid w:val="00AA7BDC"/>
    <w:rsid w:val="00AA7D47"/>
    <w:rsid w:val="00AA7E53"/>
    <w:rsid w:val="00AA7F0C"/>
    <w:rsid w:val="00AB0232"/>
    <w:rsid w:val="00AB026A"/>
    <w:rsid w:val="00AB03CA"/>
    <w:rsid w:val="00AB052D"/>
    <w:rsid w:val="00AB05AF"/>
    <w:rsid w:val="00AB06C7"/>
    <w:rsid w:val="00AB0B47"/>
    <w:rsid w:val="00AB1121"/>
    <w:rsid w:val="00AB16CE"/>
    <w:rsid w:val="00AB179C"/>
    <w:rsid w:val="00AB1D62"/>
    <w:rsid w:val="00AB1EA4"/>
    <w:rsid w:val="00AB1EDF"/>
    <w:rsid w:val="00AB271A"/>
    <w:rsid w:val="00AB27EC"/>
    <w:rsid w:val="00AB2ECF"/>
    <w:rsid w:val="00AB2FC6"/>
    <w:rsid w:val="00AB351C"/>
    <w:rsid w:val="00AB37F0"/>
    <w:rsid w:val="00AB3A37"/>
    <w:rsid w:val="00AB3B1A"/>
    <w:rsid w:val="00AB3BA7"/>
    <w:rsid w:val="00AB3E30"/>
    <w:rsid w:val="00AB40E3"/>
    <w:rsid w:val="00AB41A7"/>
    <w:rsid w:val="00AB4240"/>
    <w:rsid w:val="00AB4293"/>
    <w:rsid w:val="00AB463E"/>
    <w:rsid w:val="00AB46E9"/>
    <w:rsid w:val="00AB4B90"/>
    <w:rsid w:val="00AB4BEF"/>
    <w:rsid w:val="00AB4DD6"/>
    <w:rsid w:val="00AB4E21"/>
    <w:rsid w:val="00AB4FD0"/>
    <w:rsid w:val="00AB5094"/>
    <w:rsid w:val="00AB523D"/>
    <w:rsid w:val="00AB5357"/>
    <w:rsid w:val="00AB54A8"/>
    <w:rsid w:val="00AB54EF"/>
    <w:rsid w:val="00AB56CC"/>
    <w:rsid w:val="00AB5856"/>
    <w:rsid w:val="00AB61E8"/>
    <w:rsid w:val="00AB6401"/>
    <w:rsid w:val="00AB6ACD"/>
    <w:rsid w:val="00AB6B25"/>
    <w:rsid w:val="00AB6B58"/>
    <w:rsid w:val="00AB6BD6"/>
    <w:rsid w:val="00AB6C14"/>
    <w:rsid w:val="00AB6D24"/>
    <w:rsid w:val="00AB6D29"/>
    <w:rsid w:val="00AB6F42"/>
    <w:rsid w:val="00AB7038"/>
    <w:rsid w:val="00AB7191"/>
    <w:rsid w:val="00AB77A3"/>
    <w:rsid w:val="00AB7C7D"/>
    <w:rsid w:val="00AB7CFA"/>
    <w:rsid w:val="00AB7D6A"/>
    <w:rsid w:val="00AB7E6A"/>
    <w:rsid w:val="00AC04B2"/>
    <w:rsid w:val="00AC07D1"/>
    <w:rsid w:val="00AC07ED"/>
    <w:rsid w:val="00AC0942"/>
    <w:rsid w:val="00AC0C85"/>
    <w:rsid w:val="00AC0CA6"/>
    <w:rsid w:val="00AC0E7C"/>
    <w:rsid w:val="00AC0F74"/>
    <w:rsid w:val="00AC0F7B"/>
    <w:rsid w:val="00AC13D5"/>
    <w:rsid w:val="00AC14B4"/>
    <w:rsid w:val="00AC154F"/>
    <w:rsid w:val="00AC15E4"/>
    <w:rsid w:val="00AC160E"/>
    <w:rsid w:val="00AC17ED"/>
    <w:rsid w:val="00AC184B"/>
    <w:rsid w:val="00AC18CC"/>
    <w:rsid w:val="00AC1E92"/>
    <w:rsid w:val="00AC1F7B"/>
    <w:rsid w:val="00AC2068"/>
    <w:rsid w:val="00AC209B"/>
    <w:rsid w:val="00AC23DB"/>
    <w:rsid w:val="00AC2E78"/>
    <w:rsid w:val="00AC2FAB"/>
    <w:rsid w:val="00AC3252"/>
    <w:rsid w:val="00AC36E9"/>
    <w:rsid w:val="00AC3960"/>
    <w:rsid w:val="00AC3A8D"/>
    <w:rsid w:val="00AC3D6F"/>
    <w:rsid w:val="00AC44AE"/>
    <w:rsid w:val="00AC4664"/>
    <w:rsid w:val="00AC46BF"/>
    <w:rsid w:val="00AC46D6"/>
    <w:rsid w:val="00AC49A7"/>
    <w:rsid w:val="00AC4C2A"/>
    <w:rsid w:val="00AC4D23"/>
    <w:rsid w:val="00AC4D44"/>
    <w:rsid w:val="00AC4E48"/>
    <w:rsid w:val="00AC5281"/>
    <w:rsid w:val="00AC5AD5"/>
    <w:rsid w:val="00AC5E60"/>
    <w:rsid w:val="00AC60D6"/>
    <w:rsid w:val="00AC6109"/>
    <w:rsid w:val="00AC6131"/>
    <w:rsid w:val="00AC633F"/>
    <w:rsid w:val="00AC64B4"/>
    <w:rsid w:val="00AC6A27"/>
    <w:rsid w:val="00AC6B43"/>
    <w:rsid w:val="00AC6DA1"/>
    <w:rsid w:val="00AC6DED"/>
    <w:rsid w:val="00AC6E28"/>
    <w:rsid w:val="00AC6FDF"/>
    <w:rsid w:val="00AC721D"/>
    <w:rsid w:val="00AC72B2"/>
    <w:rsid w:val="00AC733D"/>
    <w:rsid w:val="00AC76C1"/>
    <w:rsid w:val="00AC7844"/>
    <w:rsid w:val="00AC7CFB"/>
    <w:rsid w:val="00AC7F97"/>
    <w:rsid w:val="00AD02BF"/>
    <w:rsid w:val="00AD0421"/>
    <w:rsid w:val="00AD047D"/>
    <w:rsid w:val="00AD04C0"/>
    <w:rsid w:val="00AD0515"/>
    <w:rsid w:val="00AD0585"/>
    <w:rsid w:val="00AD05A1"/>
    <w:rsid w:val="00AD07A8"/>
    <w:rsid w:val="00AD0A67"/>
    <w:rsid w:val="00AD0AC6"/>
    <w:rsid w:val="00AD0C23"/>
    <w:rsid w:val="00AD0E75"/>
    <w:rsid w:val="00AD0E7F"/>
    <w:rsid w:val="00AD129D"/>
    <w:rsid w:val="00AD12EF"/>
    <w:rsid w:val="00AD1415"/>
    <w:rsid w:val="00AD141F"/>
    <w:rsid w:val="00AD14E8"/>
    <w:rsid w:val="00AD17F8"/>
    <w:rsid w:val="00AD1FA8"/>
    <w:rsid w:val="00AD2082"/>
    <w:rsid w:val="00AD2469"/>
    <w:rsid w:val="00AD24FD"/>
    <w:rsid w:val="00AD26ED"/>
    <w:rsid w:val="00AD2AF5"/>
    <w:rsid w:val="00AD32BA"/>
    <w:rsid w:val="00AD3343"/>
    <w:rsid w:val="00AD3417"/>
    <w:rsid w:val="00AD3587"/>
    <w:rsid w:val="00AD35FC"/>
    <w:rsid w:val="00AD37B2"/>
    <w:rsid w:val="00AD3859"/>
    <w:rsid w:val="00AD39B0"/>
    <w:rsid w:val="00AD3BCB"/>
    <w:rsid w:val="00AD3D74"/>
    <w:rsid w:val="00AD3DB2"/>
    <w:rsid w:val="00AD4340"/>
    <w:rsid w:val="00AD4905"/>
    <w:rsid w:val="00AD492F"/>
    <w:rsid w:val="00AD4C54"/>
    <w:rsid w:val="00AD4D58"/>
    <w:rsid w:val="00AD4D88"/>
    <w:rsid w:val="00AD4EF2"/>
    <w:rsid w:val="00AD51C4"/>
    <w:rsid w:val="00AD5480"/>
    <w:rsid w:val="00AD5D08"/>
    <w:rsid w:val="00AD6104"/>
    <w:rsid w:val="00AD67F6"/>
    <w:rsid w:val="00AD680F"/>
    <w:rsid w:val="00AD6864"/>
    <w:rsid w:val="00AD68F2"/>
    <w:rsid w:val="00AD6FFA"/>
    <w:rsid w:val="00AD7073"/>
    <w:rsid w:val="00AD7539"/>
    <w:rsid w:val="00AD77AB"/>
    <w:rsid w:val="00AD7BFA"/>
    <w:rsid w:val="00AE0193"/>
    <w:rsid w:val="00AE01C8"/>
    <w:rsid w:val="00AE01F6"/>
    <w:rsid w:val="00AE030E"/>
    <w:rsid w:val="00AE0315"/>
    <w:rsid w:val="00AE0334"/>
    <w:rsid w:val="00AE07C2"/>
    <w:rsid w:val="00AE0932"/>
    <w:rsid w:val="00AE0A71"/>
    <w:rsid w:val="00AE0D33"/>
    <w:rsid w:val="00AE1441"/>
    <w:rsid w:val="00AE18EB"/>
    <w:rsid w:val="00AE1B0F"/>
    <w:rsid w:val="00AE1BFB"/>
    <w:rsid w:val="00AE1FE6"/>
    <w:rsid w:val="00AE20D5"/>
    <w:rsid w:val="00AE2424"/>
    <w:rsid w:val="00AE25E9"/>
    <w:rsid w:val="00AE291A"/>
    <w:rsid w:val="00AE2D9B"/>
    <w:rsid w:val="00AE2DCA"/>
    <w:rsid w:val="00AE36D6"/>
    <w:rsid w:val="00AE37BD"/>
    <w:rsid w:val="00AE3A60"/>
    <w:rsid w:val="00AE3A68"/>
    <w:rsid w:val="00AE4585"/>
    <w:rsid w:val="00AE4688"/>
    <w:rsid w:val="00AE4689"/>
    <w:rsid w:val="00AE47D1"/>
    <w:rsid w:val="00AE487C"/>
    <w:rsid w:val="00AE48FD"/>
    <w:rsid w:val="00AE4A58"/>
    <w:rsid w:val="00AE4E65"/>
    <w:rsid w:val="00AE512A"/>
    <w:rsid w:val="00AE53BA"/>
    <w:rsid w:val="00AE5905"/>
    <w:rsid w:val="00AE5C84"/>
    <w:rsid w:val="00AE5CAB"/>
    <w:rsid w:val="00AE622E"/>
    <w:rsid w:val="00AE63BE"/>
    <w:rsid w:val="00AE650C"/>
    <w:rsid w:val="00AE6598"/>
    <w:rsid w:val="00AE678E"/>
    <w:rsid w:val="00AE6CE7"/>
    <w:rsid w:val="00AE6DEE"/>
    <w:rsid w:val="00AE7B67"/>
    <w:rsid w:val="00AE7CEA"/>
    <w:rsid w:val="00AE7F06"/>
    <w:rsid w:val="00AE7FEA"/>
    <w:rsid w:val="00AF015F"/>
    <w:rsid w:val="00AF0822"/>
    <w:rsid w:val="00AF0A3C"/>
    <w:rsid w:val="00AF1101"/>
    <w:rsid w:val="00AF1152"/>
    <w:rsid w:val="00AF125E"/>
    <w:rsid w:val="00AF135A"/>
    <w:rsid w:val="00AF1864"/>
    <w:rsid w:val="00AF1954"/>
    <w:rsid w:val="00AF1ACA"/>
    <w:rsid w:val="00AF1B4E"/>
    <w:rsid w:val="00AF1D96"/>
    <w:rsid w:val="00AF1F88"/>
    <w:rsid w:val="00AF21DF"/>
    <w:rsid w:val="00AF2732"/>
    <w:rsid w:val="00AF27E1"/>
    <w:rsid w:val="00AF288E"/>
    <w:rsid w:val="00AF293A"/>
    <w:rsid w:val="00AF2A9E"/>
    <w:rsid w:val="00AF2A9F"/>
    <w:rsid w:val="00AF2CEF"/>
    <w:rsid w:val="00AF2F24"/>
    <w:rsid w:val="00AF2F72"/>
    <w:rsid w:val="00AF3085"/>
    <w:rsid w:val="00AF3455"/>
    <w:rsid w:val="00AF3520"/>
    <w:rsid w:val="00AF354B"/>
    <w:rsid w:val="00AF39B1"/>
    <w:rsid w:val="00AF3A7A"/>
    <w:rsid w:val="00AF3BE2"/>
    <w:rsid w:val="00AF400E"/>
    <w:rsid w:val="00AF4205"/>
    <w:rsid w:val="00AF43A0"/>
    <w:rsid w:val="00AF4495"/>
    <w:rsid w:val="00AF4618"/>
    <w:rsid w:val="00AF4942"/>
    <w:rsid w:val="00AF4CB7"/>
    <w:rsid w:val="00AF4D9C"/>
    <w:rsid w:val="00AF4EF5"/>
    <w:rsid w:val="00AF4F06"/>
    <w:rsid w:val="00AF4FA1"/>
    <w:rsid w:val="00AF530A"/>
    <w:rsid w:val="00AF5507"/>
    <w:rsid w:val="00AF582C"/>
    <w:rsid w:val="00AF596E"/>
    <w:rsid w:val="00AF597A"/>
    <w:rsid w:val="00AF5C07"/>
    <w:rsid w:val="00AF5D0A"/>
    <w:rsid w:val="00AF5D6D"/>
    <w:rsid w:val="00AF5E84"/>
    <w:rsid w:val="00AF609E"/>
    <w:rsid w:val="00AF6195"/>
    <w:rsid w:val="00AF61AA"/>
    <w:rsid w:val="00AF62E0"/>
    <w:rsid w:val="00AF6349"/>
    <w:rsid w:val="00AF6353"/>
    <w:rsid w:val="00AF66CB"/>
    <w:rsid w:val="00AF678F"/>
    <w:rsid w:val="00AF6931"/>
    <w:rsid w:val="00AF698B"/>
    <w:rsid w:val="00AF6F36"/>
    <w:rsid w:val="00AF7039"/>
    <w:rsid w:val="00AF70CC"/>
    <w:rsid w:val="00AF721D"/>
    <w:rsid w:val="00AF7375"/>
    <w:rsid w:val="00AF746E"/>
    <w:rsid w:val="00AF74FC"/>
    <w:rsid w:val="00AF76B2"/>
    <w:rsid w:val="00AF76B6"/>
    <w:rsid w:val="00AF7A75"/>
    <w:rsid w:val="00AF7C4D"/>
    <w:rsid w:val="00B00100"/>
    <w:rsid w:val="00B0016D"/>
    <w:rsid w:val="00B00211"/>
    <w:rsid w:val="00B003AF"/>
    <w:rsid w:val="00B003B4"/>
    <w:rsid w:val="00B004C8"/>
    <w:rsid w:val="00B00815"/>
    <w:rsid w:val="00B00AB9"/>
    <w:rsid w:val="00B00BDC"/>
    <w:rsid w:val="00B00C47"/>
    <w:rsid w:val="00B00D60"/>
    <w:rsid w:val="00B00E62"/>
    <w:rsid w:val="00B00F21"/>
    <w:rsid w:val="00B01462"/>
    <w:rsid w:val="00B01719"/>
    <w:rsid w:val="00B01772"/>
    <w:rsid w:val="00B0190C"/>
    <w:rsid w:val="00B01C3E"/>
    <w:rsid w:val="00B01CA1"/>
    <w:rsid w:val="00B01D9A"/>
    <w:rsid w:val="00B01F66"/>
    <w:rsid w:val="00B01FF1"/>
    <w:rsid w:val="00B020A9"/>
    <w:rsid w:val="00B023B1"/>
    <w:rsid w:val="00B023B6"/>
    <w:rsid w:val="00B027F2"/>
    <w:rsid w:val="00B028A0"/>
    <w:rsid w:val="00B028F4"/>
    <w:rsid w:val="00B0296C"/>
    <w:rsid w:val="00B02B15"/>
    <w:rsid w:val="00B02D80"/>
    <w:rsid w:val="00B03793"/>
    <w:rsid w:val="00B037C3"/>
    <w:rsid w:val="00B039F9"/>
    <w:rsid w:val="00B03A24"/>
    <w:rsid w:val="00B03B05"/>
    <w:rsid w:val="00B03BB3"/>
    <w:rsid w:val="00B03ECE"/>
    <w:rsid w:val="00B03F88"/>
    <w:rsid w:val="00B0416D"/>
    <w:rsid w:val="00B0418D"/>
    <w:rsid w:val="00B044B6"/>
    <w:rsid w:val="00B0485B"/>
    <w:rsid w:val="00B048FB"/>
    <w:rsid w:val="00B04D41"/>
    <w:rsid w:val="00B04EC0"/>
    <w:rsid w:val="00B04FE9"/>
    <w:rsid w:val="00B058E9"/>
    <w:rsid w:val="00B05C7D"/>
    <w:rsid w:val="00B05E2D"/>
    <w:rsid w:val="00B06761"/>
    <w:rsid w:val="00B0688C"/>
    <w:rsid w:val="00B069AE"/>
    <w:rsid w:val="00B06A2B"/>
    <w:rsid w:val="00B06A74"/>
    <w:rsid w:val="00B06D25"/>
    <w:rsid w:val="00B06E71"/>
    <w:rsid w:val="00B06EB4"/>
    <w:rsid w:val="00B06FD1"/>
    <w:rsid w:val="00B073A5"/>
    <w:rsid w:val="00B07A00"/>
    <w:rsid w:val="00B07BBC"/>
    <w:rsid w:val="00B07D72"/>
    <w:rsid w:val="00B07DB6"/>
    <w:rsid w:val="00B07F64"/>
    <w:rsid w:val="00B07F77"/>
    <w:rsid w:val="00B10146"/>
    <w:rsid w:val="00B105D6"/>
    <w:rsid w:val="00B1062D"/>
    <w:rsid w:val="00B1065A"/>
    <w:rsid w:val="00B10691"/>
    <w:rsid w:val="00B1083F"/>
    <w:rsid w:val="00B108E6"/>
    <w:rsid w:val="00B10BEE"/>
    <w:rsid w:val="00B10F9C"/>
    <w:rsid w:val="00B11171"/>
    <w:rsid w:val="00B1186C"/>
    <w:rsid w:val="00B11A1C"/>
    <w:rsid w:val="00B11BF6"/>
    <w:rsid w:val="00B11C74"/>
    <w:rsid w:val="00B11C90"/>
    <w:rsid w:val="00B124EF"/>
    <w:rsid w:val="00B12622"/>
    <w:rsid w:val="00B1280E"/>
    <w:rsid w:val="00B12AFF"/>
    <w:rsid w:val="00B12B38"/>
    <w:rsid w:val="00B12B87"/>
    <w:rsid w:val="00B12C14"/>
    <w:rsid w:val="00B1318E"/>
    <w:rsid w:val="00B13933"/>
    <w:rsid w:val="00B13B89"/>
    <w:rsid w:val="00B13CE3"/>
    <w:rsid w:val="00B13E70"/>
    <w:rsid w:val="00B13F4F"/>
    <w:rsid w:val="00B1414E"/>
    <w:rsid w:val="00B1430C"/>
    <w:rsid w:val="00B14728"/>
    <w:rsid w:val="00B147E0"/>
    <w:rsid w:val="00B149D8"/>
    <w:rsid w:val="00B14B67"/>
    <w:rsid w:val="00B14D01"/>
    <w:rsid w:val="00B14E82"/>
    <w:rsid w:val="00B151C3"/>
    <w:rsid w:val="00B15391"/>
    <w:rsid w:val="00B15B03"/>
    <w:rsid w:val="00B15CA4"/>
    <w:rsid w:val="00B15EA3"/>
    <w:rsid w:val="00B15EE1"/>
    <w:rsid w:val="00B16262"/>
    <w:rsid w:val="00B16274"/>
    <w:rsid w:val="00B16479"/>
    <w:rsid w:val="00B16513"/>
    <w:rsid w:val="00B16801"/>
    <w:rsid w:val="00B16844"/>
    <w:rsid w:val="00B16BC3"/>
    <w:rsid w:val="00B16CCF"/>
    <w:rsid w:val="00B16CD3"/>
    <w:rsid w:val="00B16D2D"/>
    <w:rsid w:val="00B16E43"/>
    <w:rsid w:val="00B16EB7"/>
    <w:rsid w:val="00B16FB6"/>
    <w:rsid w:val="00B16FD4"/>
    <w:rsid w:val="00B17184"/>
    <w:rsid w:val="00B1732E"/>
    <w:rsid w:val="00B174B9"/>
    <w:rsid w:val="00B1758B"/>
    <w:rsid w:val="00B17E21"/>
    <w:rsid w:val="00B20310"/>
    <w:rsid w:val="00B203A0"/>
    <w:rsid w:val="00B20516"/>
    <w:rsid w:val="00B207CC"/>
    <w:rsid w:val="00B207CF"/>
    <w:rsid w:val="00B2080E"/>
    <w:rsid w:val="00B20926"/>
    <w:rsid w:val="00B209ED"/>
    <w:rsid w:val="00B20A4C"/>
    <w:rsid w:val="00B20B9E"/>
    <w:rsid w:val="00B20C8A"/>
    <w:rsid w:val="00B20F04"/>
    <w:rsid w:val="00B21557"/>
    <w:rsid w:val="00B21604"/>
    <w:rsid w:val="00B2196D"/>
    <w:rsid w:val="00B219AC"/>
    <w:rsid w:val="00B21D9A"/>
    <w:rsid w:val="00B21E58"/>
    <w:rsid w:val="00B220CD"/>
    <w:rsid w:val="00B227F7"/>
    <w:rsid w:val="00B22B59"/>
    <w:rsid w:val="00B22C4F"/>
    <w:rsid w:val="00B22D8D"/>
    <w:rsid w:val="00B233B6"/>
    <w:rsid w:val="00B2347E"/>
    <w:rsid w:val="00B2348B"/>
    <w:rsid w:val="00B2354E"/>
    <w:rsid w:val="00B23572"/>
    <w:rsid w:val="00B23892"/>
    <w:rsid w:val="00B23A3F"/>
    <w:rsid w:val="00B23B70"/>
    <w:rsid w:val="00B23C6F"/>
    <w:rsid w:val="00B23FD1"/>
    <w:rsid w:val="00B2404A"/>
    <w:rsid w:val="00B242E0"/>
    <w:rsid w:val="00B2453C"/>
    <w:rsid w:val="00B2494B"/>
    <w:rsid w:val="00B24D95"/>
    <w:rsid w:val="00B24F73"/>
    <w:rsid w:val="00B25214"/>
    <w:rsid w:val="00B253B0"/>
    <w:rsid w:val="00B25672"/>
    <w:rsid w:val="00B25A18"/>
    <w:rsid w:val="00B25BB4"/>
    <w:rsid w:val="00B25BDA"/>
    <w:rsid w:val="00B25DD9"/>
    <w:rsid w:val="00B26163"/>
    <w:rsid w:val="00B262B0"/>
    <w:rsid w:val="00B263FA"/>
    <w:rsid w:val="00B26826"/>
    <w:rsid w:val="00B269A5"/>
    <w:rsid w:val="00B269F8"/>
    <w:rsid w:val="00B26A8C"/>
    <w:rsid w:val="00B26B53"/>
    <w:rsid w:val="00B26C61"/>
    <w:rsid w:val="00B26EB7"/>
    <w:rsid w:val="00B26FD5"/>
    <w:rsid w:val="00B270F3"/>
    <w:rsid w:val="00B2728B"/>
    <w:rsid w:val="00B273AC"/>
    <w:rsid w:val="00B27664"/>
    <w:rsid w:val="00B276F4"/>
    <w:rsid w:val="00B278EB"/>
    <w:rsid w:val="00B27A08"/>
    <w:rsid w:val="00B27A5A"/>
    <w:rsid w:val="00B27D7E"/>
    <w:rsid w:val="00B27D99"/>
    <w:rsid w:val="00B27E13"/>
    <w:rsid w:val="00B27ED6"/>
    <w:rsid w:val="00B3002D"/>
    <w:rsid w:val="00B301C4"/>
    <w:rsid w:val="00B30284"/>
    <w:rsid w:val="00B302D0"/>
    <w:rsid w:val="00B30330"/>
    <w:rsid w:val="00B3047F"/>
    <w:rsid w:val="00B305A4"/>
    <w:rsid w:val="00B30831"/>
    <w:rsid w:val="00B30929"/>
    <w:rsid w:val="00B30A37"/>
    <w:rsid w:val="00B30A7A"/>
    <w:rsid w:val="00B30C7F"/>
    <w:rsid w:val="00B30D2D"/>
    <w:rsid w:val="00B30D53"/>
    <w:rsid w:val="00B314A0"/>
    <w:rsid w:val="00B31808"/>
    <w:rsid w:val="00B31B1D"/>
    <w:rsid w:val="00B31F9E"/>
    <w:rsid w:val="00B31FDB"/>
    <w:rsid w:val="00B3207C"/>
    <w:rsid w:val="00B32084"/>
    <w:rsid w:val="00B32130"/>
    <w:rsid w:val="00B3217D"/>
    <w:rsid w:val="00B322CC"/>
    <w:rsid w:val="00B32455"/>
    <w:rsid w:val="00B3245C"/>
    <w:rsid w:val="00B3253C"/>
    <w:rsid w:val="00B32700"/>
    <w:rsid w:val="00B32818"/>
    <w:rsid w:val="00B32B22"/>
    <w:rsid w:val="00B32E46"/>
    <w:rsid w:val="00B3301F"/>
    <w:rsid w:val="00B3343F"/>
    <w:rsid w:val="00B335A5"/>
    <w:rsid w:val="00B33616"/>
    <w:rsid w:val="00B336B4"/>
    <w:rsid w:val="00B337CE"/>
    <w:rsid w:val="00B33956"/>
    <w:rsid w:val="00B339DB"/>
    <w:rsid w:val="00B33A39"/>
    <w:rsid w:val="00B33D59"/>
    <w:rsid w:val="00B33F00"/>
    <w:rsid w:val="00B33FD7"/>
    <w:rsid w:val="00B3418D"/>
    <w:rsid w:val="00B34C04"/>
    <w:rsid w:val="00B34D4F"/>
    <w:rsid w:val="00B34E51"/>
    <w:rsid w:val="00B350FE"/>
    <w:rsid w:val="00B35162"/>
    <w:rsid w:val="00B352A7"/>
    <w:rsid w:val="00B353E9"/>
    <w:rsid w:val="00B3540E"/>
    <w:rsid w:val="00B3557D"/>
    <w:rsid w:val="00B3559C"/>
    <w:rsid w:val="00B355EB"/>
    <w:rsid w:val="00B35AEC"/>
    <w:rsid w:val="00B3604F"/>
    <w:rsid w:val="00B36207"/>
    <w:rsid w:val="00B36665"/>
    <w:rsid w:val="00B3671E"/>
    <w:rsid w:val="00B367AC"/>
    <w:rsid w:val="00B369B3"/>
    <w:rsid w:val="00B36A8E"/>
    <w:rsid w:val="00B36D21"/>
    <w:rsid w:val="00B36FC4"/>
    <w:rsid w:val="00B37340"/>
    <w:rsid w:val="00B373B2"/>
    <w:rsid w:val="00B376BE"/>
    <w:rsid w:val="00B37837"/>
    <w:rsid w:val="00B378D9"/>
    <w:rsid w:val="00B379CD"/>
    <w:rsid w:val="00B37ADC"/>
    <w:rsid w:val="00B37B35"/>
    <w:rsid w:val="00B37E99"/>
    <w:rsid w:val="00B37EAA"/>
    <w:rsid w:val="00B40131"/>
    <w:rsid w:val="00B4027F"/>
    <w:rsid w:val="00B40285"/>
    <w:rsid w:val="00B403A6"/>
    <w:rsid w:val="00B404B2"/>
    <w:rsid w:val="00B405A5"/>
    <w:rsid w:val="00B40646"/>
    <w:rsid w:val="00B4095E"/>
    <w:rsid w:val="00B40B19"/>
    <w:rsid w:val="00B40B51"/>
    <w:rsid w:val="00B40EA5"/>
    <w:rsid w:val="00B40EF2"/>
    <w:rsid w:val="00B410E2"/>
    <w:rsid w:val="00B410F1"/>
    <w:rsid w:val="00B41559"/>
    <w:rsid w:val="00B41610"/>
    <w:rsid w:val="00B4163E"/>
    <w:rsid w:val="00B41979"/>
    <w:rsid w:val="00B419E3"/>
    <w:rsid w:val="00B41B71"/>
    <w:rsid w:val="00B41CF2"/>
    <w:rsid w:val="00B41D6A"/>
    <w:rsid w:val="00B42320"/>
    <w:rsid w:val="00B4239F"/>
    <w:rsid w:val="00B424D1"/>
    <w:rsid w:val="00B4256D"/>
    <w:rsid w:val="00B42C69"/>
    <w:rsid w:val="00B42CE2"/>
    <w:rsid w:val="00B42F03"/>
    <w:rsid w:val="00B42F06"/>
    <w:rsid w:val="00B43197"/>
    <w:rsid w:val="00B431E8"/>
    <w:rsid w:val="00B434D9"/>
    <w:rsid w:val="00B43911"/>
    <w:rsid w:val="00B43993"/>
    <w:rsid w:val="00B43A15"/>
    <w:rsid w:val="00B43FA6"/>
    <w:rsid w:val="00B4413A"/>
    <w:rsid w:val="00B4437D"/>
    <w:rsid w:val="00B4459E"/>
    <w:rsid w:val="00B4475A"/>
    <w:rsid w:val="00B448A8"/>
    <w:rsid w:val="00B44B49"/>
    <w:rsid w:val="00B44E66"/>
    <w:rsid w:val="00B44F58"/>
    <w:rsid w:val="00B45087"/>
    <w:rsid w:val="00B450E2"/>
    <w:rsid w:val="00B456B8"/>
    <w:rsid w:val="00B4580D"/>
    <w:rsid w:val="00B45C0D"/>
    <w:rsid w:val="00B45CCB"/>
    <w:rsid w:val="00B45DBD"/>
    <w:rsid w:val="00B45FDD"/>
    <w:rsid w:val="00B461C4"/>
    <w:rsid w:val="00B461F6"/>
    <w:rsid w:val="00B46218"/>
    <w:rsid w:val="00B462AC"/>
    <w:rsid w:val="00B46797"/>
    <w:rsid w:val="00B469A7"/>
    <w:rsid w:val="00B46A6F"/>
    <w:rsid w:val="00B46D05"/>
    <w:rsid w:val="00B46DF4"/>
    <w:rsid w:val="00B46F36"/>
    <w:rsid w:val="00B46F50"/>
    <w:rsid w:val="00B4715F"/>
    <w:rsid w:val="00B471AA"/>
    <w:rsid w:val="00B479D4"/>
    <w:rsid w:val="00B47E19"/>
    <w:rsid w:val="00B500D4"/>
    <w:rsid w:val="00B5026A"/>
    <w:rsid w:val="00B5089C"/>
    <w:rsid w:val="00B50AAD"/>
    <w:rsid w:val="00B50B33"/>
    <w:rsid w:val="00B50F97"/>
    <w:rsid w:val="00B51221"/>
    <w:rsid w:val="00B5152F"/>
    <w:rsid w:val="00B5162A"/>
    <w:rsid w:val="00B51A2E"/>
    <w:rsid w:val="00B51B53"/>
    <w:rsid w:val="00B51BBD"/>
    <w:rsid w:val="00B51FCC"/>
    <w:rsid w:val="00B5206E"/>
    <w:rsid w:val="00B52211"/>
    <w:rsid w:val="00B52607"/>
    <w:rsid w:val="00B52845"/>
    <w:rsid w:val="00B5297E"/>
    <w:rsid w:val="00B529E4"/>
    <w:rsid w:val="00B52CFF"/>
    <w:rsid w:val="00B5305D"/>
    <w:rsid w:val="00B5334F"/>
    <w:rsid w:val="00B53702"/>
    <w:rsid w:val="00B53A2F"/>
    <w:rsid w:val="00B53AB5"/>
    <w:rsid w:val="00B53B83"/>
    <w:rsid w:val="00B53E03"/>
    <w:rsid w:val="00B5404F"/>
    <w:rsid w:val="00B5413A"/>
    <w:rsid w:val="00B541BF"/>
    <w:rsid w:val="00B54645"/>
    <w:rsid w:val="00B547E4"/>
    <w:rsid w:val="00B54A4A"/>
    <w:rsid w:val="00B54B8F"/>
    <w:rsid w:val="00B54C85"/>
    <w:rsid w:val="00B54CD6"/>
    <w:rsid w:val="00B54D5B"/>
    <w:rsid w:val="00B54FFF"/>
    <w:rsid w:val="00B55019"/>
    <w:rsid w:val="00B5507A"/>
    <w:rsid w:val="00B559F8"/>
    <w:rsid w:val="00B55A2E"/>
    <w:rsid w:val="00B55E8B"/>
    <w:rsid w:val="00B55EC2"/>
    <w:rsid w:val="00B56044"/>
    <w:rsid w:val="00B563C6"/>
    <w:rsid w:val="00B56465"/>
    <w:rsid w:val="00B56558"/>
    <w:rsid w:val="00B5663F"/>
    <w:rsid w:val="00B56C2B"/>
    <w:rsid w:val="00B56CED"/>
    <w:rsid w:val="00B56F05"/>
    <w:rsid w:val="00B5700C"/>
    <w:rsid w:val="00B570E5"/>
    <w:rsid w:val="00B57202"/>
    <w:rsid w:val="00B573DA"/>
    <w:rsid w:val="00B57473"/>
    <w:rsid w:val="00B576B0"/>
    <w:rsid w:val="00B57813"/>
    <w:rsid w:val="00B57984"/>
    <w:rsid w:val="00B57A48"/>
    <w:rsid w:val="00B57B68"/>
    <w:rsid w:val="00B57BAE"/>
    <w:rsid w:val="00B57EB7"/>
    <w:rsid w:val="00B57FB3"/>
    <w:rsid w:val="00B6017F"/>
    <w:rsid w:val="00B602A6"/>
    <w:rsid w:val="00B60596"/>
    <w:rsid w:val="00B6065C"/>
    <w:rsid w:val="00B60798"/>
    <w:rsid w:val="00B60947"/>
    <w:rsid w:val="00B60C07"/>
    <w:rsid w:val="00B60CC3"/>
    <w:rsid w:val="00B60E84"/>
    <w:rsid w:val="00B61679"/>
    <w:rsid w:val="00B6172B"/>
    <w:rsid w:val="00B61740"/>
    <w:rsid w:val="00B61807"/>
    <w:rsid w:val="00B61DF4"/>
    <w:rsid w:val="00B6213D"/>
    <w:rsid w:val="00B625DE"/>
    <w:rsid w:val="00B62909"/>
    <w:rsid w:val="00B62DBA"/>
    <w:rsid w:val="00B6351F"/>
    <w:rsid w:val="00B6359C"/>
    <w:rsid w:val="00B63658"/>
    <w:rsid w:val="00B636F6"/>
    <w:rsid w:val="00B6382C"/>
    <w:rsid w:val="00B63959"/>
    <w:rsid w:val="00B63AA2"/>
    <w:rsid w:val="00B63B0E"/>
    <w:rsid w:val="00B63C4F"/>
    <w:rsid w:val="00B63DD5"/>
    <w:rsid w:val="00B63EB6"/>
    <w:rsid w:val="00B63EEF"/>
    <w:rsid w:val="00B642AB"/>
    <w:rsid w:val="00B64359"/>
    <w:rsid w:val="00B64384"/>
    <w:rsid w:val="00B645B1"/>
    <w:rsid w:val="00B645CA"/>
    <w:rsid w:val="00B647BA"/>
    <w:rsid w:val="00B64D8F"/>
    <w:rsid w:val="00B64FD9"/>
    <w:rsid w:val="00B64FEB"/>
    <w:rsid w:val="00B65126"/>
    <w:rsid w:val="00B65313"/>
    <w:rsid w:val="00B656EE"/>
    <w:rsid w:val="00B6576D"/>
    <w:rsid w:val="00B65845"/>
    <w:rsid w:val="00B65F0B"/>
    <w:rsid w:val="00B65F38"/>
    <w:rsid w:val="00B6603A"/>
    <w:rsid w:val="00B6697C"/>
    <w:rsid w:val="00B670D0"/>
    <w:rsid w:val="00B67878"/>
    <w:rsid w:val="00B678B0"/>
    <w:rsid w:val="00B67B00"/>
    <w:rsid w:val="00B67BFD"/>
    <w:rsid w:val="00B67C6F"/>
    <w:rsid w:val="00B67E14"/>
    <w:rsid w:val="00B67E75"/>
    <w:rsid w:val="00B67EDD"/>
    <w:rsid w:val="00B67EEE"/>
    <w:rsid w:val="00B70336"/>
    <w:rsid w:val="00B7070E"/>
    <w:rsid w:val="00B70828"/>
    <w:rsid w:val="00B70B54"/>
    <w:rsid w:val="00B70D31"/>
    <w:rsid w:val="00B70D56"/>
    <w:rsid w:val="00B712D0"/>
    <w:rsid w:val="00B7134E"/>
    <w:rsid w:val="00B7136C"/>
    <w:rsid w:val="00B713A1"/>
    <w:rsid w:val="00B7186E"/>
    <w:rsid w:val="00B718A6"/>
    <w:rsid w:val="00B71A27"/>
    <w:rsid w:val="00B71D04"/>
    <w:rsid w:val="00B71DCA"/>
    <w:rsid w:val="00B71FA6"/>
    <w:rsid w:val="00B72202"/>
    <w:rsid w:val="00B72391"/>
    <w:rsid w:val="00B729E6"/>
    <w:rsid w:val="00B72CEA"/>
    <w:rsid w:val="00B72DE6"/>
    <w:rsid w:val="00B73045"/>
    <w:rsid w:val="00B7306C"/>
    <w:rsid w:val="00B73287"/>
    <w:rsid w:val="00B734B9"/>
    <w:rsid w:val="00B73509"/>
    <w:rsid w:val="00B735C4"/>
    <w:rsid w:val="00B7399F"/>
    <w:rsid w:val="00B73C37"/>
    <w:rsid w:val="00B73C4D"/>
    <w:rsid w:val="00B7441A"/>
    <w:rsid w:val="00B747DE"/>
    <w:rsid w:val="00B74914"/>
    <w:rsid w:val="00B74CEE"/>
    <w:rsid w:val="00B7544B"/>
    <w:rsid w:val="00B75771"/>
    <w:rsid w:val="00B75BC7"/>
    <w:rsid w:val="00B75C0A"/>
    <w:rsid w:val="00B75CF1"/>
    <w:rsid w:val="00B75D66"/>
    <w:rsid w:val="00B75FDD"/>
    <w:rsid w:val="00B7605E"/>
    <w:rsid w:val="00B7615E"/>
    <w:rsid w:val="00B7636F"/>
    <w:rsid w:val="00B766C1"/>
    <w:rsid w:val="00B7678F"/>
    <w:rsid w:val="00B767B2"/>
    <w:rsid w:val="00B76AC4"/>
    <w:rsid w:val="00B76B55"/>
    <w:rsid w:val="00B770F2"/>
    <w:rsid w:val="00B775C9"/>
    <w:rsid w:val="00B77D0E"/>
    <w:rsid w:val="00B77E62"/>
    <w:rsid w:val="00B77F12"/>
    <w:rsid w:val="00B80015"/>
    <w:rsid w:val="00B8067B"/>
    <w:rsid w:val="00B808EF"/>
    <w:rsid w:val="00B80995"/>
    <w:rsid w:val="00B80A81"/>
    <w:rsid w:val="00B80C4F"/>
    <w:rsid w:val="00B80D43"/>
    <w:rsid w:val="00B80E48"/>
    <w:rsid w:val="00B80F4C"/>
    <w:rsid w:val="00B81177"/>
    <w:rsid w:val="00B811B2"/>
    <w:rsid w:val="00B81801"/>
    <w:rsid w:val="00B818B9"/>
    <w:rsid w:val="00B8198E"/>
    <w:rsid w:val="00B81B83"/>
    <w:rsid w:val="00B81EC3"/>
    <w:rsid w:val="00B81F06"/>
    <w:rsid w:val="00B8214E"/>
    <w:rsid w:val="00B821A4"/>
    <w:rsid w:val="00B826AE"/>
    <w:rsid w:val="00B82B70"/>
    <w:rsid w:val="00B82BE5"/>
    <w:rsid w:val="00B8373E"/>
    <w:rsid w:val="00B839B2"/>
    <w:rsid w:val="00B83B9F"/>
    <w:rsid w:val="00B83CDA"/>
    <w:rsid w:val="00B83D04"/>
    <w:rsid w:val="00B83DA6"/>
    <w:rsid w:val="00B84021"/>
    <w:rsid w:val="00B84175"/>
    <w:rsid w:val="00B841AD"/>
    <w:rsid w:val="00B8437F"/>
    <w:rsid w:val="00B845CB"/>
    <w:rsid w:val="00B8464F"/>
    <w:rsid w:val="00B846D8"/>
    <w:rsid w:val="00B84CE5"/>
    <w:rsid w:val="00B85264"/>
    <w:rsid w:val="00B8526D"/>
    <w:rsid w:val="00B85815"/>
    <w:rsid w:val="00B8593B"/>
    <w:rsid w:val="00B85B30"/>
    <w:rsid w:val="00B85B8A"/>
    <w:rsid w:val="00B85B8F"/>
    <w:rsid w:val="00B85FD2"/>
    <w:rsid w:val="00B86092"/>
    <w:rsid w:val="00B862E2"/>
    <w:rsid w:val="00B86300"/>
    <w:rsid w:val="00B865A3"/>
    <w:rsid w:val="00B8662E"/>
    <w:rsid w:val="00B866FD"/>
    <w:rsid w:val="00B867B8"/>
    <w:rsid w:val="00B867C3"/>
    <w:rsid w:val="00B86C59"/>
    <w:rsid w:val="00B86C84"/>
    <w:rsid w:val="00B86DF6"/>
    <w:rsid w:val="00B86E4A"/>
    <w:rsid w:val="00B86F74"/>
    <w:rsid w:val="00B87022"/>
    <w:rsid w:val="00B87236"/>
    <w:rsid w:val="00B872CB"/>
    <w:rsid w:val="00B87315"/>
    <w:rsid w:val="00B87679"/>
    <w:rsid w:val="00B876A2"/>
    <w:rsid w:val="00B876EB"/>
    <w:rsid w:val="00B87A66"/>
    <w:rsid w:val="00B87C40"/>
    <w:rsid w:val="00B87C96"/>
    <w:rsid w:val="00B87E1E"/>
    <w:rsid w:val="00B90012"/>
    <w:rsid w:val="00B90138"/>
    <w:rsid w:val="00B90230"/>
    <w:rsid w:val="00B904DB"/>
    <w:rsid w:val="00B90620"/>
    <w:rsid w:val="00B908B5"/>
    <w:rsid w:val="00B90B2E"/>
    <w:rsid w:val="00B90B8E"/>
    <w:rsid w:val="00B90D0B"/>
    <w:rsid w:val="00B91072"/>
    <w:rsid w:val="00B916BB"/>
    <w:rsid w:val="00B9185B"/>
    <w:rsid w:val="00B91944"/>
    <w:rsid w:val="00B919A2"/>
    <w:rsid w:val="00B919C8"/>
    <w:rsid w:val="00B91A7C"/>
    <w:rsid w:val="00B920C4"/>
    <w:rsid w:val="00B9229D"/>
    <w:rsid w:val="00B92558"/>
    <w:rsid w:val="00B927BA"/>
    <w:rsid w:val="00B92B89"/>
    <w:rsid w:val="00B92D43"/>
    <w:rsid w:val="00B92FC3"/>
    <w:rsid w:val="00B9308B"/>
    <w:rsid w:val="00B93513"/>
    <w:rsid w:val="00B93C87"/>
    <w:rsid w:val="00B93CEF"/>
    <w:rsid w:val="00B93CF5"/>
    <w:rsid w:val="00B93DA9"/>
    <w:rsid w:val="00B93E02"/>
    <w:rsid w:val="00B93E12"/>
    <w:rsid w:val="00B93F06"/>
    <w:rsid w:val="00B94298"/>
    <w:rsid w:val="00B943D9"/>
    <w:rsid w:val="00B94418"/>
    <w:rsid w:val="00B949FF"/>
    <w:rsid w:val="00B94B30"/>
    <w:rsid w:val="00B94C79"/>
    <w:rsid w:val="00B950C9"/>
    <w:rsid w:val="00B955E6"/>
    <w:rsid w:val="00B95671"/>
    <w:rsid w:val="00B957D3"/>
    <w:rsid w:val="00B95A4F"/>
    <w:rsid w:val="00B95C0A"/>
    <w:rsid w:val="00B95E8E"/>
    <w:rsid w:val="00B95EA1"/>
    <w:rsid w:val="00B961D9"/>
    <w:rsid w:val="00B96362"/>
    <w:rsid w:val="00B968D9"/>
    <w:rsid w:val="00B96E87"/>
    <w:rsid w:val="00B9706D"/>
    <w:rsid w:val="00B971CC"/>
    <w:rsid w:val="00B972A6"/>
    <w:rsid w:val="00B9736A"/>
    <w:rsid w:val="00B973F7"/>
    <w:rsid w:val="00B975FD"/>
    <w:rsid w:val="00B97817"/>
    <w:rsid w:val="00B97B09"/>
    <w:rsid w:val="00B97E77"/>
    <w:rsid w:val="00BA0174"/>
    <w:rsid w:val="00BA024A"/>
    <w:rsid w:val="00BA03DD"/>
    <w:rsid w:val="00BA046F"/>
    <w:rsid w:val="00BA05D5"/>
    <w:rsid w:val="00BA066D"/>
    <w:rsid w:val="00BA0A5E"/>
    <w:rsid w:val="00BA0AEA"/>
    <w:rsid w:val="00BA0B09"/>
    <w:rsid w:val="00BA0F22"/>
    <w:rsid w:val="00BA122D"/>
    <w:rsid w:val="00BA13D1"/>
    <w:rsid w:val="00BA1466"/>
    <w:rsid w:val="00BA14C7"/>
    <w:rsid w:val="00BA15AD"/>
    <w:rsid w:val="00BA163D"/>
    <w:rsid w:val="00BA18A5"/>
    <w:rsid w:val="00BA1AB9"/>
    <w:rsid w:val="00BA1E1A"/>
    <w:rsid w:val="00BA1E94"/>
    <w:rsid w:val="00BA1EB7"/>
    <w:rsid w:val="00BA2056"/>
    <w:rsid w:val="00BA2216"/>
    <w:rsid w:val="00BA230F"/>
    <w:rsid w:val="00BA266F"/>
    <w:rsid w:val="00BA2778"/>
    <w:rsid w:val="00BA28A0"/>
    <w:rsid w:val="00BA2A2D"/>
    <w:rsid w:val="00BA2BAA"/>
    <w:rsid w:val="00BA2D1F"/>
    <w:rsid w:val="00BA3056"/>
    <w:rsid w:val="00BA305F"/>
    <w:rsid w:val="00BA31A0"/>
    <w:rsid w:val="00BA3552"/>
    <w:rsid w:val="00BA3577"/>
    <w:rsid w:val="00BA3739"/>
    <w:rsid w:val="00BA38CC"/>
    <w:rsid w:val="00BA39B1"/>
    <w:rsid w:val="00BA420C"/>
    <w:rsid w:val="00BA441C"/>
    <w:rsid w:val="00BA44A3"/>
    <w:rsid w:val="00BA463D"/>
    <w:rsid w:val="00BA4668"/>
    <w:rsid w:val="00BA47E9"/>
    <w:rsid w:val="00BA4A25"/>
    <w:rsid w:val="00BA4A30"/>
    <w:rsid w:val="00BA4A64"/>
    <w:rsid w:val="00BA4E3C"/>
    <w:rsid w:val="00BA4E69"/>
    <w:rsid w:val="00BA4F2C"/>
    <w:rsid w:val="00BA4F88"/>
    <w:rsid w:val="00BA4FD3"/>
    <w:rsid w:val="00BA506C"/>
    <w:rsid w:val="00BA5186"/>
    <w:rsid w:val="00BA5477"/>
    <w:rsid w:val="00BA552C"/>
    <w:rsid w:val="00BA559A"/>
    <w:rsid w:val="00BA586B"/>
    <w:rsid w:val="00BA58CE"/>
    <w:rsid w:val="00BA5C55"/>
    <w:rsid w:val="00BA6096"/>
    <w:rsid w:val="00BA613B"/>
    <w:rsid w:val="00BA61D1"/>
    <w:rsid w:val="00BA64DE"/>
    <w:rsid w:val="00BA662A"/>
    <w:rsid w:val="00BA671B"/>
    <w:rsid w:val="00BA685E"/>
    <w:rsid w:val="00BA6D99"/>
    <w:rsid w:val="00BA6DD0"/>
    <w:rsid w:val="00BA6E21"/>
    <w:rsid w:val="00BA7088"/>
    <w:rsid w:val="00BA713C"/>
    <w:rsid w:val="00BA735B"/>
    <w:rsid w:val="00BA76FF"/>
    <w:rsid w:val="00BA79CC"/>
    <w:rsid w:val="00BA7AF1"/>
    <w:rsid w:val="00BA7B45"/>
    <w:rsid w:val="00BA7B7E"/>
    <w:rsid w:val="00BA7D5B"/>
    <w:rsid w:val="00BA7E00"/>
    <w:rsid w:val="00BA7F3B"/>
    <w:rsid w:val="00BB005E"/>
    <w:rsid w:val="00BB012A"/>
    <w:rsid w:val="00BB0665"/>
    <w:rsid w:val="00BB0A29"/>
    <w:rsid w:val="00BB0A2F"/>
    <w:rsid w:val="00BB0A48"/>
    <w:rsid w:val="00BB0E77"/>
    <w:rsid w:val="00BB127F"/>
    <w:rsid w:val="00BB1290"/>
    <w:rsid w:val="00BB142A"/>
    <w:rsid w:val="00BB1666"/>
    <w:rsid w:val="00BB1747"/>
    <w:rsid w:val="00BB17DE"/>
    <w:rsid w:val="00BB1D3A"/>
    <w:rsid w:val="00BB1F18"/>
    <w:rsid w:val="00BB1F31"/>
    <w:rsid w:val="00BB1F5D"/>
    <w:rsid w:val="00BB2731"/>
    <w:rsid w:val="00BB2B72"/>
    <w:rsid w:val="00BB2DA2"/>
    <w:rsid w:val="00BB2DC3"/>
    <w:rsid w:val="00BB2E81"/>
    <w:rsid w:val="00BB2E97"/>
    <w:rsid w:val="00BB3573"/>
    <w:rsid w:val="00BB36F2"/>
    <w:rsid w:val="00BB3F69"/>
    <w:rsid w:val="00BB42ED"/>
    <w:rsid w:val="00BB4366"/>
    <w:rsid w:val="00BB458A"/>
    <w:rsid w:val="00BB45F9"/>
    <w:rsid w:val="00BB47A0"/>
    <w:rsid w:val="00BB49FA"/>
    <w:rsid w:val="00BB4A37"/>
    <w:rsid w:val="00BB4A71"/>
    <w:rsid w:val="00BB4ABA"/>
    <w:rsid w:val="00BB5113"/>
    <w:rsid w:val="00BB5205"/>
    <w:rsid w:val="00BB5243"/>
    <w:rsid w:val="00BB5295"/>
    <w:rsid w:val="00BB5448"/>
    <w:rsid w:val="00BB5518"/>
    <w:rsid w:val="00BB5B17"/>
    <w:rsid w:val="00BB5C17"/>
    <w:rsid w:val="00BB5E0E"/>
    <w:rsid w:val="00BB61C0"/>
    <w:rsid w:val="00BB64B3"/>
    <w:rsid w:val="00BB677F"/>
    <w:rsid w:val="00BB6979"/>
    <w:rsid w:val="00BB6AE3"/>
    <w:rsid w:val="00BB7105"/>
    <w:rsid w:val="00BB714E"/>
    <w:rsid w:val="00BB71A7"/>
    <w:rsid w:val="00BB7285"/>
    <w:rsid w:val="00BB7817"/>
    <w:rsid w:val="00BB7D6A"/>
    <w:rsid w:val="00BB7DC1"/>
    <w:rsid w:val="00BC0050"/>
    <w:rsid w:val="00BC0144"/>
    <w:rsid w:val="00BC04A2"/>
    <w:rsid w:val="00BC08E8"/>
    <w:rsid w:val="00BC0BC0"/>
    <w:rsid w:val="00BC0C21"/>
    <w:rsid w:val="00BC0F3F"/>
    <w:rsid w:val="00BC10F2"/>
    <w:rsid w:val="00BC14BB"/>
    <w:rsid w:val="00BC1625"/>
    <w:rsid w:val="00BC17E6"/>
    <w:rsid w:val="00BC1833"/>
    <w:rsid w:val="00BC1B75"/>
    <w:rsid w:val="00BC1BDE"/>
    <w:rsid w:val="00BC1E25"/>
    <w:rsid w:val="00BC1E7B"/>
    <w:rsid w:val="00BC2095"/>
    <w:rsid w:val="00BC2380"/>
    <w:rsid w:val="00BC28EC"/>
    <w:rsid w:val="00BC29EA"/>
    <w:rsid w:val="00BC2AC0"/>
    <w:rsid w:val="00BC2E2B"/>
    <w:rsid w:val="00BC3724"/>
    <w:rsid w:val="00BC3743"/>
    <w:rsid w:val="00BC3AA6"/>
    <w:rsid w:val="00BC3E73"/>
    <w:rsid w:val="00BC3F17"/>
    <w:rsid w:val="00BC4157"/>
    <w:rsid w:val="00BC442F"/>
    <w:rsid w:val="00BC4A06"/>
    <w:rsid w:val="00BC4BCB"/>
    <w:rsid w:val="00BC4DCE"/>
    <w:rsid w:val="00BC4ED8"/>
    <w:rsid w:val="00BC4F17"/>
    <w:rsid w:val="00BC5318"/>
    <w:rsid w:val="00BC5374"/>
    <w:rsid w:val="00BC56C2"/>
    <w:rsid w:val="00BC586B"/>
    <w:rsid w:val="00BC5930"/>
    <w:rsid w:val="00BC5B3C"/>
    <w:rsid w:val="00BC5C5F"/>
    <w:rsid w:val="00BC5DCA"/>
    <w:rsid w:val="00BC5E44"/>
    <w:rsid w:val="00BC60F3"/>
    <w:rsid w:val="00BC6382"/>
    <w:rsid w:val="00BC65C2"/>
    <w:rsid w:val="00BC6620"/>
    <w:rsid w:val="00BC667C"/>
    <w:rsid w:val="00BC69FB"/>
    <w:rsid w:val="00BC6BA0"/>
    <w:rsid w:val="00BC6C58"/>
    <w:rsid w:val="00BC6DC6"/>
    <w:rsid w:val="00BC704E"/>
    <w:rsid w:val="00BC7064"/>
    <w:rsid w:val="00BC70CA"/>
    <w:rsid w:val="00BC7232"/>
    <w:rsid w:val="00BC7709"/>
    <w:rsid w:val="00BC7945"/>
    <w:rsid w:val="00BC79EC"/>
    <w:rsid w:val="00BC7B77"/>
    <w:rsid w:val="00BD00B9"/>
    <w:rsid w:val="00BD011B"/>
    <w:rsid w:val="00BD021F"/>
    <w:rsid w:val="00BD09AF"/>
    <w:rsid w:val="00BD0BF9"/>
    <w:rsid w:val="00BD0CD8"/>
    <w:rsid w:val="00BD0F39"/>
    <w:rsid w:val="00BD103A"/>
    <w:rsid w:val="00BD10D7"/>
    <w:rsid w:val="00BD132B"/>
    <w:rsid w:val="00BD1424"/>
    <w:rsid w:val="00BD1489"/>
    <w:rsid w:val="00BD1679"/>
    <w:rsid w:val="00BD17DF"/>
    <w:rsid w:val="00BD1804"/>
    <w:rsid w:val="00BD18B8"/>
    <w:rsid w:val="00BD1919"/>
    <w:rsid w:val="00BD1A97"/>
    <w:rsid w:val="00BD1AE9"/>
    <w:rsid w:val="00BD1BA6"/>
    <w:rsid w:val="00BD1CB3"/>
    <w:rsid w:val="00BD1CD5"/>
    <w:rsid w:val="00BD22AC"/>
    <w:rsid w:val="00BD231A"/>
    <w:rsid w:val="00BD25CD"/>
    <w:rsid w:val="00BD2A99"/>
    <w:rsid w:val="00BD2B23"/>
    <w:rsid w:val="00BD2E53"/>
    <w:rsid w:val="00BD2F74"/>
    <w:rsid w:val="00BD300D"/>
    <w:rsid w:val="00BD343B"/>
    <w:rsid w:val="00BD3446"/>
    <w:rsid w:val="00BD381E"/>
    <w:rsid w:val="00BD38AC"/>
    <w:rsid w:val="00BD39B7"/>
    <w:rsid w:val="00BD405B"/>
    <w:rsid w:val="00BD408D"/>
    <w:rsid w:val="00BD426C"/>
    <w:rsid w:val="00BD42B7"/>
    <w:rsid w:val="00BD45A2"/>
    <w:rsid w:val="00BD45D9"/>
    <w:rsid w:val="00BD45FC"/>
    <w:rsid w:val="00BD49DF"/>
    <w:rsid w:val="00BD4ACF"/>
    <w:rsid w:val="00BD4D3D"/>
    <w:rsid w:val="00BD4E28"/>
    <w:rsid w:val="00BD4F15"/>
    <w:rsid w:val="00BD516C"/>
    <w:rsid w:val="00BD54EB"/>
    <w:rsid w:val="00BD5972"/>
    <w:rsid w:val="00BD604E"/>
    <w:rsid w:val="00BD631A"/>
    <w:rsid w:val="00BD64B6"/>
    <w:rsid w:val="00BD66AE"/>
    <w:rsid w:val="00BD6843"/>
    <w:rsid w:val="00BD696B"/>
    <w:rsid w:val="00BD6AEA"/>
    <w:rsid w:val="00BD6C30"/>
    <w:rsid w:val="00BD6FBE"/>
    <w:rsid w:val="00BD74EC"/>
    <w:rsid w:val="00BD76DF"/>
    <w:rsid w:val="00BD770C"/>
    <w:rsid w:val="00BD78ED"/>
    <w:rsid w:val="00BD7A93"/>
    <w:rsid w:val="00BD7AF2"/>
    <w:rsid w:val="00BD7D58"/>
    <w:rsid w:val="00BD7E93"/>
    <w:rsid w:val="00BD7EFA"/>
    <w:rsid w:val="00BE00A9"/>
    <w:rsid w:val="00BE0198"/>
    <w:rsid w:val="00BE03DB"/>
    <w:rsid w:val="00BE048D"/>
    <w:rsid w:val="00BE069B"/>
    <w:rsid w:val="00BE0E29"/>
    <w:rsid w:val="00BE0EC8"/>
    <w:rsid w:val="00BE1093"/>
    <w:rsid w:val="00BE1320"/>
    <w:rsid w:val="00BE15DA"/>
    <w:rsid w:val="00BE164B"/>
    <w:rsid w:val="00BE1706"/>
    <w:rsid w:val="00BE17BC"/>
    <w:rsid w:val="00BE1824"/>
    <w:rsid w:val="00BE1947"/>
    <w:rsid w:val="00BE1A43"/>
    <w:rsid w:val="00BE1C34"/>
    <w:rsid w:val="00BE1E7A"/>
    <w:rsid w:val="00BE2048"/>
    <w:rsid w:val="00BE2427"/>
    <w:rsid w:val="00BE248C"/>
    <w:rsid w:val="00BE2719"/>
    <w:rsid w:val="00BE2907"/>
    <w:rsid w:val="00BE2A3C"/>
    <w:rsid w:val="00BE2CC8"/>
    <w:rsid w:val="00BE2F13"/>
    <w:rsid w:val="00BE3118"/>
    <w:rsid w:val="00BE335B"/>
    <w:rsid w:val="00BE3B6E"/>
    <w:rsid w:val="00BE3B7D"/>
    <w:rsid w:val="00BE3D2A"/>
    <w:rsid w:val="00BE4086"/>
    <w:rsid w:val="00BE4587"/>
    <w:rsid w:val="00BE48C8"/>
    <w:rsid w:val="00BE4915"/>
    <w:rsid w:val="00BE4C38"/>
    <w:rsid w:val="00BE4CB8"/>
    <w:rsid w:val="00BE4E11"/>
    <w:rsid w:val="00BE4E44"/>
    <w:rsid w:val="00BE500D"/>
    <w:rsid w:val="00BE5321"/>
    <w:rsid w:val="00BE5365"/>
    <w:rsid w:val="00BE54D5"/>
    <w:rsid w:val="00BE5616"/>
    <w:rsid w:val="00BE5789"/>
    <w:rsid w:val="00BE5862"/>
    <w:rsid w:val="00BE5CF2"/>
    <w:rsid w:val="00BE600E"/>
    <w:rsid w:val="00BE60FB"/>
    <w:rsid w:val="00BE6100"/>
    <w:rsid w:val="00BE626F"/>
    <w:rsid w:val="00BE63EC"/>
    <w:rsid w:val="00BE652B"/>
    <w:rsid w:val="00BE675B"/>
    <w:rsid w:val="00BE69CB"/>
    <w:rsid w:val="00BE6C93"/>
    <w:rsid w:val="00BE6D8B"/>
    <w:rsid w:val="00BE6DB8"/>
    <w:rsid w:val="00BE6E15"/>
    <w:rsid w:val="00BE6EF7"/>
    <w:rsid w:val="00BE7203"/>
    <w:rsid w:val="00BE751C"/>
    <w:rsid w:val="00BE7520"/>
    <w:rsid w:val="00BE7754"/>
    <w:rsid w:val="00BF02F8"/>
    <w:rsid w:val="00BF09CF"/>
    <w:rsid w:val="00BF0B8B"/>
    <w:rsid w:val="00BF0C44"/>
    <w:rsid w:val="00BF12D0"/>
    <w:rsid w:val="00BF14AC"/>
    <w:rsid w:val="00BF14FD"/>
    <w:rsid w:val="00BF1601"/>
    <w:rsid w:val="00BF16D1"/>
    <w:rsid w:val="00BF16E5"/>
    <w:rsid w:val="00BF1795"/>
    <w:rsid w:val="00BF195E"/>
    <w:rsid w:val="00BF1995"/>
    <w:rsid w:val="00BF19C9"/>
    <w:rsid w:val="00BF1AC4"/>
    <w:rsid w:val="00BF1E8E"/>
    <w:rsid w:val="00BF1F7C"/>
    <w:rsid w:val="00BF1FE1"/>
    <w:rsid w:val="00BF284D"/>
    <w:rsid w:val="00BF286E"/>
    <w:rsid w:val="00BF29DB"/>
    <w:rsid w:val="00BF2A1D"/>
    <w:rsid w:val="00BF2BE0"/>
    <w:rsid w:val="00BF2F3D"/>
    <w:rsid w:val="00BF30E8"/>
    <w:rsid w:val="00BF3334"/>
    <w:rsid w:val="00BF3600"/>
    <w:rsid w:val="00BF36FF"/>
    <w:rsid w:val="00BF38EC"/>
    <w:rsid w:val="00BF39C4"/>
    <w:rsid w:val="00BF3B06"/>
    <w:rsid w:val="00BF4006"/>
    <w:rsid w:val="00BF427F"/>
    <w:rsid w:val="00BF4388"/>
    <w:rsid w:val="00BF468F"/>
    <w:rsid w:val="00BF4AB9"/>
    <w:rsid w:val="00BF4B17"/>
    <w:rsid w:val="00BF53C4"/>
    <w:rsid w:val="00BF53F3"/>
    <w:rsid w:val="00BF56D2"/>
    <w:rsid w:val="00BF584B"/>
    <w:rsid w:val="00BF59C6"/>
    <w:rsid w:val="00BF5A91"/>
    <w:rsid w:val="00BF5C87"/>
    <w:rsid w:val="00BF5D20"/>
    <w:rsid w:val="00BF608B"/>
    <w:rsid w:val="00BF6127"/>
    <w:rsid w:val="00BF61C1"/>
    <w:rsid w:val="00BF63D5"/>
    <w:rsid w:val="00BF6495"/>
    <w:rsid w:val="00BF64AB"/>
    <w:rsid w:val="00BF64E5"/>
    <w:rsid w:val="00BF661A"/>
    <w:rsid w:val="00BF6A24"/>
    <w:rsid w:val="00BF6BD1"/>
    <w:rsid w:val="00BF6C5D"/>
    <w:rsid w:val="00BF6DEF"/>
    <w:rsid w:val="00BF6FD6"/>
    <w:rsid w:val="00BF73A2"/>
    <w:rsid w:val="00BF73DE"/>
    <w:rsid w:val="00BF7782"/>
    <w:rsid w:val="00BF796D"/>
    <w:rsid w:val="00BF79D0"/>
    <w:rsid w:val="00BF7FA0"/>
    <w:rsid w:val="00C00316"/>
    <w:rsid w:val="00C004B5"/>
    <w:rsid w:val="00C0085C"/>
    <w:rsid w:val="00C00A3F"/>
    <w:rsid w:val="00C00B31"/>
    <w:rsid w:val="00C011FE"/>
    <w:rsid w:val="00C01287"/>
    <w:rsid w:val="00C01589"/>
    <w:rsid w:val="00C017B3"/>
    <w:rsid w:val="00C017E1"/>
    <w:rsid w:val="00C017EF"/>
    <w:rsid w:val="00C01808"/>
    <w:rsid w:val="00C01821"/>
    <w:rsid w:val="00C01B9F"/>
    <w:rsid w:val="00C01C81"/>
    <w:rsid w:val="00C01E09"/>
    <w:rsid w:val="00C01E9E"/>
    <w:rsid w:val="00C01EBE"/>
    <w:rsid w:val="00C02241"/>
    <w:rsid w:val="00C02294"/>
    <w:rsid w:val="00C0267A"/>
    <w:rsid w:val="00C026E0"/>
    <w:rsid w:val="00C0283D"/>
    <w:rsid w:val="00C02A4A"/>
    <w:rsid w:val="00C02E19"/>
    <w:rsid w:val="00C02FE5"/>
    <w:rsid w:val="00C03089"/>
    <w:rsid w:val="00C03261"/>
    <w:rsid w:val="00C03553"/>
    <w:rsid w:val="00C03956"/>
    <w:rsid w:val="00C039D8"/>
    <w:rsid w:val="00C03D5E"/>
    <w:rsid w:val="00C03DB5"/>
    <w:rsid w:val="00C04503"/>
    <w:rsid w:val="00C045F0"/>
    <w:rsid w:val="00C046B2"/>
    <w:rsid w:val="00C04F41"/>
    <w:rsid w:val="00C04F45"/>
    <w:rsid w:val="00C05089"/>
    <w:rsid w:val="00C05113"/>
    <w:rsid w:val="00C051A3"/>
    <w:rsid w:val="00C05220"/>
    <w:rsid w:val="00C05951"/>
    <w:rsid w:val="00C05AD0"/>
    <w:rsid w:val="00C05B1C"/>
    <w:rsid w:val="00C061AC"/>
    <w:rsid w:val="00C0652F"/>
    <w:rsid w:val="00C065E4"/>
    <w:rsid w:val="00C065ED"/>
    <w:rsid w:val="00C0666F"/>
    <w:rsid w:val="00C06805"/>
    <w:rsid w:val="00C06966"/>
    <w:rsid w:val="00C06D9E"/>
    <w:rsid w:val="00C06F06"/>
    <w:rsid w:val="00C0747B"/>
    <w:rsid w:val="00C07628"/>
    <w:rsid w:val="00C0781D"/>
    <w:rsid w:val="00C07F7F"/>
    <w:rsid w:val="00C101F8"/>
    <w:rsid w:val="00C10476"/>
    <w:rsid w:val="00C105ED"/>
    <w:rsid w:val="00C1066A"/>
    <w:rsid w:val="00C10815"/>
    <w:rsid w:val="00C108E1"/>
    <w:rsid w:val="00C10A05"/>
    <w:rsid w:val="00C10A38"/>
    <w:rsid w:val="00C10B54"/>
    <w:rsid w:val="00C10B58"/>
    <w:rsid w:val="00C10F69"/>
    <w:rsid w:val="00C111D8"/>
    <w:rsid w:val="00C11491"/>
    <w:rsid w:val="00C1180F"/>
    <w:rsid w:val="00C118B4"/>
    <w:rsid w:val="00C11AA7"/>
    <w:rsid w:val="00C11B6A"/>
    <w:rsid w:val="00C11CB3"/>
    <w:rsid w:val="00C11F5C"/>
    <w:rsid w:val="00C12156"/>
    <w:rsid w:val="00C1220B"/>
    <w:rsid w:val="00C12601"/>
    <w:rsid w:val="00C126E8"/>
    <w:rsid w:val="00C128D8"/>
    <w:rsid w:val="00C1290F"/>
    <w:rsid w:val="00C12936"/>
    <w:rsid w:val="00C129A5"/>
    <w:rsid w:val="00C12A0A"/>
    <w:rsid w:val="00C12A4E"/>
    <w:rsid w:val="00C12D95"/>
    <w:rsid w:val="00C12DDD"/>
    <w:rsid w:val="00C12EE3"/>
    <w:rsid w:val="00C13192"/>
    <w:rsid w:val="00C131B1"/>
    <w:rsid w:val="00C13777"/>
    <w:rsid w:val="00C13CF1"/>
    <w:rsid w:val="00C13D27"/>
    <w:rsid w:val="00C13D36"/>
    <w:rsid w:val="00C13D64"/>
    <w:rsid w:val="00C13E1A"/>
    <w:rsid w:val="00C13F98"/>
    <w:rsid w:val="00C142FE"/>
    <w:rsid w:val="00C14340"/>
    <w:rsid w:val="00C14371"/>
    <w:rsid w:val="00C14708"/>
    <w:rsid w:val="00C14956"/>
    <w:rsid w:val="00C14B6E"/>
    <w:rsid w:val="00C14E1D"/>
    <w:rsid w:val="00C14EF2"/>
    <w:rsid w:val="00C1505E"/>
    <w:rsid w:val="00C150C2"/>
    <w:rsid w:val="00C15114"/>
    <w:rsid w:val="00C152A1"/>
    <w:rsid w:val="00C1531A"/>
    <w:rsid w:val="00C1577E"/>
    <w:rsid w:val="00C1581E"/>
    <w:rsid w:val="00C158B9"/>
    <w:rsid w:val="00C15904"/>
    <w:rsid w:val="00C15BFD"/>
    <w:rsid w:val="00C15C4E"/>
    <w:rsid w:val="00C15D7C"/>
    <w:rsid w:val="00C1614D"/>
    <w:rsid w:val="00C1644D"/>
    <w:rsid w:val="00C16623"/>
    <w:rsid w:val="00C169F2"/>
    <w:rsid w:val="00C16B5B"/>
    <w:rsid w:val="00C171D3"/>
    <w:rsid w:val="00C17363"/>
    <w:rsid w:val="00C17449"/>
    <w:rsid w:val="00C17A55"/>
    <w:rsid w:val="00C17B45"/>
    <w:rsid w:val="00C17D58"/>
    <w:rsid w:val="00C201EE"/>
    <w:rsid w:val="00C20310"/>
    <w:rsid w:val="00C2045F"/>
    <w:rsid w:val="00C204F8"/>
    <w:rsid w:val="00C206F9"/>
    <w:rsid w:val="00C20758"/>
    <w:rsid w:val="00C2075D"/>
    <w:rsid w:val="00C208FD"/>
    <w:rsid w:val="00C20C8A"/>
    <w:rsid w:val="00C21360"/>
    <w:rsid w:val="00C21417"/>
    <w:rsid w:val="00C21880"/>
    <w:rsid w:val="00C21BC7"/>
    <w:rsid w:val="00C21EE7"/>
    <w:rsid w:val="00C220C9"/>
    <w:rsid w:val="00C22146"/>
    <w:rsid w:val="00C222E1"/>
    <w:rsid w:val="00C2267E"/>
    <w:rsid w:val="00C22AFA"/>
    <w:rsid w:val="00C22E13"/>
    <w:rsid w:val="00C2304B"/>
    <w:rsid w:val="00C2309C"/>
    <w:rsid w:val="00C2316A"/>
    <w:rsid w:val="00C2331A"/>
    <w:rsid w:val="00C23ACC"/>
    <w:rsid w:val="00C247EA"/>
    <w:rsid w:val="00C24D91"/>
    <w:rsid w:val="00C250E1"/>
    <w:rsid w:val="00C25376"/>
    <w:rsid w:val="00C25433"/>
    <w:rsid w:val="00C254E2"/>
    <w:rsid w:val="00C256DA"/>
    <w:rsid w:val="00C25838"/>
    <w:rsid w:val="00C258AB"/>
    <w:rsid w:val="00C25B28"/>
    <w:rsid w:val="00C25F3C"/>
    <w:rsid w:val="00C25FC3"/>
    <w:rsid w:val="00C26223"/>
    <w:rsid w:val="00C263C9"/>
    <w:rsid w:val="00C26500"/>
    <w:rsid w:val="00C26933"/>
    <w:rsid w:val="00C2699E"/>
    <w:rsid w:val="00C26AC7"/>
    <w:rsid w:val="00C26D72"/>
    <w:rsid w:val="00C26DA7"/>
    <w:rsid w:val="00C27204"/>
    <w:rsid w:val="00C2752F"/>
    <w:rsid w:val="00C2788E"/>
    <w:rsid w:val="00C278BA"/>
    <w:rsid w:val="00C27B16"/>
    <w:rsid w:val="00C27ED0"/>
    <w:rsid w:val="00C27F2D"/>
    <w:rsid w:val="00C27F2E"/>
    <w:rsid w:val="00C30025"/>
    <w:rsid w:val="00C3010D"/>
    <w:rsid w:val="00C301C6"/>
    <w:rsid w:val="00C301DB"/>
    <w:rsid w:val="00C3074D"/>
    <w:rsid w:val="00C30883"/>
    <w:rsid w:val="00C309FA"/>
    <w:rsid w:val="00C30BA7"/>
    <w:rsid w:val="00C30CE8"/>
    <w:rsid w:val="00C30D81"/>
    <w:rsid w:val="00C30D85"/>
    <w:rsid w:val="00C3107C"/>
    <w:rsid w:val="00C31251"/>
    <w:rsid w:val="00C312F7"/>
    <w:rsid w:val="00C3147D"/>
    <w:rsid w:val="00C31655"/>
    <w:rsid w:val="00C316B9"/>
    <w:rsid w:val="00C31877"/>
    <w:rsid w:val="00C31D3E"/>
    <w:rsid w:val="00C32046"/>
    <w:rsid w:val="00C3252F"/>
    <w:rsid w:val="00C325A6"/>
    <w:rsid w:val="00C32649"/>
    <w:rsid w:val="00C32D25"/>
    <w:rsid w:val="00C32EEA"/>
    <w:rsid w:val="00C33098"/>
    <w:rsid w:val="00C338A2"/>
    <w:rsid w:val="00C33B69"/>
    <w:rsid w:val="00C33C07"/>
    <w:rsid w:val="00C33D5C"/>
    <w:rsid w:val="00C342B2"/>
    <w:rsid w:val="00C34619"/>
    <w:rsid w:val="00C3464C"/>
    <w:rsid w:val="00C3487D"/>
    <w:rsid w:val="00C34AA6"/>
    <w:rsid w:val="00C34AFC"/>
    <w:rsid w:val="00C34C43"/>
    <w:rsid w:val="00C34D7C"/>
    <w:rsid w:val="00C34EBF"/>
    <w:rsid w:val="00C34EDB"/>
    <w:rsid w:val="00C34FE3"/>
    <w:rsid w:val="00C35004"/>
    <w:rsid w:val="00C350D0"/>
    <w:rsid w:val="00C35207"/>
    <w:rsid w:val="00C35618"/>
    <w:rsid w:val="00C359CF"/>
    <w:rsid w:val="00C35A23"/>
    <w:rsid w:val="00C35DBC"/>
    <w:rsid w:val="00C35DE9"/>
    <w:rsid w:val="00C35E83"/>
    <w:rsid w:val="00C3608E"/>
    <w:rsid w:val="00C36332"/>
    <w:rsid w:val="00C36781"/>
    <w:rsid w:val="00C36868"/>
    <w:rsid w:val="00C369DB"/>
    <w:rsid w:val="00C36E00"/>
    <w:rsid w:val="00C36F27"/>
    <w:rsid w:val="00C371B4"/>
    <w:rsid w:val="00C375E7"/>
    <w:rsid w:val="00C37885"/>
    <w:rsid w:val="00C37CCB"/>
    <w:rsid w:val="00C37DDE"/>
    <w:rsid w:val="00C4026C"/>
    <w:rsid w:val="00C4031F"/>
    <w:rsid w:val="00C4048D"/>
    <w:rsid w:val="00C406BE"/>
    <w:rsid w:val="00C40723"/>
    <w:rsid w:val="00C40730"/>
    <w:rsid w:val="00C4082B"/>
    <w:rsid w:val="00C40907"/>
    <w:rsid w:val="00C4097F"/>
    <w:rsid w:val="00C409A8"/>
    <w:rsid w:val="00C40D2F"/>
    <w:rsid w:val="00C41097"/>
    <w:rsid w:val="00C41A7C"/>
    <w:rsid w:val="00C41DD3"/>
    <w:rsid w:val="00C41FEA"/>
    <w:rsid w:val="00C420BB"/>
    <w:rsid w:val="00C422E0"/>
    <w:rsid w:val="00C42358"/>
    <w:rsid w:val="00C4249F"/>
    <w:rsid w:val="00C429AD"/>
    <w:rsid w:val="00C42A3B"/>
    <w:rsid w:val="00C42B1F"/>
    <w:rsid w:val="00C42D07"/>
    <w:rsid w:val="00C42DAE"/>
    <w:rsid w:val="00C43242"/>
    <w:rsid w:val="00C43407"/>
    <w:rsid w:val="00C43447"/>
    <w:rsid w:val="00C43487"/>
    <w:rsid w:val="00C435AC"/>
    <w:rsid w:val="00C43B40"/>
    <w:rsid w:val="00C44509"/>
    <w:rsid w:val="00C4463F"/>
    <w:rsid w:val="00C4473E"/>
    <w:rsid w:val="00C449B7"/>
    <w:rsid w:val="00C44C14"/>
    <w:rsid w:val="00C44D5C"/>
    <w:rsid w:val="00C45160"/>
    <w:rsid w:val="00C45584"/>
    <w:rsid w:val="00C4566B"/>
    <w:rsid w:val="00C45A43"/>
    <w:rsid w:val="00C45E75"/>
    <w:rsid w:val="00C46561"/>
    <w:rsid w:val="00C468C1"/>
    <w:rsid w:val="00C46980"/>
    <w:rsid w:val="00C46AC9"/>
    <w:rsid w:val="00C46C15"/>
    <w:rsid w:val="00C46D8D"/>
    <w:rsid w:val="00C46F7D"/>
    <w:rsid w:val="00C47375"/>
    <w:rsid w:val="00C47376"/>
    <w:rsid w:val="00C473C0"/>
    <w:rsid w:val="00C474FC"/>
    <w:rsid w:val="00C47529"/>
    <w:rsid w:val="00C47A14"/>
    <w:rsid w:val="00C50165"/>
    <w:rsid w:val="00C50BD8"/>
    <w:rsid w:val="00C50C7B"/>
    <w:rsid w:val="00C50D21"/>
    <w:rsid w:val="00C51027"/>
    <w:rsid w:val="00C5107D"/>
    <w:rsid w:val="00C5119C"/>
    <w:rsid w:val="00C512E8"/>
    <w:rsid w:val="00C51644"/>
    <w:rsid w:val="00C516D8"/>
    <w:rsid w:val="00C516F3"/>
    <w:rsid w:val="00C519C4"/>
    <w:rsid w:val="00C51A9C"/>
    <w:rsid w:val="00C51AC0"/>
    <w:rsid w:val="00C51DB3"/>
    <w:rsid w:val="00C51FA0"/>
    <w:rsid w:val="00C51FCA"/>
    <w:rsid w:val="00C5218C"/>
    <w:rsid w:val="00C52AF6"/>
    <w:rsid w:val="00C52B04"/>
    <w:rsid w:val="00C52C0E"/>
    <w:rsid w:val="00C52C7F"/>
    <w:rsid w:val="00C532C4"/>
    <w:rsid w:val="00C5332A"/>
    <w:rsid w:val="00C5342A"/>
    <w:rsid w:val="00C53798"/>
    <w:rsid w:val="00C539B4"/>
    <w:rsid w:val="00C53AA5"/>
    <w:rsid w:val="00C53AF5"/>
    <w:rsid w:val="00C53B84"/>
    <w:rsid w:val="00C53DB5"/>
    <w:rsid w:val="00C53E32"/>
    <w:rsid w:val="00C54079"/>
    <w:rsid w:val="00C541C1"/>
    <w:rsid w:val="00C54219"/>
    <w:rsid w:val="00C54604"/>
    <w:rsid w:val="00C550CD"/>
    <w:rsid w:val="00C5536D"/>
    <w:rsid w:val="00C5539C"/>
    <w:rsid w:val="00C553C5"/>
    <w:rsid w:val="00C55411"/>
    <w:rsid w:val="00C557CB"/>
    <w:rsid w:val="00C55B6D"/>
    <w:rsid w:val="00C5627E"/>
    <w:rsid w:val="00C563C6"/>
    <w:rsid w:val="00C56619"/>
    <w:rsid w:val="00C567A5"/>
    <w:rsid w:val="00C56FB2"/>
    <w:rsid w:val="00C5713F"/>
    <w:rsid w:val="00C5773A"/>
    <w:rsid w:val="00C57ACE"/>
    <w:rsid w:val="00C60260"/>
    <w:rsid w:val="00C6048C"/>
    <w:rsid w:val="00C60797"/>
    <w:rsid w:val="00C60A66"/>
    <w:rsid w:val="00C60CD2"/>
    <w:rsid w:val="00C61028"/>
    <w:rsid w:val="00C61066"/>
    <w:rsid w:val="00C61311"/>
    <w:rsid w:val="00C6139B"/>
    <w:rsid w:val="00C618A1"/>
    <w:rsid w:val="00C618EB"/>
    <w:rsid w:val="00C61CE5"/>
    <w:rsid w:val="00C62075"/>
    <w:rsid w:val="00C624B0"/>
    <w:rsid w:val="00C626BF"/>
    <w:rsid w:val="00C628F5"/>
    <w:rsid w:val="00C62980"/>
    <w:rsid w:val="00C629F5"/>
    <w:rsid w:val="00C62A4B"/>
    <w:rsid w:val="00C62B87"/>
    <w:rsid w:val="00C62E26"/>
    <w:rsid w:val="00C6310F"/>
    <w:rsid w:val="00C63504"/>
    <w:rsid w:val="00C63514"/>
    <w:rsid w:val="00C63741"/>
    <w:rsid w:val="00C639F7"/>
    <w:rsid w:val="00C63C33"/>
    <w:rsid w:val="00C63EFA"/>
    <w:rsid w:val="00C64082"/>
    <w:rsid w:val="00C64188"/>
    <w:rsid w:val="00C64419"/>
    <w:rsid w:val="00C64A70"/>
    <w:rsid w:val="00C64DF6"/>
    <w:rsid w:val="00C64F9A"/>
    <w:rsid w:val="00C64FA7"/>
    <w:rsid w:val="00C65377"/>
    <w:rsid w:val="00C65428"/>
    <w:rsid w:val="00C65431"/>
    <w:rsid w:val="00C65500"/>
    <w:rsid w:val="00C65615"/>
    <w:rsid w:val="00C65636"/>
    <w:rsid w:val="00C659E3"/>
    <w:rsid w:val="00C65F3C"/>
    <w:rsid w:val="00C6603A"/>
    <w:rsid w:val="00C66167"/>
    <w:rsid w:val="00C66281"/>
    <w:rsid w:val="00C66305"/>
    <w:rsid w:val="00C66886"/>
    <w:rsid w:val="00C66E7E"/>
    <w:rsid w:val="00C66FC9"/>
    <w:rsid w:val="00C672D2"/>
    <w:rsid w:val="00C6778E"/>
    <w:rsid w:val="00C67924"/>
    <w:rsid w:val="00C67AE8"/>
    <w:rsid w:val="00C67CD3"/>
    <w:rsid w:val="00C70378"/>
    <w:rsid w:val="00C705BA"/>
    <w:rsid w:val="00C7089F"/>
    <w:rsid w:val="00C7092C"/>
    <w:rsid w:val="00C7093A"/>
    <w:rsid w:val="00C70E49"/>
    <w:rsid w:val="00C712A7"/>
    <w:rsid w:val="00C71398"/>
    <w:rsid w:val="00C715C4"/>
    <w:rsid w:val="00C715E2"/>
    <w:rsid w:val="00C717DD"/>
    <w:rsid w:val="00C7190C"/>
    <w:rsid w:val="00C71912"/>
    <w:rsid w:val="00C719B0"/>
    <w:rsid w:val="00C71AB4"/>
    <w:rsid w:val="00C71E7F"/>
    <w:rsid w:val="00C7202C"/>
    <w:rsid w:val="00C7208E"/>
    <w:rsid w:val="00C72528"/>
    <w:rsid w:val="00C72647"/>
    <w:rsid w:val="00C72742"/>
    <w:rsid w:val="00C7310F"/>
    <w:rsid w:val="00C73222"/>
    <w:rsid w:val="00C73518"/>
    <w:rsid w:val="00C735B1"/>
    <w:rsid w:val="00C73D24"/>
    <w:rsid w:val="00C740F5"/>
    <w:rsid w:val="00C74188"/>
    <w:rsid w:val="00C74456"/>
    <w:rsid w:val="00C744E4"/>
    <w:rsid w:val="00C746D4"/>
    <w:rsid w:val="00C74848"/>
    <w:rsid w:val="00C74B4E"/>
    <w:rsid w:val="00C74C18"/>
    <w:rsid w:val="00C74C3E"/>
    <w:rsid w:val="00C74FEE"/>
    <w:rsid w:val="00C7500C"/>
    <w:rsid w:val="00C753FE"/>
    <w:rsid w:val="00C754FB"/>
    <w:rsid w:val="00C755D0"/>
    <w:rsid w:val="00C7571D"/>
    <w:rsid w:val="00C7591B"/>
    <w:rsid w:val="00C75947"/>
    <w:rsid w:val="00C759C7"/>
    <w:rsid w:val="00C759E8"/>
    <w:rsid w:val="00C75A9C"/>
    <w:rsid w:val="00C75B48"/>
    <w:rsid w:val="00C75ECA"/>
    <w:rsid w:val="00C75F59"/>
    <w:rsid w:val="00C75F61"/>
    <w:rsid w:val="00C7620A"/>
    <w:rsid w:val="00C764A2"/>
    <w:rsid w:val="00C764B7"/>
    <w:rsid w:val="00C7651C"/>
    <w:rsid w:val="00C766BE"/>
    <w:rsid w:val="00C769B9"/>
    <w:rsid w:val="00C76A03"/>
    <w:rsid w:val="00C76A16"/>
    <w:rsid w:val="00C773B3"/>
    <w:rsid w:val="00C774EA"/>
    <w:rsid w:val="00C77771"/>
    <w:rsid w:val="00C777B9"/>
    <w:rsid w:val="00C77871"/>
    <w:rsid w:val="00C8001C"/>
    <w:rsid w:val="00C80128"/>
    <w:rsid w:val="00C801C3"/>
    <w:rsid w:val="00C80394"/>
    <w:rsid w:val="00C80546"/>
    <w:rsid w:val="00C80D52"/>
    <w:rsid w:val="00C80E07"/>
    <w:rsid w:val="00C80EBE"/>
    <w:rsid w:val="00C80F36"/>
    <w:rsid w:val="00C810F5"/>
    <w:rsid w:val="00C812A6"/>
    <w:rsid w:val="00C81430"/>
    <w:rsid w:val="00C81CF4"/>
    <w:rsid w:val="00C81EDD"/>
    <w:rsid w:val="00C82173"/>
    <w:rsid w:val="00C8223C"/>
    <w:rsid w:val="00C82280"/>
    <w:rsid w:val="00C82366"/>
    <w:rsid w:val="00C8263F"/>
    <w:rsid w:val="00C8265C"/>
    <w:rsid w:val="00C82BC7"/>
    <w:rsid w:val="00C82BE1"/>
    <w:rsid w:val="00C82D7E"/>
    <w:rsid w:val="00C8300C"/>
    <w:rsid w:val="00C83015"/>
    <w:rsid w:val="00C83032"/>
    <w:rsid w:val="00C8309F"/>
    <w:rsid w:val="00C8310F"/>
    <w:rsid w:val="00C8320E"/>
    <w:rsid w:val="00C83743"/>
    <w:rsid w:val="00C83B66"/>
    <w:rsid w:val="00C8409C"/>
    <w:rsid w:val="00C846DB"/>
    <w:rsid w:val="00C84C02"/>
    <w:rsid w:val="00C84D67"/>
    <w:rsid w:val="00C851BB"/>
    <w:rsid w:val="00C854F0"/>
    <w:rsid w:val="00C85587"/>
    <w:rsid w:val="00C8588F"/>
    <w:rsid w:val="00C85FE9"/>
    <w:rsid w:val="00C861CA"/>
    <w:rsid w:val="00C86254"/>
    <w:rsid w:val="00C862A1"/>
    <w:rsid w:val="00C862ED"/>
    <w:rsid w:val="00C86498"/>
    <w:rsid w:val="00C866C3"/>
    <w:rsid w:val="00C86B79"/>
    <w:rsid w:val="00C86F94"/>
    <w:rsid w:val="00C87676"/>
    <w:rsid w:val="00C87D41"/>
    <w:rsid w:val="00C87DA0"/>
    <w:rsid w:val="00C90196"/>
    <w:rsid w:val="00C90282"/>
    <w:rsid w:val="00C902FD"/>
    <w:rsid w:val="00C90493"/>
    <w:rsid w:val="00C906FB"/>
    <w:rsid w:val="00C90C50"/>
    <w:rsid w:val="00C90D8D"/>
    <w:rsid w:val="00C90E17"/>
    <w:rsid w:val="00C911E3"/>
    <w:rsid w:val="00C911F2"/>
    <w:rsid w:val="00C9145D"/>
    <w:rsid w:val="00C914AC"/>
    <w:rsid w:val="00C9155A"/>
    <w:rsid w:val="00C919C9"/>
    <w:rsid w:val="00C91A00"/>
    <w:rsid w:val="00C91B49"/>
    <w:rsid w:val="00C91D09"/>
    <w:rsid w:val="00C91D10"/>
    <w:rsid w:val="00C91D2D"/>
    <w:rsid w:val="00C91DE5"/>
    <w:rsid w:val="00C92077"/>
    <w:rsid w:val="00C923C9"/>
    <w:rsid w:val="00C924BE"/>
    <w:rsid w:val="00C9265C"/>
    <w:rsid w:val="00C9267E"/>
    <w:rsid w:val="00C926E1"/>
    <w:rsid w:val="00C928BB"/>
    <w:rsid w:val="00C92AD8"/>
    <w:rsid w:val="00C92FBB"/>
    <w:rsid w:val="00C9366D"/>
    <w:rsid w:val="00C936D9"/>
    <w:rsid w:val="00C937B7"/>
    <w:rsid w:val="00C93862"/>
    <w:rsid w:val="00C93AAE"/>
    <w:rsid w:val="00C93DC5"/>
    <w:rsid w:val="00C93F87"/>
    <w:rsid w:val="00C942D2"/>
    <w:rsid w:val="00C94377"/>
    <w:rsid w:val="00C944E2"/>
    <w:rsid w:val="00C945C4"/>
    <w:rsid w:val="00C94C71"/>
    <w:rsid w:val="00C94C75"/>
    <w:rsid w:val="00C94DBC"/>
    <w:rsid w:val="00C95086"/>
    <w:rsid w:val="00C95246"/>
    <w:rsid w:val="00C954C1"/>
    <w:rsid w:val="00C95519"/>
    <w:rsid w:val="00C95B25"/>
    <w:rsid w:val="00C95D2C"/>
    <w:rsid w:val="00C95D43"/>
    <w:rsid w:val="00C95DCF"/>
    <w:rsid w:val="00C965F3"/>
    <w:rsid w:val="00C966BA"/>
    <w:rsid w:val="00C967CF"/>
    <w:rsid w:val="00C96860"/>
    <w:rsid w:val="00C968B3"/>
    <w:rsid w:val="00C96C2B"/>
    <w:rsid w:val="00C96CED"/>
    <w:rsid w:val="00C96E66"/>
    <w:rsid w:val="00C9716C"/>
    <w:rsid w:val="00C978CE"/>
    <w:rsid w:val="00C97B51"/>
    <w:rsid w:val="00C97E08"/>
    <w:rsid w:val="00C97EC9"/>
    <w:rsid w:val="00CA004E"/>
    <w:rsid w:val="00CA0114"/>
    <w:rsid w:val="00CA0239"/>
    <w:rsid w:val="00CA0309"/>
    <w:rsid w:val="00CA0510"/>
    <w:rsid w:val="00CA09E8"/>
    <w:rsid w:val="00CA0C93"/>
    <w:rsid w:val="00CA0FAB"/>
    <w:rsid w:val="00CA119D"/>
    <w:rsid w:val="00CA1396"/>
    <w:rsid w:val="00CA1447"/>
    <w:rsid w:val="00CA156B"/>
    <w:rsid w:val="00CA1A63"/>
    <w:rsid w:val="00CA1B12"/>
    <w:rsid w:val="00CA1C30"/>
    <w:rsid w:val="00CA1C92"/>
    <w:rsid w:val="00CA1D6E"/>
    <w:rsid w:val="00CA1E72"/>
    <w:rsid w:val="00CA1E9C"/>
    <w:rsid w:val="00CA1EAA"/>
    <w:rsid w:val="00CA2183"/>
    <w:rsid w:val="00CA225A"/>
    <w:rsid w:val="00CA2775"/>
    <w:rsid w:val="00CA2906"/>
    <w:rsid w:val="00CA2DEA"/>
    <w:rsid w:val="00CA2F32"/>
    <w:rsid w:val="00CA309A"/>
    <w:rsid w:val="00CA3197"/>
    <w:rsid w:val="00CA31D1"/>
    <w:rsid w:val="00CA3236"/>
    <w:rsid w:val="00CA3364"/>
    <w:rsid w:val="00CA3489"/>
    <w:rsid w:val="00CA3623"/>
    <w:rsid w:val="00CA36D7"/>
    <w:rsid w:val="00CA3749"/>
    <w:rsid w:val="00CA37E5"/>
    <w:rsid w:val="00CA3BD7"/>
    <w:rsid w:val="00CA3E0F"/>
    <w:rsid w:val="00CA402D"/>
    <w:rsid w:val="00CA4675"/>
    <w:rsid w:val="00CA4A1D"/>
    <w:rsid w:val="00CA4BB8"/>
    <w:rsid w:val="00CA4BC0"/>
    <w:rsid w:val="00CA52AD"/>
    <w:rsid w:val="00CA5351"/>
    <w:rsid w:val="00CA54BC"/>
    <w:rsid w:val="00CA5755"/>
    <w:rsid w:val="00CA5EA7"/>
    <w:rsid w:val="00CA5FBD"/>
    <w:rsid w:val="00CA6028"/>
    <w:rsid w:val="00CA6078"/>
    <w:rsid w:val="00CA60D5"/>
    <w:rsid w:val="00CA629B"/>
    <w:rsid w:val="00CA642C"/>
    <w:rsid w:val="00CA64D4"/>
    <w:rsid w:val="00CA64F8"/>
    <w:rsid w:val="00CA6693"/>
    <w:rsid w:val="00CA68CA"/>
    <w:rsid w:val="00CA6B77"/>
    <w:rsid w:val="00CA6F35"/>
    <w:rsid w:val="00CA6F55"/>
    <w:rsid w:val="00CA711D"/>
    <w:rsid w:val="00CA7635"/>
    <w:rsid w:val="00CA769B"/>
    <w:rsid w:val="00CA79B1"/>
    <w:rsid w:val="00CB08A2"/>
    <w:rsid w:val="00CB08EB"/>
    <w:rsid w:val="00CB0B84"/>
    <w:rsid w:val="00CB100D"/>
    <w:rsid w:val="00CB14BA"/>
    <w:rsid w:val="00CB153A"/>
    <w:rsid w:val="00CB15F5"/>
    <w:rsid w:val="00CB1877"/>
    <w:rsid w:val="00CB1C41"/>
    <w:rsid w:val="00CB1E30"/>
    <w:rsid w:val="00CB1F1E"/>
    <w:rsid w:val="00CB2228"/>
    <w:rsid w:val="00CB22F5"/>
    <w:rsid w:val="00CB2504"/>
    <w:rsid w:val="00CB2534"/>
    <w:rsid w:val="00CB25FD"/>
    <w:rsid w:val="00CB26B3"/>
    <w:rsid w:val="00CB26F8"/>
    <w:rsid w:val="00CB27CE"/>
    <w:rsid w:val="00CB299B"/>
    <w:rsid w:val="00CB2F37"/>
    <w:rsid w:val="00CB2FCB"/>
    <w:rsid w:val="00CB3102"/>
    <w:rsid w:val="00CB3175"/>
    <w:rsid w:val="00CB3470"/>
    <w:rsid w:val="00CB3554"/>
    <w:rsid w:val="00CB3736"/>
    <w:rsid w:val="00CB37BB"/>
    <w:rsid w:val="00CB3964"/>
    <w:rsid w:val="00CB3A67"/>
    <w:rsid w:val="00CB3E1C"/>
    <w:rsid w:val="00CB3FAC"/>
    <w:rsid w:val="00CB428F"/>
    <w:rsid w:val="00CB4460"/>
    <w:rsid w:val="00CB4538"/>
    <w:rsid w:val="00CB47DC"/>
    <w:rsid w:val="00CB4E1F"/>
    <w:rsid w:val="00CB5153"/>
    <w:rsid w:val="00CB5360"/>
    <w:rsid w:val="00CB544D"/>
    <w:rsid w:val="00CB567E"/>
    <w:rsid w:val="00CB598C"/>
    <w:rsid w:val="00CB5B18"/>
    <w:rsid w:val="00CB5F2D"/>
    <w:rsid w:val="00CB5F77"/>
    <w:rsid w:val="00CB5FAE"/>
    <w:rsid w:val="00CB627C"/>
    <w:rsid w:val="00CB6441"/>
    <w:rsid w:val="00CB6767"/>
    <w:rsid w:val="00CB6822"/>
    <w:rsid w:val="00CB6BBA"/>
    <w:rsid w:val="00CB6CA3"/>
    <w:rsid w:val="00CB70AA"/>
    <w:rsid w:val="00CB710A"/>
    <w:rsid w:val="00CB71E8"/>
    <w:rsid w:val="00CB73CB"/>
    <w:rsid w:val="00CB7684"/>
    <w:rsid w:val="00CB7A95"/>
    <w:rsid w:val="00CB7E63"/>
    <w:rsid w:val="00CC012C"/>
    <w:rsid w:val="00CC02D5"/>
    <w:rsid w:val="00CC047B"/>
    <w:rsid w:val="00CC04E3"/>
    <w:rsid w:val="00CC0563"/>
    <w:rsid w:val="00CC0A4F"/>
    <w:rsid w:val="00CC0A92"/>
    <w:rsid w:val="00CC0BD8"/>
    <w:rsid w:val="00CC10E7"/>
    <w:rsid w:val="00CC13A6"/>
    <w:rsid w:val="00CC13AA"/>
    <w:rsid w:val="00CC14CA"/>
    <w:rsid w:val="00CC15D9"/>
    <w:rsid w:val="00CC1955"/>
    <w:rsid w:val="00CC19E1"/>
    <w:rsid w:val="00CC1A42"/>
    <w:rsid w:val="00CC1BFD"/>
    <w:rsid w:val="00CC1C9C"/>
    <w:rsid w:val="00CC1D99"/>
    <w:rsid w:val="00CC22F5"/>
    <w:rsid w:val="00CC28B2"/>
    <w:rsid w:val="00CC3238"/>
    <w:rsid w:val="00CC32C7"/>
    <w:rsid w:val="00CC3387"/>
    <w:rsid w:val="00CC35AB"/>
    <w:rsid w:val="00CC3B25"/>
    <w:rsid w:val="00CC3EAE"/>
    <w:rsid w:val="00CC4118"/>
    <w:rsid w:val="00CC430A"/>
    <w:rsid w:val="00CC4636"/>
    <w:rsid w:val="00CC4D9E"/>
    <w:rsid w:val="00CC4DD4"/>
    <w:rsid w:val="00CC4DE1"/>
    <w:rsid w:val="00CC4E31"/>
    <w:rsid w:val="00CC5041"/>
    <w:rsid w:val="00CC50C2"/>
    <w:rsid w:val="00CC52C8"/>
    <w:rsid w:val="00CC57F9"/>
    <w:rsid w:val="00CC58C9"/>
    <w:rsid w:val="00CC597B"/>
    <w:rsid w:val="00CC59D2"/>
    <w:rsid w:val="00CC65B6"/>
    <w:rsid w:val="00CC6636"/>
    <w:rsid w:val="00CC686F"/>
    <w:rsid w:val="00CC6B9B"/>
    <w:rsid w:val="00CC6DEB"/>
    <w:rsid w:val="00CC70B6"/>
    <w:rsid w:val="00CC724E"/>
    <w:rsid w:val="00CC7BA9"/>
    <w:rsid w:val="00CC7CB6"/>
    <w:rsid w:val="00CC7CCA"/>
    <w:rsid w:val="00CC7CD2"/>
    <w:rsid w:val="00CC7E11"/>
    <w:rsid w:val="00CD04C8"/>
    <w:rsid w:val="00CD05B8"/>
    <w:rsid w:val="00CD0700"/>
    <w:rsid w:val="00CD076C"/>
    <w:rsid w:val="00CD09BA"/>
    <w:rsid w:val="00CD0B31"/>
    <w:rsid w:val="00CD0B55"/>
    <w:rsid w:val="00CD0D9C"/>
    <w:rsid w:val="00CD0DA4"/>
    <w:rsid w:val="00CD15A3"/>
    <w:rsid w:val="00CD17DF"/>
    <w:rsid w:val="00CD1B25"/>
    <w:rsid w:val="00CD1BC5"/>
    <w:rsid w:val="00CD1D65"/>
    <w:rsid w:val="00CD1DB7"/>
    <w:rsid w:val="00CD21B6"/>
    <w:rsid w:val="00CD22B5"/>
    <w:rsid w:val="00CD2A18"/>
    <w:rsid w:val="00CD2A34"/>
    <w:rsid w:val="00CD2A87"/>
    <w:rsid w:val="00CD2AA2"/>
    <w:rsid w:val="00CD2CEC"/>
    <w:rsid w:val="00CD2E65"/>
    <w:rsid w:val="00CD31BC"/>
    <w:rsid w:val="00CD335E"/>
    <w:rsid w:val="00CD33DC"/>
    <w:rsid w:val="00CD3748"/>
    <w:rsid w:val="00CD3AD6"/>
    <w:rsid w:val="00CD3DFF"/>
    <w:rsid w:val="00CD3E9E"/>
    <w:rsid w:val="00CD3EE5"/>
    <w:rsid w:val="00CD47C0"/>
    <w:rsid w:val="00CD47F5"/>
    <w:rsid w:val="00CD4D35"/>
    <w:rsid w:val="00CD4F28"/>
    <w:rsid w:val="00CD52F3"/>
    <w:rsid w:val="00CD580D"/>
    <w:rsid w:val="00CD5C0C"/>
    <w:rsid w:val="00CD5E0A"/>
    <w:rsid w:val="00CD5F40"/>
    <w:rsid w:val="00CD5FDE"/>
    <w:rsid w:val="00CD6A33"/>
    <w:rsid w:val="00CD6EE9"/>
    <w:rsid w:val="00CD7182"/>
    <w:rsid w:val="00CD748A"/>
    <w:rsid w:val="00CD75EC"/>
    <w:rsid w:val="00CD7A79"/>
    <w:rsid w:val="00CD7A92"/>
    <w:rsid w:val="00CD7C61"/>
    <w:rsid w:val="00CD7EE4"/>
    <w:rsid w:val="00CE00EF"/>
    <w:rsid w:val="00CE0346"/>
    <w:rsid w:val="00CE0875"/>
    <w:rsid w:val="00CE0B0C"/>
    <w:rsid w:val="00CE12E6"/>
    <w:rsid w:val="00CE15B2"/>
    <w:rsid w:val="00CE1911"/>
    <w:rsid w:val="00CE1A16"/>
    <w:rsid w:val="00CE1CC0"/>
    <w:rsid w:val="00CE1E0B"/>
    <w:rsid w:val="00CE22DC"/>
    <w:rsid w:val="00CE2693"/>
    <w:rsid w:val="00CE28E2"/>
    <w:rsid w:val="00CE2954"/>
    <w:rsid w:val="00CE2B4A"/>
    <w:rsid w:val="00CE3180"/>
    <w:rsid w:val="00CE32CE"/>
    <w:rsid w:val="00CE3300"/>
    <w:rsid w:val="00CE337F"/>
    <w:rsid w:val="00CE350B"/>
    <w:rsid w:val="00CE3B2B"/>
    <w:rsid w:val="00CE3DAA"/>
    <w:rsid w:val="00CE3DDC"/>
    <w:rsid w:val="00CE3FB9"/>
    <w:rsid w:val="00CE3FDF"/>
    <w:rsid w:val="00CE4057"/>
    <w:rsid w:val="00CE434D"/>
    <w:rsid w:val="00CE43E8"/>
    <w:rsid w:val="00CE453C"/>
    <w:rsid w:val="00CE4926"/>
    <w:rsid w:val="00CE4AA8"/>
    <w:rsid w:val="00CE4EB1"/>
    <w:rsid w:val="00CE4F2C"/>
    <w:rsid w:val="00CE57F9"/>
    <w:rsid w:val="00CE585B"/>
    <w:rsid w:val="00CE5A70"/>
    <w:rsid w:val="00CE5AD5"/>
    <w:rsid w:val="00CE5B9C"/>
    <w:rsid w:val="00CE5C23"/>
    <w:rsid w:val="00CE60F5"/>
    <w:rsid w:val="00CE6643"/>
    <w:rsid w:val="00CE6855"/>
    <w:rsid w:val="00CE685E"/>
    <w:rsid w:val="00CE6A7D"/>
    <w:rsid w:val="00CE6B11"/>
    <w:rsid w:val="00CE6BCE"/>
    <w:rsid w:val="00CE6D3A"/>
    <w:rsid w:val="00CE71D0"/>
    <w:rsid w:val="00CE7274"/>
    <w:rsid w:val="00CE756F"/>
    <w:rsid w:val="00CF00DA"/>
    <w:rsid w:val="00CF0409"/>
    <w:rsid w:val="00CF0C8F"/>
    <w:rsid w:val="00CF10CE"/>
    <w:rsid w:val="00CF1567"/>
    <w:rsid w:val="00CF1686"/>
    <w:rsid w:val="00CF17F7"/>
    <w:rsid w:val="00CF187F"/>
    <w:rsid w:val="00CF1981"/>
    <w:rsid w:val="00CF19A8"/>
    <w:rsid w:val="00CF1DD2"/>
    <w:rsid w:val="00CF2329"/>
    <w:rsid w:val="00CF232B"/>
    <w:rsid w:val="00CF255D"/>
    <w:rsid w:val="00CF278B"/>
    <w:rsid w:val="00CF2BE6"/>
    <w:rsid w:val="00CF2BE7"/>
    <w:rsid w:val="00CF2C53"/>
    <w:rsid w:val="00CF2CCE"/>
    <w:rsid w:val="00CF2D2D"/>
    <w:rsid w:val="00CF2E5E"/>
    <w:rsid w:val="00CF2FA7"/>
    <w:rsid w:val="00CF3025"/>
    <w:rsid w:val="00CF3059"/>
    <w:rsid w:val="00CF3112"/>
    <w:rsid w:val="00CF357E"/>
    <w:rsid w:val="00CF3588"/>
    <w:rsid w:val="00CF375A"/>
    <w:rsid w:val="00CF39B9"/>
    <w:rsid w:val="00CF3A9D"/>
    <w:rsid w:val="00CF3AC8"/>
    <w:rsid w:val="00CF3B0D"/>
    <w:rsid w:val="00CF3D3A"/>
    <w:rsid w:val="00CF3E67"/>
    <w:rsid w:val="00CF3E6D"/>
    <w:rsid w:val="00CF4413"/>
    <w:rsid w:val="00CF469E"/>
    <w:rsid w:val="00CF4B06"/>
    <w:rsid w:val="00CF4BCE"/>
    <w:rsid w:val="00CF4D9B"/>
    <w:rsid w:val="00CF4E14"/>
    <w:rsid w:val="00CF4E8F"/>
    <w:rsid w:val="00CF50DA"/>
    <w:rsid w:val="00CF544A"/>
    <w:rsid w:val="00CF55F1"/>
    <w:rsid w:val="00CF569B"/>
    <w:rsid w:val="00CF58CC"/>
    <w:rsid w:val="00CF58F2"/>
    <w:rsid w:val="00CF5B25"/>
    <w:rsid w:val="00CF6024"/>
    <w:rsid w:val="00CF67C4"/>
    <w:rsid w:val="00CF6F32"/>
    <w:rsid w:val="00CF7C1D"/>
    <w:rsid w:val="00CF7FC9"/>
    <w:rsid w:val="00D00209"/>
    <w:rsid w:val="00D00212"/>
    <w:rsid w:val="00D00362"/>
    <w:rsid w:val="00D00426"/>
    <w:rsid w:val="00D006E3"/>
    <w:rsid w:val="00D007B8"/>
    <w:rsid w:val="00D009E3"/>
    <w:rsid w:val="00D00AFC"/>
    <w:rsid w:val="00D00BCB"/>
    <w:rsid w:val="00D00C9A"/>
    <w:rsid w:val="00D00D7A"/>
    <w:rsid w:val="00D00FE1"/>
    <w:rsid w:val="00D0118A"/>
    <w:rsid w:val="00D012E1"/>
    <w:rsid w:val="00D0189D"/>
    <w:rsid w:val="00D018D8"/>
    <w:rsid w:val="00D01AF7"/>
    <w:rsid w:val="00D01D91"/>
    <w:rsid w:val="00D01DD1"/>
    <w:rsid w:val="00D023A2"/>
    <w:rsid w:val="00D023CF"/>
    <w:rsid w:val="00D025F2"/>
    <w:rsid w:val="00D02696"/>
    <w:rsid w:val="00D02AC9"/>
    <w:rsid w:val="00D02C06"/>
    <w:rsid w:val="00D02C21"/>
    <w:rsid w:val="00D02E28"/>
    <w:rsid w:val="00D03256"/>
    <w:rsid w:val="00D0342C"/>
    <w:rsid w:val="00D037C5"/>
    <w:rsid w:val="00D03CA3"/>
    <w:rsid w:val="00D03EDF"/>
    <w:rsid w:val="00D03F06"/>
    <w:rsid w:val="00D03F36"/>
    <w:rsid w:val="00D040A4"/>
    <w:rsid w:val="00D04167"/>
    <w:rsid w:val="00D0422E"/>
    <w:rsid w:val="00D04333"/>
    <w:rsid w:val="00D04410"/>
    <w:rsid w:val="00D04629"/>
    <w:rsid w:val="00D04797"/>
    <w:rsid w:val="00D049CF"/>
    <w:rsid w:val="00D04A1A"/>
    <w:rsid w:val="00D04CEC"/>
    <w:rsid w:val="00D04D30"/>
    <w:rsid w:val="00D04D3D"/>
    <w:rsid w:val="00D04D92"/>
    <w:rsid w:val="00D04E26"/>
    <w:rsid w:val="00D05319"/>
    <w:rsid w:val="00D05567"/>
    <w:rsid w:val="00D0575F"/>
    <w:rsid w:val="00D05791"/>
    <w:rsid w:val="00D05B72"/>
    <w:rsid w:val="00D05D06"/>
    <w:rsid w:val="00D05DA2"/>
    <w:rsid w:val="00D060F8"/>
    <w:rsid w:val="00D0613B"/>
    <w:rsid w:val="00D062E1"/>
    <w:rsid w:val="00D06461"/>
    <w:rsid w:val="00D066C7"/>
    <w:rsid w:val="00D06DAA"/>
    <w:rsid w:val="00D07012"/>
    <w:rsid w:val="00D0711F"/>
    <w:rsid w:val="00D0757E"/>
    <w:rsid w:val="00D075E1"/>
    <w:rsid w:val="00D078EE"/>
    <w:rsid w:val="00D07B13"/>
    <w:rsid w:val="00D07BD5"/>
    <w:rsid w:val="00D07D6C"/>
    <w:rsid w:val="00D10136"/>
    <w:rsid w:val="00D104B5"/>
    <w:rsid w:val="00D105E8"/>
    <w:rsid w:val="00D10830"/>
    <w:rsid w:val="00D108BA"/>
    <w:rsid w:val="00D10996"/>
    <w:rsid w:val="00D10D0E"/>
    <w:rsid w:val="00D10DF0"/>
    <w:rsid w:val="00D10F1A"/>
    <w:rsid w:val="00D11317"/>
    <w:rsid w:val="00D1147E"/>
    <w:rsid w:val="00D11520"/>
    <w:rsid w:val="00D1157A"/>
    <w:rsid w:val="00D11770"/>
    <w:rsid w:val="00D11815"/>
    <w:rsid w:val="00D11BD6"/>
    <w:rsid w:val="00D11FD1"/>
    <w:rsid w:val="00D12405"/>
    <w:rsid w:val="00D124A5"/>
    <w:rsid w:val="00D125A8"/>
    <w:rsid w:val="00D1264E"/>
    <w:rsid w:val="00D12D27"/>
    <w:rsid w:val="00D12D6A"/>
    <w:rsid w:val="00D12DD3"/>
    <w:rsid w:val="00D1309C"/>
    <w:rsid w:val="00D13506"/>
    <w:rsid w:val="00D139E4"/>
    <w:rsid w:val="00D13A33"/>
    <w:rsid w:val="00D13F15"/>
    <w:rsid w:val="00D13F2F"/>
    <w:rsid w:val="00D1403D"/>
    <w:rsid w:val="00D140FA"/>
    <w:rsid w:val="00D1437C"/>
    <w:rsid w:val="00D14563"/>
    <w:rsid w:val="00D14584"/>
    <w:rsid w:val="00D14CF6"/>
    <w:rsid w:val="00D14DD1"/>
    <w:rsid w:val="00D14F37"/>
    <w:rsid w:val="00D1503B"/>
    <w:rsid w:val="00D150E1"/>
    <w:rsid w:val="00D15131"/>
    <w:rsid w:val="00D15252"/>
    <w:rsid w:val="00D1536F"/>
    <w:rsid w:val="00D1540D"/>
    <w:rsid w:val="00D15497"/>
    <w:rsid w:val="00D15539"/>
    <w:rsid w:val="00D15642"/>
    <w:rsid w:val="00D15DBC"/>
    <w:rsid w:val="00D15E21"/>
    <w:rsid w:val="00D15EE4"/>
    <w:rsid w:val="00D15F8D"/>
    <w:rsid w:val="00D15F9F"/>
    <w:rsid w:val="00D16022"/>
    <w:rsid w:val="00D16047"/>
    <w:rsid w:val="00D1636C"/>
    <w:rsid w:val="00D16474"/>
    <w:rsid w:val="00D16D92"/>
    <w:rsid w:val="00D16F70"/>
    <w:rsid w:val="00D1738B"/>
    <w:rsid w:val="00D173E6"/>
    <w:rsid w:val="00D174C2"/>
    <w:rsid w:val="00D17622"/>
    <w:rsid w:val="00D17748"/>
    <w:rsid w:val="00D17956"/>
    <w:rsid w:val="00D17BDC"/>
    <w:rsid w:val="00D17C4A"/>
    <w:rsid w:val="00D17D44"/>
    <w:rsid w:val="00D17E69"/>
    <w:rsid w:val="00D2004E"/>
    <w:rsid w:val="00D20187"/>
    <w:rsid w:val="00D20289"/>
    <w:rsid w:val="00D20478"/>
    <w:rsid w:val="00D20864"/>
    <w:rsid w:val="00D20ADF"/>
    <w:rsid w:val="00D20BC7"/>
    <w:rsid w:val="00D20FCD"/>
    <w:rsid w:val="00D2124C"/>
    <w:rsid w:val="00D213F4"/>
    <w:rsid w:val="00D21458"/>
    <w:rsid w:val="00D21B71"/>
    <w:rsid w:val="00D21B9F"/>
    <w:rsid w:val="00D21CAB"/>
    <w:rsid w:val="00D22070"/>
    <w:rsid w:val="00D2211C"/>
    <w:rsid w:val="00D22411"/>
    <w:rsid w:val="00D22462"/>
    <w:rsid w:val="00D22464"/>
    <w:rsid w:val="00D224C1"/>
    <w:rsid w:val="00D228E9"/>
    <w:rsid w:val="00D22A4F"/>
    <w:rsid w:val="00D22BB7"/>
    <w:rsid w:val="00D22BEC"/>
    <w:rsid w:val="00D22D02"/>
    <w:rsid w:val="00D23194"/>
    <w:rsid w:val="00D232CC"/>
    <w:rsid w:val="00D233C5"/>
    <w:rsid w:val="00D23490"/>
    <w:rsid w:val="00D239E6"/>
    <w:rsid w:val="00D23A8B"/>
    <w:rsid w:val="00D23CE4"/>
    <w:rsid w:val="00D23DD8"/>
    <w:rsid w:val="00D23E8E"/>
    <w:rsid w:val="00D24667"/>
    <w:rsid w:val="00D24793"/>
    <w:rsid w:val="00D247DB"/>
    <w:rsid w:val="00D24DD9"/>
    <w:rsid w:val="00D24FB5"/>
    <w:rsid w:val="00D25451"/>
    <w:rsid w:val="00D2566B"/>
    <w:rsid w:val="00D257C2"/>
    <w:rsid w:val="00D257F0"/>
    <w:rsid w:val="00D25A4E"/>
    <w:rsid w:val="00D263C7"/>
    <w:rsid w:val="00D264FF"/>
    <w:rsid w:val="00D2681E"/>
    <w:rsid w:val="00D268A1"/>
    <w:rsid w:val="00D26B20"/>
    <w:rsid w:val="00D26BEB"/>
    <w:rsid w:val="00D26ED2"/>
    <w:rsid w:val="00D2722E"/>
    <w:rsid w:val="00D27411"/>
    <w:rsid w:val="00D274C2"/>
    <w:rsid w:val="00D27587"/>
    <w:rsid w:val="00D27C4D"/>
    <w:rsid w:val="00D27C54"/>
    <w:rsid w:val="00D27D77"/>
    <w:rsid w:val="00D300B7"/>
    <w:rsid w:val="00D301A8"/>
    <w:rsid w:val="00D30271"/>
    <w:rsid w:val="00D3038B"/>
    <w:rsid w:val="00D306CA"/>
    <w:rsid w:val="00D306F5"/>
    <w:rsid w:val="00D30997"/>
    <w:rsid w:val="00D30AE0"/>
    <w:rsid w:val="00D30B91"/>
    <w:rsid w:val="00D31494"/>
    <w:rsid w:val="00D314AB"/>
    <w:rsid w:val="00D3169A"/>
    <w:rsid w:val="00D317B3"/>
    <w:rsid w:val="00D31C7E"/>
    <w:rsid w:val="00D31E74"/>
    <w:rsid w:val="00D32080"/>
    <w:rsid w:val="00D322AA"/>
    <w:rsid w:val="00D32396"/>
    <w:rsid w:val="00D3243D"/>
    <w:rsid w:val="00D32830"/>
    <w:rsid w:val="00D32AAE"/>
    <w:rsid w:val="00D32CCE"/>
    <w:rsid w:val="00D32D5F"/>
    <w:rsid w:val="00D331A5"/>
    <w:rsid w:val="00D3351C"/>
    <w:rsid w:val="00D3399E"/>
    <w:rsid w:val="00D33C2A"/>
    <w:rsid w:val="00D33DD1"/>
    <w:rsid w:val="00D33E49"/>
    <w:rsid w:val="00D340D2"/>
    <w:rsid w:val="00D342D1"/>
    <w:rsid w:val="00D34473"/>
    <w:rsid w:val="00D34675"/>
    <w:rsid w:val="00D3469B"/>
    <w:rsid w:val="00D3498F"/>
    <w:rsid w:val="00D34A62"/>
    <w:rsid w:val="00D34BFC"/>
    <w:rsid w:val="00D35032"/>
    <w:rsid w:val="00D3572B"/>
    <w:rsid w:val="00D358C2"/>
    <w:rsid w:val="00D358F3"/>
    <w:rsid w:val="00D35A2F"/>
    <w:rsid w:val="00D35B0C"/>
    <w:rsid w:val="00D36046"/>
    <w:rsid w:val="00D364AA"/>
    <w:rsid w:val="00D36D30"/>
    <w:rsid w:val="00D36D6D"/>
    <w:rsid w:val="00D370D3"/>
    <w:rsid w:val="00D37374"/>
    <w:rsid w:val="00D373E0"/>
    <w:rsid w:val="00D379A7"/>
    <w:rsid w:val="00D37B19"/>
    <w:rsid w:val="00D402AD"/>
    <w:rsid w:val="00D40365"/>
    <w:rsid w:val="00D4071D"/>
    <w:rsid w:val="00D40726"/>
    <w:rsid w:val="00D40818"/>
    <w:rsid w:val="00D40A3D"/>
    <w:rsid w:val="00D40AA0"/>
    <w:rsid w:val="00D40AFD"/>
    <w:rsid w:val="00D40B5C"/>
    <w:rsid w:val="00D40BD0"/>
    <w:rsid w:val="00D40CD7"/>
    <w:rsid w:val="00D4108A"/>
    <w:rsid w:val="00D41098"/>
    <w:rsid w:val="00D41223"/>
    <w:rsid w:val="00D415A2"/>
    <w:rsid w:val="00D41983"/>
    <w:rsid w:val="00D41B6B"/>
    <w:rsid w:val="00D41B83"/>
    <w:rsid w:val="00D41C8A"/>
    <w:rsid w:val="00D41E89"/>
    <w:rsid w:val="00D41F8A"/>
    <w:rsid w:val="00D423A0"/>
    <w:rsid w:val="00D423F4"/>
    <w:rsid w:val="00D4265D"/>
    <w:rsid w:val="00D4284C"/>
    <w:rsid w:val="00D42E3E"/>
    <w:rsid w:val="00D42ED9"/>
    <w:rsid w:val="00D42F25"/>
    <w:rsid w:val="00D43241"/>
    <w:rsid w:val="00D43252"/>
    <w:rsid w:val="00D4331B"/>
    <w:rsid w:val="00D4335A"/>
    <w:rsid w:val="00D43795"/>
    <w:rsid w:val="00D43928"/>
    <w:rsid w:val="00D441FD"/>
    <w:rsid w:val="00D4465D"/>
    <w:rsid w:val="00D446C7"/>
    <w:rsid w:val="00D44706"/>
    <w:rsid w:val="00D44772"/>
    <w:rsid w:val="00D44AEF"/>
    <w:rsid w:val="00D44B83"/>
    <w:rsid w:val="00D450A0"/>
    <w:rsid w:val="00D45442"/>
    <w:rsid w:val="00D458DE"/>
    <w:rsid w:val="00D45930"/>
    <w:rsid w:val="00D45BDA"/>
    <w:rsid w:val="00D45E3F"/>
    <w:rsid w:val="00D46013"/>
    <w:rsid w:val="00D4623B"/>
    <w:rsid w:val="00D463F0"/>
    <w:rsid w:val="00D463F1"/>
    <w:rsid w:val="00D46464"/>
    <w:rsid w:val="00D4698D"/>
    <w:rsid w:val="00D46F52"/>
    <w:rsid w:val="00D473EE"/>
    <w:rsid w:val="00D477B0"/>
    <w:rsid w:val="00D4793A"/>
    <w:rsid w:val="00D47C8D"/>
    <w:rsid w:val="00D47D8B"/>
    <w:rsid w:val="00D47DDA"/>
    <w:rsid w:val="00D50643"/>
    <w:rsid w:val="00D50A57"/>
    <w:rsid w:val="00D5169A"/>
    <w:rsid w:val="00D518E7"/>
    <w:rsid w:val="00D51941"/>
    <w:rsid w:val="00D5194A"/>
    <w:rsid w:val="00D51AC9"/>
    <w:rsid w:val="00D51AE0"/>
    <w:rsid w:val="00D51B1A"/>
    <w:rsid w:val="00D51B67"/>
    <w:rsid w:val="00D51D90"/>
    <w:rsid w:val="00D51E51"/>
    <w:rsid w:val="00D51E53"/>
    <w:rsid w:val="00D51F3E"/>
    <w:rsid w:val="00D5231D"/>
    <w:rsid w:val="00D525F0"/>
    <w:rsid w:val="00D527E6"/>
    <w:rsid w:val="00D52F81"/>
    <w:rsid w:val="00D530B4"/>
    <w:rsid w:val="00D530CE"/>
    <w:rsid w:val="00D53617"/>
    <w:rsid w:val="00D53829"/>
    <w:rsid w:val="00D5394F"/>
    <w:rsid w:val="00D53A11"/>
    <w:rsid w:val="00D53C51"/>
    <w:rsid w:val="00D5401E"/>
    <w:rsid w:val="00D5415D"/>
    <w:rsid w:val="00D54245"/>
    <w:rsid w:val="00D5460D"/>
    <w:rsid w:val="00D54867"/>
    <w:rsid w:val="00D54975"/>
    <w:rsid w:val="00D54A36"/>
    <w:rsid w:val="00D550FA"/>
    <w:rsid w:val="00D552F4"/>
    <w:rsid w:val="00D555D4"/>
    <w:rsid w:val="00D55B00"/>
    <w:rsid w:val="00D55C04"/>
    <w:rsid w:val="00D55F80"/>
    <w:rsid w:val="00D55FA1"/>
    <w:rsid w:val="00D56198"/>
    <w:rsid w:val="00D562A2"/>
    <w:rsid w:val="00D5634B"/>
    <w:rsid w:val="00D56459"/>
    <w:rsid w:val="00D56526"/>
    <w:rsid w:val="00D56547"/>
    <w:rsid w:val="00D56939"/>
    <w:rsid w:val="00D569EE"/>
    <w:rsid w:val="00D56BF6"/>
    <w:rsid w:val="00D56C56"/>
    <w:rsid w:val="00D56CAC"/>
    <w:rsid w:val="00D56D3E"/>
    <w:rsid w:val="00D56DDF"/>
    <w:rsid w:val="00D5721F"/>
    <w:rsid w:val="00D57446"/>
    <w:rsid w:val="00D574AC"/>
    <w:rsid w:val="00D575E4"/>
    <w:rsid w:val="00D57831"/>
    <w:rsid w:val="00D57BE0"/>
    <w:rsid w:val="00D57E0C"/>
    <w:rsid w:val="00D57EDB"/>
    <w:rsid w:val="00D601C4"/>
    <w:rsid w:val="00D6050B"/>
    <w:rsid w:val="00D6053A"/>
    <w:rsid w:val="00D60929"/>
    <w:rsid w:val="00D6095B"/>
    <w:rsid w:val="00D60BD1"/>
    <w:rsid w:val="00D60D5E"/>
    <w:rsid w:val="00D61696"/>
    <w:rsid w:val="00D61DB9"/>
    <w:rsid w:val="00D61DBD"/>
    <w:rsid w:val="00D62097"/>
    <w:rsid w:val="00D6210C"/>
    <w:rsid w:val="00D6214B"/>
    <w:rsid w:val="00D627CA"/>
    <w:rsid w:val="00D6282D"/>
    <w:rsid w:val="00D62B12"/>
    <w:rsid w:val="00D62C6B"/>
    <w:rsid w:val="00D62D85"/>
    <w:rsid w:val="00D62E3B"/>
    <w:rsid w:val="00D62F4E"/>
    <w:rsid w:val="00D630C0"/>
    <w:rsid w:val="00D6317F"/>
    <w:rsid w:val="00D63504"/>
    <w:rsid w:val="00D635E1"/>
    <w:rsid w:val="00D63906"/>
    <w:rsid w:val="00D63EC3"/>
    <w:rsid w:val="00D643A8"/>
    <w:rsid w:val="00D64666"/>
    <w:rsid w:val="00D64C81"/>
    <w:rsid w:val="00D64ECF"/>
    <w:rsid w:val="00D65082"/>
    <w:rsid w:val="00D650F1"/>
    <w:rsid w:val="00D6593F"/>
    <w:rsid w:val="00D65A45"/>
    <w:rsid w:val="00D65CE7"/>
    <w:rsid w:val="00D65FB6"/>
    <w:rsid w:val="00D6685A"/>
    <w:rsid w:val="00D66901"/>
    <w:rsid w:val="00D669F2"/>
    <w:rsid w:val="00D66BD9"/>
    <w:rsid w:val="00D66CFE"/>
    <w:rsid w:val="00D66F89"/>
    <w:rsid w:val="00D670A6"/>
    <w:rsid w:val="00D670C1"/>
    <w:rsid w:val="00D670FD"/>
    <w:rsid w:val="00D672C5"/>
    <w:rsid w:val="00D673FB"/>
    <w:rsid w:val="00D6745C"/>
    <w:rsid w:val="00D6779D"/>
    <w:rsid w:val="00D67A9E"/>
    <w:rsid w:val="00D67C1E"/>
    <w:rsid w:val="00D67C26"/>
    <w:rsid w:val="00D67EE9"/>
    <w:rsid w:val="00D70015"/>
    <w:rsid w:val="00D704F5"/>
    <w:rsid w:val="00D7064E"/>
    <w:rsid w:val="00D7069E"/>
    <w:rsid w:val="00D7073A"/>
    <w:rsid w:val="00D707A7"/>
    <w:rsid w:val="00D70993"/>
    <w:rsid w:val="00D70AE2"/>
    <w:rsid w:val="00D70E6C"/>
    <w:rsid w:val="00D70E9E"/>
    <w:rsid w:val="00D71230"/>
    <w:rsid w:val="00D713F3"/>
    <w:rsid w:val="00D71760"/>
    <w:rsid w:val="00D718C9"/>
    <w:rsid w:val="00D71A7F"/>
    <w:rsid w:val="00D7222A"/>
    <w:rsid w:val="00D723A2"/>
    <w:rsid w:val="00D72903"/>
    <w:rsid w:val="00D72955"/>
    <w:rsid w:val="00D72A7C"/>
    <w:rsid w:val="00D72B20"/>
    <w:rsid w:val="00D72BF1"/>
    <w:rsid w:val="00D72D69"/>
    <w:rsid w:val="00D72DBA"/>
    <w:rsid w:val="00D73139"/>
    <w:rsid w:val="00D73335"/>
    <w:rsid w:val="00D739C6"/>
    <w:rsid w:val="00D74307"/>
    <w:rsid w:val="00D74349"/>
    <w:rsid w:val="00D7476C"/>
    <w:rsid w:val="00D748A8"/>
    <w:rsid w:val="00D749F4"/>
    <w:rsid w:val="00D74A48"/>
    <w:rsid w:val="00D74B89"/>
    <w:rsid w:val="00D7533C"/>
    <w:rsid w:val="00D75535"/>
    <w:rsid w:val="00D75AAE"/>
    <w:rsid w:val="00D75F22"/>
    <w:rsid w:val="00D75F23"/>
    <w:rsid w:val="00D75FFF"/>
    <w:rsid w:val="00D7606A"/>
    <w:rsid w:val="00D76145"/>
    <w:rsid w:val="00D761F4"/>
    <w:rsid w:val="00D76360"/>
    <w:rsid w:val="00D764AA"/>
    <w:rsid w:val="00D764BB"/>
    <w:rsid w:val="00D764DF"/>
    <w:rsid w:val="00D76538"/>
    <w:rsid w:val="00D766ED"/>
    <w:rsid w:val="00D767E5"/>
    <w:rsid w:val="00D76936"/>
    <w:rsid w:val="00D76CCE"/>
    <w:rsid w:val="00D76E8D"/>
    <w:rsid w:val="00D76F24"/>
    <w:rsid w:val="00D773F0"/>
    <w:rsid w:val="00D77409"/>
    <w:rsid w:val="00D774A6"/>
    <w:rsid w:val="00D777F7"/>
    <w:rsid w:val="00D77ADA"/>
    <w:rsid w:val="00D77EBD"/>
    <w:rsid w:val="00D80274"/>
    <w:rsid w:val="00D80472"/>
    <w:rsid w:val="00D805A5"/>
    <w:rsid w:val="00D8096E"/>
    <w:rsid w:val="00D80A51"/>
    <w:rsid w:val="00D80A72"/>
    <w:rsid w:val="00D80AEB"/>
    <w:rsid w:val="00D80BB2"/>
    <w:rsid w:val="00D80D5C"/>
    <w:rsid w:val="00D80FCD"/>
    <w:rsid w:val="00D8102C"/>
    <w:rsid w:val="00D810D9"/>
    <w:rsid w:val="00D8152C"/>
    <w:rsid w:val="00D816DB"/>
    <w:rsid w:val="00D81DC8"/>
    <w:rsid w:val="00D81F33"/>
    <w:rsid w:val="00D8212D"/>
    <w:rsid w:val="00D82311"/>
    <w:rsid w:val="00D82A9A"/>
    <w:rsid w:val="00D82B96"/>
    <w:rsid w:val="00D82C7A"/>
    <w:rsid w:val="00D830D5"/>
    <w:rsid w:val="00D830DE"/>
    <w:rsid w:val="00D8332C"/>
    <w:rsid w:val="00D83892"/>
    <w:rsid w:val="00D83931"/>
    <w:rsid w:val="00D83E3E"/>
    <w:rsid w:val="00D840EC"/>
    <w:rsid w:val="00D84122"/>
    <w:rsid w:val="00D8446A"/>
    <w:rsid w:val="00D845AA"/>
    <w:rsid w:val="00D84604"/>
    <w:rsid w:val="00D8463E"/>
    <w:rsid w:val="00D8482F"/>
    <w:rsid w:val="00D84B21"/>
    <w:rsid w:val="00D84C00"/>
    <w:rsid w:val="00D84D19"/>
    <w:rsid w:val="00D84DE7"/>
    <w:rsid w:val="00D850D8"/>
    <w:rsid w:val="00D85159"/>
    <w:rsid w:val="00D855FF"/>
    <w:rsid w:val="00D85873"/>
    <w:rsid w:val="00D85B75"/>
    <w:rsid w:val="00D85BEA"/>
    <w:rsid w:val="00D85C89"/>
    <w:rsid w:val="00D85E08"/>
    <w:rsid w:val="00D85ED4"/>
    <w:rsid w:val="00D865BA"/>
    <w:rsid w:val="00D8672A"/>
    <w:rsid w:val="00D86AE9"/>
    <w:rsid w:val="00D86C31"/>
    <w:rsid w:val="00D86DD7"/>
    <w:rsid w:val="00D86DE0"/>
    <w:rsid w:val="00D8753D"/>
    <w:rsid w:val="00D875FA"/>
    <w:rsid w:val="00D87715"/>
    <w:rsid w:val="00D879B9"/>
    <w:rsid w:val="00D87FB0"/>
    <w:rsid w:val="00D902DE"/>
    <w:rsid w:val="00D90639"/>
    <w:rsid w:val="00D909F8"/>
    <w:rsid w:val="00D90B36"/>
    <w:rsid w:val="00D90ECE"/>
    <w:rsid w:val="00D90F8B"/>
    <w:rsid w:val="00D91011"/>
    <w:rsid w:val="00D91138"/>
    <w:rsid w:val="00D91A0D"/>
    <w:rsid w:val="00D91CE4"/>
    <w:rsid w:val="00D91F73"/>
    <w:rsid w:val="00D92087"/>
    <w:rsid w:val="00D920CB"/>
    <w:rsid w:val="00D920D2"/>
    <w:rsid w:val="00D923ED"/>
    <w:rsid w:val="00D92646"/>
    <w:rsid w:val="00D928A3"/>
    <w:rsid w:val="00D92ABD"/>
    <w:rsid w:val="00D92AF1"/>
    <w:rsid w:val="00D92F03"/>
    <w:rsid w:val="00D932AE"/>
    <w:rsid w:val="00D93374"/>
    <w:rsid w:val="00D934DC"/>
    <w:rsid w:val="00D93623"/>
    <w:rsid w:val="00D9381D"/>
    <w:rsid w:val="00D939B8"/>
    <w:rsid w:val="00D93B65"/>
    <w:rsid w:val="00D93C6C"/>
    <w:rsid w:val="00D93CDE"/>
    <w:rsid w:val="00D93FC2"/>
    <w:rsid w:val="00D941EA"/>
    <w:rsid w:val="00D9428E"/>
    <w:rsid w:val="00D944BC"/>
    <w:rsid w:val="00D94C19"/>
    <w:rsid w:val="00D94CB7"/>
    <w:rsid w:val="00D94FD6"/>
    <w:rsid w:val="00D95052"/>
    <w:rsid w:val="00D9505D"/>
    <w:rsid w:val="00D95618"/>
    <w:rsid w:val="00D95B3A"/>
    <w:rsid w:val="00D95EA2"/>
    <w:rsid w:val="00D95EB4"/>
    <w:rsid w:val="00D95F66"/>
    <w:rsid w:val="00D95F90"/>
    <w:rsid w:val="00D960DD"/>
    <w:rsid w:val="00D9610D"/>
    <w:rsid w:val="00D961B4"/>
    <w:rsid w:val="00D96236"/>
    <w:rsid w:val="00D9648E"/>
    <w:rsid w:val="00D965FF"/>
    <w:rsid w:val="00D968AA"/>
    <w:rsid w:val="00D96BD7"/>
    <w:rsid w:val="00D97295"/>
    <w:rsid w:val="00D973BE"/>
    <w:rsid w:val="00D97552"/>
    <w:rsid w:val="00D977E3"/>
    <w:rsid w:val="00D97B73"/>
    <w:rsid w:val="00D97CAD"/>
    <w:rsid w:val="00DA0111"/>
    <w:rsid w:val="00DA0431"/>
    <w:rsid w:val="00DA051C"/>
    <w:rsid w:val="00DA0561"/>
    <w:rsid w:val="00DA0DAB"/>
    <w:rsid w:val="00DA1157"/>
    <w:rsid w:val="00DA1299"/>
    <w:rsid w:val="00DA12B4"/>
    <w:rsid w:val="00DA15FD"/>
    <w:rsid w:val="00DA1852"/>
    <w:rsid w:val="00DA1A44"/>
    <w:rsid w:val="00DA1D08"/>
    <w:rsid w:val="00DA2105"/>
    <w:rsid w:val="00DA2267"/>
    <w:rsid w:val="00DA2572"/>
    <w:rsid w:val="00DA263F"/>
    <w:rsid w:val="00DA2751"/>
    <w:rsid w:val="00DA2771"/>
    <w:rsid w:val="00DA2C84"/>
    <w:rsid w:val="00DA3324"/>
    <w:rsid w:val="00DA37B8"/>
    <w:rsid w:val="00DA383C"/>
    <w:rsid w:val="00DA38B9"/>
    <w:rsid w:val="00DA3A45"/>
    <w:rsid w:val="00DA3A5E"/>
    <w:rsid w:val="00DA3AE3"/>
    <w:rsid w:val="00DA3AF9"/>
    <w:rsid w:val="00DA3DC8"/>
    <w:rsid w:val="00DA4033"/>
    <w:rsid w:val="00DA40AD"/>
    <w:rsid w:val="00DA415B"/>
    <w:rsid w:val="00DA41E0"/>
    <w:rsid w:val="00DA465D"/>
    <w:rsid w:val="00DA48B6"/>
    <w:rsid w:val="00DA4994"/>
    <w:rsid w:val="00DA4A26"/>
    <w:rsid w:val="00DA4B23"/>
    <w:rsid w:val="00DA4DAA"/>
    <w:rsid w:val="00DA502A"/>
    <w:rsid w:val="00DA54B6"/>
    <w:rsid w:val="00DA5559"/>
    <w:rsid w:val="00DA55C4"/>
    <w:rsid w:val="00DA593D"/>
    <w:rsid w:val="00DA5D43"/>
    <w:rsid w:val="00DA632D"/>
    <w:rsid w:val="00DA639D"/>
    <w:rsid w:val="00DA6885"/>
    <w:rsid w:val="00DA6E4F"/>
    <w:rsid w:val="00DA6E9D"/>
    <w:rsid w:val="00DA720F"/>
    <w:rsid w:val="00DA722F"/>
    <w:rsid w:val="00DA7243"/>
    <w:rsid w:val="00DA731B"/>
    <w:rsid w:val="00DA7708"/>
    <w:rsid w:val="00DA77D0"/>
    <w:rsid w:val="00DA7AAF"/>
    <w:rsid w:val="00DA7AD8"/>
    <w:rsid w:val="00DB06F4"/>
    <w:rsid w:val="00DB07CE"/>
    <w:rsid w:val="00DB0960"/>
    <w:rsid w:val="00DB0976"/>
    <w:rsid w:val="00DB097D"/>
    <w:rsid w:val="00DB0BC6"/>
    <w:rsid w:val="00DB0D79"/>
    <w:rsid w:val="00DB0DCB"/>
    <w:rsid w:val="00DB0E82"/>
    <w:rsid w:val="00DB11F6"/>
    <w:rsid w:val="00DB1491"/>
    <w:rsid w:val="00DB1726"/>
    <w:rsid w:val="00DB1A72"/>
    <w:rsid w:val="00DB1C1C"/>
    <w:rsid w:val="00DB1C89"/>
    <w:rsid w:val="00DB20EA"/>
    <w:rsid w:val="00DB2306"/>
    <w:rsid w:val="00DB232C"/>
    <w:rsid w:val="00DB23B4"/>
    <w:rsid w:val="00DB2724"/>
    <w:rsid w:val="00DB2A3A"/>
    <w:rsid w:val="00DB2B28"/>
    <w:rsid w:val="00DB2D0F"/>
    <w:rsid w:val="00DB2EC4"/>
    <w:rsid w:val="00DB2F49"/>
    <w:rsid w:val="00DB31A1"/>
    <w:rsid w:val="00DB3670"/>
    <w:rsid w:val="00DB3835"/>
    <w:rsid w:val="00DB3A4D"/>
    <w:rsid w:val="00DB3AF8"/>
    <w:rsid w:val="00DB3BBD"/>
    <w:rsid w:val="00DB3D3E"/>
    <w:rsid w:val="00DB3D9F"/>
    <w:rsid w:val="00DB4014"/>
    <w:rsid w:val="00DB413B"/>
    <w:rsid w:val="00DB429A"/>
    <w:rsid w:val="00DB42E0"/>
    <w:rsid w:val="00DB43EE"/>
    <w:rsid w:val="00DB446E"/>
    <w:rsid w:val="00DB44A9"/>
    <w:rsid w:val="00DB48AB"/>
    <w:rsid w:val="00DB490D"/>
    <w:rsid w:val="00DB49AA"/>
    <w:rsid w:val="00DB4B54"/>
    <w:rsid w:val="00DB4E12"/>
    <w:rsid w:val="00DB4EFF"/>
    <w:rsid w:val="00DB510D"/>
    <w:rsid w:val="00DB5720"/>
    <w:rsid w:val="00DB5755"/>
    <w:rsid w:val="00DB58BA"/>
    <w:rsid w:val="00DB5B5D"/>
    <w:rsid w:val="00DB5CA8"/>
    <w:rsid w:val="00DB5E7D"/>
    <w:rsid w:val="00DB5FAC"/>
    <w:rsid w:val="00DB606A"/>
    <w:rsid w:val="00DB618F"/>
    <w:rsid w:val="00DB61A6"/>
    <w:rsid w:val="00DB6248"/>
    <w:rsid w:val="00DB63E6"/>
    <w:rsid w:val="00DB66D4"/>
    <w:rsid w:val="00DB67EA"/>
    <w:rsid w:val="00DB6A22"/>
    <w:rsid w:val="00DB6A29"/>
    <w:rsid w:val="00DB6A81"/>
    <w:rsid w:val="00DB7288"/>
    <w:rsid w:val="00DB7376"/>
    <w:rsid w:val="00DB7647"/>
    <w:rsid w:val="00DB7693"/>
    <w:rsid w:val="00DB7C4C"/>
    <w:rsid w:val="00DB7D88"/>
    <w:rsid w:val="00DB7E7F"/>
    <w:rsid w:val="00DC000C"/>
    <w:rsid w:val="00DC0168"/>
    <w:rsid w:val="00DC0432"/>
    <w:rsid w:val="00DC05F0"/>
    <w:rsid w:val="00DC0BD7"/>
    <w:rsid w:val="00DC0D52"/>
    <w:rsid w:val="00DC0D84"/>
    <w:rsid w:val="00DC0E5A"/>
    <w:rsid w:val="00DC10EF"/>
    <w:rsid w:val="00DC153C"/>
    <w:rsid w:val="00DC154A"/>
    <w:rsid w:val="00DC1737"/>
    <w:rsid w:val="00DC1B58"/>
    <w:rsid w:val="00DC1BE3"/>
    <w:rsid w:val="00DC1CD9"/>
    <w:rsid w:val="00DC1CE0"/>
    <w:rsid w:val="00DC1DCA"/>
    <w:rsid w:val="00DC273A"/>
    <w:rsid w:val="00DC2BB5"/>
    <w:rsid w:val="00DC3215"/>
    <w:rsid w:val="00DC3528"/>
    <w:rsid w:val="00DC384A"/>
    <w:rsid w:val="00DC38AC"/>
    <w:rsid w:val="00DC3C5E"/>
    <w:rsid w:val="00DC3F65"/>
    <w:rsid w:val="00DC4463"/>
    <w:rsid w:val="00DC4720"/>
    <w:rsid w:val="00DC4B51"/>
    <w:rsid w:val="00DC4CDD"/>
    <w:rsid w:val="00DC500B"/>
    <w:rsid w:val="00DC5455"/>
    <w:rsid w:val="00DC549E"/>
    <w:rsid w:val="00DC564B"/>
    <w:rsid w:val="00DC5AAD"/>
    <w:rsid w:val="00DC5D1B"/>
    <w:rsid w:val="00DC5ECB"/>
    <w:rsid w:val="00DC615F"/>
    <w:rsid w:val="00DC6453"/>
    <w:rsid w:val="00DC65F5"/>
    <w:rsid w:val="00DC67A7"/>
    <w:rsid w:val="00DC68B4"/>
    <w:rsid w:val="00DC6B5B"/>
    <w:rsid w:val="00DC6BCF"/>
    <w:rsid w:val="00DC6C59"/>
    <w:rsid w:val="00DC6DBF"/>
    <w:rsid w:val="00DC7244"/>
    <w:rsid w:val="00DC7572"/>
    <w:rsid w:val="00DC789D"/>
    <w:rsid w:val="00DC7A64"/>
    <w:rsid w:val="00DC7AC9"/>
    <w:rsid w:val="00DC7B9A"/>
    <w:rsid w:val="00DC7BFB"/>
    <w:rsid w:val="00DC7F57"/>
    <w:rsid w:val="00DC7FC4"/>
    <w:rsid w:val="00DD00C7"/>
    <w:rsid w:val="00DD0179"/>
    <w:rsid w:val="00DD0A57"/>
    <w:rsid w:val="00DD0C23"/>
    <w:rsid w:val="00DD0C3F"/>
    <w:rsid w:val="00DD10A7"/>
    <w:rsid w:val="00DD14C6"/>
    <w:rsid w:val="00DD1704"/>
    <w:rsid w:val="00DD1795"/>
    <w:rsid w:val="00DD2365"/>
    <w:rsid w:val="00DD2366"/>
    <w:rsid w:val="00DD274F"/>
    <w:rsid w:val="00DD2798"/>
    <w:rsid w:val="00DD287C"/>
    <w:rsid w:val="00DD2A19"/>
    <w:rsid w:val="00DD2A25"/>
    <w:rsid w:val="00DD2B54"/>
    <w:rsid w:val="00DD2FEE"/>
    <w:rsid w:val="00DD3586"/>
    <w:rsid w:val="00DD3A0F"/>
    <w:rsid w:val="00DD3AF6"/>
    <w:rsid w:val="00DD3CEC"/>
    <w:rsid w:val="00DD3D69"/>
    <w:rsid w:val="00DD3E3D"/>
    <w:rsid w:val="00DD415D"/>
    <w:rsid w:val="00DD43C4"/>
    <w:rsid w:val="00DD47C3"/>
    <w:rsid w:val="00DD48DC"/>
    <w:rsid w:val="00DD48F9"/>
    <w:rsid w:val="00DD4BF2"/>
    <w:rsid w:val="00DD4FAC"/>
    <w:rsid w:val="00DD507D"/>
    <w:rsid w:val="00DD52EE"/>
    <w:rsid w:val="00DD5966"/>
    <w:rsid w:val="00DD59D3"/>
    <w:rsid w:val="00DD5BB6"/>
    <w:rsid w:val="00DD5D18"/>
    <w:rsid w:val="00DD5DD8"/>
    <w:rsid w:val="00DD5F2A"/>
    <w:rsid w:val="00DD5FC8"/>
    <w:rsid w:val="00DD60C5"/>
    <w:rsid w:val="00DD621A"/>
    <w:rsid w:val="00DD6610"/>
    <w:rsid w:val="00DD6752"/>
    <w:rsid w:val="00DD6D94"/>
    <w:rsid w:val="00DD6D95"/>
    <w:rsid w:val="00DD7087"/>
    <w:rsid w:val="00DD7138"/>
    <w:rsid w:val="00DD7178"/>
    <w:rsid w:val="00DD71BA"/>
    <w:rsid w:val="00DD71DB"/>
    <w:rsid w:val="00DD721D"/>
    <w:rsid w:val="00DD74E9"/>
    <w:rsid w:val="00DD787A"/>
    <w:rsid w:val="00DD78DE"/>
    <w:rsid w:val="00DD7981"/>
    <w:rsid w:val="00DD7B1E"/>
    <w:rsid w:val="00DD7C33"/>
    <w:rsid w:val="00DE0059"/>
    <w:rsid w:val="00DE00D6"/>
    <w:rsid w:val="00DE0287"/>
    <w:rsid w:val="00DE04DB"/>
    <w:rsid w:val="00DE06CD"/>
    <w:rsid w:val="00DE0738"/>
    <w:rsid w:val="00DE0739"/>
    <w:rsid w:val="00DE08D4"/>
    <w:rsid w:val="00DE0B5C"/>
    <w:rsid w:val="00DE0F5A"/>
    <w:rsid w:val="00DE1077"/>
    <w:rsid w:val="00DE132E"/>
    <w:rsid w:val="00DE165E"/>
    <w:rsid w:val="00DE16BB"/>
    <w:rsid w:val="00DE1722"/>
    <w:rsid w:val="00DE1775"/>
    <w:rsid w:val="00DE1827"/>
    <w:rsid w:val="00DE19DC"/>
    <w:rsid w:val="00DE1A61"/>
    <w:rsid w:val="00DE1B23"/>
    <w:rsid w:val="00DE1BDF"/>
    <w:rsid w:val="00DE1C75"/>
    <w:rsid w:val="00DE27E9"/>
    <w:rsid w:val="00DE280A"/>
    <w:rsid w:val="00DE2936"/>
    <w:rsid w:val="00DE2D44"/>
    <w:rsid w:val="00DE3068"/>
    <w:rsid w:val="00DE3080"/>
    <w:rsid w:val="00DE3089"/>
    <w:rsid w:val="00DE30A1"/>
    <w:rsid w:val="00DE30ED"/>
    <w:rsid w:val="00DE3598"/>
    <w:rsid w:val="00DE392E"/>
    <w:rsid w:val="00DE3D48"/>
    <w:rsid w:val="00DE4285"/>
    <w:rsid w:val="00DE42AE"/>
    <w:rsid w:val="00DE4892"/>
    <w:rsid w:val="00DE4A8F"/>
    <w:rsid w:val="00DE4D18"/>
    <w:rsid w:val="00DE4FA9"/>
    <w:rsid w:val="00DE4FC8"/>
    <w:rsid w:val="00DE501C"/>
    <w:rsid w:val="00DE52E9"/>
    <w:rsid w:val="00DE59A1"/>
    <w:rsid w:val="00DE5A6F"/>
    <w:rsid w:val="00DE5A8B"/>
    <w:rsid w:val="00DE5B0D"/>
    <w:rsid w:val="00DE5FA8"/>
    <w:rsid w:val="00DE6035"/>
    <w:rsid w:val="00DE6137"/>
    <w:rsid w:val="00DE6240"/>
    <w:rsid w:val="00DE641C"/>
    <w:rsid w:val="00DE657A"/>
    <w:rsid w:val="00DE6833"/>
    <w:rsid w:val="00DE6ADA"/>
    <w:rsid w:val="00DE6D74"/>
    <w:rsid w:val="00DE6F41"/>
    <w:rsid w:val="00DE6FC9"/>
    <w:rsid w:val="00DE7162"/>
    <w:rsid w:val="00DE71EF"/>
    <w:rsid w:val="00DE745B"/>
    <w:rsid w:val="00DE7488"/>
    <w:rsid w:val="00DE787C"/>
    <w:rsid w:val="00DE78D7"/>
    <w:rsid w:val="00DE79DA"/>
    <w:rsid w:val="00DE7A09"/>
    <w:rsid w:val="00DE7BB6"/>
    <w:rsid w:val="00DF00E4"/>
    <w:rsid w:val="00DF00FF"/>
    <w:rsid w:val="00DF0225"/>
    <w:rsid w:val="00DF037A"/>
    <w:rsid w:val="00DF0422"/>
    <w:rsid w:val="00DF046A"/>
    <w:rsid w:val="00DF0577"/>
    <w:rsid w:val="00DF05E6"/>
    <w:rsid w:val="00DF069A"/>
    <w:rsid w:val="00DF0717"/>
    <w:rsid w:val="00DF07B6"/>
    <w:rsid w:val="00DF08E3"/>
    <w:rsid w:val="00DF0A61"/>
    <w:rsid w:val="00DF0A6F"/>
    <w:rsid w:val="00DF0E8D"/>
    <w:rsid w:val="00DF0F96"/>
    <w:rsid w:val="00DF108A"/>
    <w:rsid w:val="00DF10FE"/>
    <w:rsid w:val="00DF1108"/>
    <w:rsid w:val="00DF168E"/>
    <w:rsid w:val="00DF16A5"/>
    <w:rsid w:val="00DF1750"/>
    <w:rsid w:val="00DF1802"/>
    <w:rsid w:val="00DF19F1"/>
    <w:rsid w:val="00DF1C8A"/>
    <w:rsid w:val="00DF1D8F"/>
    <w:rsid w:val="00DF1E83"/>
    <w:rsid w:val="00DF1F2A"/>
    <w:rsid w:val="00DF1F9B"/>
    <w:rsid w:val="00DF204B"/>
    <w:rsid w:val="00DF259B"/>
    <w:rsid w:val="00DF274A"/>
    <w:rsid w:val="00DF284F"/>
    <w:rsid w:val="00DF28CC"/>
    <w:rsid w:val="00DF33A1"/>
    <w:rsid w:val="00DF3B77"/>
    <w:rsid w:val="00DF3C0A"/>
    <w:rsid w:val="00DF3FA6"/>
    <w:rsid w:val="00DF4049"/>
    <w:rsid w:val="00DF4078"/>
    <w:rsid w:val="00DF4240"/>
    <w:rsid w:val="00DF479B"/>
    <w:rsid w:val="00DF4BAD"/>
    <w:rsid w:val="00DF4D1C"/>
    <w:rsid w:val="00DF518E"/>
    <w:rsid w:val="00DF52DF"/>
    <w:rsid w:val="00DF5419"/>
    <w:rsid w:val="00DF57D5"/>
    <w:rsid w:val="00DF5824"/>
    <w:rsid w:val="00DF59C5"/>
    <w:rsid w:val="00DF5AAD"/>
    <w:rsid w:val="00DF5B1D"/>
    <w:rsid w:val="00DF5E8E"/>
    <w:rsid w:val="00DF6307"/>
    <w:rsid w:val="00DF6356"/>
    <w:rsid w:val="00DF6E53"/>
    <w:rsid w:val="00DF6E6E"/>
    <w:rsid w:val="00DF7133"/>
    <w:rsid w:val="00DF7202"/>
    <w:rsid w:val="00DF7514"/>
    <w:rsid w:val="00DF7D14"/>
    <w:rsid w:val="00DF7D6A"/>
    <w:rsid w:val="00DF7E6A"/>
    <w:rsid w:val="00E001A3"/>
    <w:rsid w:val="00E0030C"/>
    <w:rsid w:val="00E00820"/>
    <w:rsid w:val="00E0087F"/>
    <w:rsid w:val="00E009A8"/>
    <w:rsid w:val="00E00B09"/>
    <w:rsid w:val="00E00C32"/>
    <w:rsid w:val="00E01409"/>
    <w:rsid w:val="00E01576"/>
    <w:rsid w:val="00E01B0C"/>
    <w:rsid w:val="00E01B87"/>
    <w:rsid w:val="00E01DD0"/>
    <w:rsid w:val="00E02126"/>
    <w:rsid w:val="00E022D7"/>
    <w:rsid w:val="00E023CF"/>
    <w:rsid w:val="00E02419"/>
    <w:rsid w:val="00E02464"/>
    <w:rsid w:val="00E02574"/>
    <w:rsid w:val="00E026AD"/>
    <w:rsid w:val="00E026B0"/>
    <w:rsid w:val="00E028A4"/>
    <w:rsid w:val="00E0293C"/>
    <w:rsid w:val="00E02CB7"/>
    <w:rsid w:val="00E02D7F"/>
    <w:rsid w:val="00E0363B"/>
    <w:rsid w:val="00E036E9"/>
    <w:rsid w:val="00E03DFA"/>
    <w:rsid w:val="00E04013"/>
    <w:rsid w:val="00E045D0"/>
    <w:rsid w:val="00E046FB"/>
    <w:rsid w:val="00E04990"/>
    <w:rsid w:val="00E04D87"/>
    <w:rsid w:val="00E04E0C"/>
    <w:rsid w:val="00E0513F"/>
    <w:rsid w:val="00E05443"/>
    <w:rsid w:val="00E054DF"/>
    <w:rsid w:val="00E056D0"/>
    <w:rsid w:val="00E05724"/>
    <w:rsid w:val="00E0585D"/>
    <w:rsid w:val="00E05992"/>
    <w:rsid w:val="00E05A8E"/>
    <w:rsid w:val="00E05CC7"/>
    <w:rsid w:val="00E05F63"/>
    <w:rsid w:val="00E05FC6"/>
    <w:rsid w:val="00E06366"/>
    <w:rsid w:val="00E065E7"/>
    <w:rsid w:val="00E066C6"/>
    <w:rsid w:val="00E069AE"/>
    <w:rsid w:val="00E06FE9"/>
    <w:rsid w:val="00E07181"/>
    <w:rsid w:val="00E0720B"/>
    <w:rsid w:val="00E075B6"/>
    <w:rsid w:val="00E077C3"/>
    <w:rsid w:val="00E077D2"/>
    <w:rsid w:val="00E07924"/>
    <w:rsid w:val="00E07A31"/>
    <w:rsid w:val="00E07A68"/>
    <w:rsid w:val="00E07E77"/>
    <w:rsid w:val="00E07E7B"/>
    <w:rsid w:val="00E07FF8"/>
    <w:rsid w:val="00E1014D"/>
    <w:rsid w:val="00E10326"/>
    <w:rsid w:val="00E1035E"/>
    <w:rsid w:val="00E104B7"/>
    <w:rsid w:val="00E105DA"/>
    <w:rsid w:val="00E10812"/>
    <w:rsid w:val="00E10885"/>
    <w:rsid w:val="00E10B75"/>
    <w:rsid w:val="00E10BC2"/>
    <w:rsid w:val="00E10EA0"/>
    <w:rsid w:val="00E10F5D"/>
    <w:rsid w:val="00E10FBA"/>
    <w:rsid w:val="00E1117B"/>
    <w:rsid w:val="00E11307"/>
    <w:rsid w:val="00E11667"/>
    <w:rsid w:val="00E11AA5"/>
    <w:rsid w:val="00E11D47"/>
    <w:rsid w:val="00E120DC"/>
    <w:rsid w:val="00E121F4"/>
    <w:rsid w:val="00E12423"/>
    <w:rsid w:val="00E1243D"/>
    <w:rsid w:val="00E125FE"/>
    <w:rsid w:val="00E128F5"/>
    <w:rsid w:val="00E12C3D"/>
    <w:rsid w:val="00E12D8C"/>
    <w:rsid w:val="00E130AE"/>
    <w:rsid w:val="00E131EC"/>
    <w:rsid w:val="00E13329"/>
    <w:rsid w:val="00E13485"/>
    <w:rsid w:val="00E135CE"/>
    <w:rsid w:val="00E1373C"/>
    <w:rsid w:val="00E13813"/>
    <w:rsid w:val="00E1383C"/>
    <w:rsid w:val="00E13A07"/>
    <w:rsid w:val="00E13B01"/>
    <w:rsid w:val="00E13C34"/>
    <w:rsid w:val="00E13C81"/>
    <w:rsid w:val="00E140A3"/>
    <w:rsid w:val="00E14220"/>
    <w:rsid w:val="00E146E5"/>
    <w:rsid w:val="00E14913"/>
    <w:rsid w:val="00E1492B"/>
    <w:rsid w:val="00E14B10"/>
    <w:rsid w:val="00E14CF6"/>
    <w:rsid w:val="00E14DD6"/>
    <w:rsid w:val="00E14EFB"/>
    <w:rsid w:val="00E15437"/>
    <w:rsid w:val="00E1553F"/>
    <w:rsid w:val="00E15688"/>
    <w:rsid w:val="00E1581C"/>
    <w:rsid w:val="00E15D9D"/>
    <w:rsid w:val="00E16215"/>
    <w:rsid w:val="00E167F6"/>
    <w:rsid w:val="00E1699A"/>
    <w:rsid w:val="00E16B90"/>
    <w:rsid w:val="00E16D34"/>
    <w:rsid w:val="00E16D41"/>
    <w:rsid w:val="00E16DBD"/>
    <w:rsid w:val="00E1745B"/>
    <w:rsid w:val="00E17824"/>
    <w:rsid w:val="00E178A7"/>
    <w:rsid w:val="00E17A30"/>
    <w:rsid w:val="00E17CD6"/>
    <w:rsid w:val="00E17EC3"/>
    <w:rsid w:val="00E2018B"/>
    <w:rsid w:val="00E201C2"/>
    <w:rsid w:val="00E20521"/>
    <w:rsid w:val="00E20659"/>
    <w:rsid w:val="00E2075F"/>
    <w:rsid w:val="00E20935"/>
    <w:rsid w:val="00E2095A"/>
    <w:rsid w:val="00E20BBB"/>
    <w:rsid w:val="00E20E32"/>
    <w:rsid w:val="00E20EB0"/>
    <w:rsid w:val="00E2117C"/>
    <w:rsid w:val="00E21495"/>
    <w:rsid w:val="00E217B7"/>
    <w:rsid w:val="00E21843"/>
    <w:rsid w:val="00E21A1E"/>
    <w:rsid w:val="00E21B2C"/>
    <w:rsid w:val="00E21BBC"/>
    <w:rsid w:val="00E223CE"/>
    <w:rsid w:val="00E22420"/>
    <w:rsid w:val="00E22A2D"/>
    <w:rsid w:val="00E22A39"/>
    <w:rsid w:val="00E22B8C"/>
    <w:rsid w:val="00E22E68"/>
    <w:rsid w:val="00E23047"/>
    <w:rsid w:val="00E23060"/>
    <w:rsid w:val="00E232D7"/>
    <w:rsid w:val="00E23480"/>
    <w:rsid w:val="00E234EE"/>
    <w:rsid w:val="00E23537"/>
    <w:rsid w:val="00E23880"/>
    <w:rsid w:val="00E23AB5"/>
    <w:rsid w:val="00E23B08"/>
    <w:rsid w:val="00E23FCA"/>
    <w:rsid w:val="00E24007"/>
    <w:rsid w:val="00E242CA"/>
    <w:rsid w:val="00E242E1"/>
    <w:rsid w:val="00E244E6"/>
    <w:rsid w:val="00E24507"/>
    <w:rsid w:val="00E245B1"/>
    <w:rsid w:val="00E24798"/>
    <w:rsid w:val="00E24D82"/>
    <w:rsid w:val="00E251F0"/>
    <w:rsid w:val="00E252B8"/>
    <w:rsid w:val="00E25329"/>
    <w:rsid w:val="00E254C9"/>
    <w:rsid w:val="00E254E2"/>
    <w:rsid w:val="00E255AD"/>
    <w:rsid w:val="00E25759"/>
    <w:rsid w:val="00E257C2"/>
    <w:rsid w:val="00E25982"/>
    <w:rsid w:val="00E25C6A"/>
    <w:rsid w:val="00E25E0F"/>
    <w:rsid w:val="00E25F98"/>
    <w:rsid w:val="00E265B4"/>
    <w:rsid w:val="00E265BA"/>
    <w:rsid w:val="00E265FD"/>
    <w:rsid w:val="00E266F8"/>
    <w:rsid w:val="00E26733"/>
    <w:rsid w:val="00E267BF"/>
    <w:rsid w:val="00E268E5"/>
    <w:rsid w:val="00E26991"/>
    <w:rsid w:val="00E26E07"/>
    <w:rsid w:val="00E26EEC"/>
    <w:rsid w:val="00E27190"/>
    <w:rsid w:val="00E272CA"/>
    <w:rsid w:val="00E27327"/>
    <w:rsid w:val="00E27388"/>
    <w:rsid w:val="00E273EB"/>
    <w:rsid w:val="00E27A40"/>
    <w:rsid w:val="00E27BF5"/>
    <w:rsid w:val="00E27C6F"/>
    <w:rsid w:val="00E27DE0"/>
    <w:rsid w:val="00E27EAB"/>
    <w:rsid w:val="00E30504"/>
    <w:rsid w:val="00E30724"/>
    <w:rsid w:val="00E30988"/>
    <w:rsid w:val="00E30AD5"/>
    <w:rsid w:val="00E30C1E"/>
    <w:rsid w:val="00E30E3C"/>
    <w:rsid w:val="00E30F65"/>
    <w:rsid w:val="00E31009"/>
    <w:rsid w:val="00E31028"/>
    <w:rsid w:val="00E3149B"/>
    <w:rsid w:val="00E314FA"/>
    <w:rsid w:val="00E31656"/>
    <w:rsid w:val="00E3172D"/>
    <w:rsid w:val="00E31878"/>
    <w:rsid w:val="00E31961"/>
    <w:rsid w:val="00E31B6F"/>
    <w:rsid w:val="00E31C97"/>
    <w:rsid w:val="00E3200C"/>
    <w:rsid w:val="00E320D0"/>
    <w:rsid w:val="00E3220D"/>
    <w:rsid w:val="00E32229"/>
    <w:rsid w:val="00E323D3"/>
    <w:rsid w:val="00E325A0"/>
    <w:rsid w:val="00E3270A"/>
    <w:rsid w:val="00E32F0E"/>
    <w:rsid w:val="00E33367"/>
    <w:rsid w:val="00E33376"/>
    <w:rsid w:val="00E333A1"/>
    <w:rsid w:val="00E33401"/>
    <w:rsid w:val="00E337C8"/>
    <w:rsid w:val="00E33B44"/>
    <w:rsid w:val="00E33BF8"/>
    <w:rsid w:val="00E33CBF"/>
    <w:rsid w:val="00E33CCC"/>
    <w:rsid w:val="00E340E8"/>
    <w:rsid w:val="00E343C2"/>
    <w:rsid w:val="00E344DE"/>
    <w:rsid w:val="00E34ACD"/>
    <w:rsid w:val="00E35141"/>
    <w:rsid w:val="00E3527E"/>
    <w:rsid w:val="00E3536A"/>
    <w:rsid w:val="00E3542C"/>
    <w:rsid w:val="00E354D6"/>
    <w:rsid w:val="00E35517"/>
    <w:rsid w:val="00E359D2"/>
    <w:rsid w:val="00E359F1"/>
    <w:rsid w:val="00E35ADC"/>
    <w:rsid w:val="00E35B33"/>
    <w:rsid w:val="00E35EA9"/>
    <w:rsid w:val="00E35F1F"/>
    <w:rsid w:val="00E361F4"/>
    <w:rsid w:val="00E363A7"/>
    <w:rsid w:val="00E36703"/>
    <w:rsid w:val="00E36903"/>
    <w:rsid w:val="00E36ADA"/>
    <w:rsid w:val="00E36B47"/>
    <w:rsid w:val="00E36CBF"/>
    <w:rsid w:val="00E36D2B"/>
    <w:rsid w:val="00E36DFE"/>
    <w:rsid w:val="00E370F8"/>
    <w:rsid w:val="00E37569"/>
    <w:rsid w:val="00E37682"/>
    <w:rsid w:val="00E37B99"/>
    <w:rsid w:val="00E37C00"/>
    <w:rsid w:val="00E37CBA"/>
    <w:rsid w:val="00E37E59"/>
    <w:rsid w:val="00E37FA0"/>
    <w:rsid w:val="00E40052"/>
    <w:rsid w:val="00E40106"/>
    <w:rsid w:val="00E402BC"/>
    <w:rsid w:val="00E40389"/>
    <w:rsid w:val="00E403A5"/>
    <w:rsid w:val="00E40887"/>
    <w:rsid w:val="00E4088A"/>
    <w:rsid w:val="00E40E8F"/>
    <w:rsid w:val="00E4111D"/>
    <w:rsid w:val="00E41270"/>
    <w:rsid w:val="00E412BD"/>
    <w:rsid w:val="00E4142C"/>
    <w:rsid w:val="00E415EC"/>
    <w:rsid w:val="00E419C3"/>
    <w:rsid w:val="00E41A59"/>
    <w:rsid w:val="00E41A84"/>
    <w:rsid w:val="00E41DD1"/>
    <w:rsid w:val="00E41DE6"/>
    <w:rsid w:val="00E420FD"/>
    <w:rsid w:val="00E4252F"/>
    <w:rsid w:val="00E42581"/>
    <w:rsid w:val="00E42657"/>
    <w:rsid w:val="00E42750"/>
    <w:rsid w:val="00E42822"/>
    <w:rsid w:val="00E42850"/>
    <w:rsid w:val="00E42BB1"/>
    <w:rsid w:val="00E42D1B"/>
    <w:rsid w:val="00E42EE1"/>
    <w:rsid w:val="00E42EF0"/>
    <w:rsid w:val="00E43684"/>
    <w:rsid w:val="00E4378E"/>
    <w:rsid w:val="00E437F5"/>
    <w:rsid w:val="00E437FE"/>
    <w:rsid w:val="00E438E4"/>
    <w:rsid w:val="00E43A1B"/>
    <w:rsid w:val="00E43B6E"/>
    <w:rsid w:val="00E43CB2"/>
    <w:rsid w:val="00E43CEC"/>
    <w:rsid w:val="00E43F87"/>
    <w:rsid w:val="00E44245"/>
    <w:rsid w:val="00E444C7"/>
    <w:rsid w:val="00E44BE2"/>
    <w:rsid w:val="00E44CEF"/>
    <w:rsid w:val="00E44E5C"/>
    <w:rsid w:val="00E452F9"/>
    <w:rsid w:val="00E4568D"/>
    <w:rsid w:val="00E4596F"/>
    <w:rsid w:val="00E45AD7"/>
    <w:rsid w:val="00E45B7D"/>
    <w:rsid w:val="00E45D4B"/>
    <w:rsid w:val="00E45E2F"/>
    <w:rsid w:val="00E46030"/>
    <w:rsid w:val="00E46094"/>
    <w:rsid w:val="00E460A2"/>
    <w:rsid w:val="00E46250"/>
    <w:rsid w:val="00E4632A"/>
    <w:rsid w:val="00E46635"/>
    <w:rsid w:val="00E467A4"/>
    <w:rsid w:val="00E469F1"/>
    <w:rsid w:val="00E46A61"/>
    <w:rsid w:val="00E46AC1"/>
    <w:rsid w:val="00E46D4D"/>
    <w:rsid w:val="00E46E8E"/>
    <w:rsid w:val="00E46FBC"/>
    <w:rsid w:val="00E47047"/>
    <w:rsid w:val="00E470BF"/>
    <w:rsid w:val="00E47362"/>
    <w:rsid w:val="00E47548"/>
    <w:rsid w:val="00E478AC"/>
    <w:rsid w:val="00E479F6"/>
    <w:rsid w:val="00E47BF0"/>
    <w:rsid w:val="00E47EEF"/>
    <w:rsid w:val="00E47FA5"/>
    <w:rsid w:val="00E5005F"/>
    <w:rsid w:val="00E506FB"/>
    <w:rsid w:val="00E50A9C"/>
    <w:rsid w:val="00E50B43"/>
    <w:rsid w:val="00E50D47"/>
    <w:rsid w:val="00E50D93"/>
    <w:rsid w:val="00E51071"/>
    <w:rsid w:val="00E510C7"/>
    <w:rsid w:val="00E5172E"/>
    <w:rsid w:val="00E51941"/>
    <w:rsid w:val="00E519D8"/>
    <w:rsid w:val="00E51E18"/>
    <w:rsid w:val="00E51F1F"/>
    <w:rsid w:val="00E522F1"/>
    <w:rsid w:val="00E52A69"/>
    <w:rsid w:val="00E52ABE"/>
    <w:rsid w:val="00E52C48"/>
    <w:rsid w:val="00E52C69"/>
    <w:rsid w:val="00E52CE6"/>
    <w:rsid w:val="00E52D3A"/>
    <w:rsid w:val="00E52FC2"/>
    <w:rsid w:val="00E53CD8"/>
    <w:rsid w:val="00E53DF6"/>
    <w:rsid w:val="00E53E61"/>
    <w:rsid w:val="00E53E9B"/>
    <w:rsid w:val="00E53FA2"/>
    <w:rsid w:val="00E54012"/>
    <w:rsid w:val="00E54295"/>
    <w:rsid w:val="00E54426"/>
    <w:rsid w:val="00E54506"/>
    <w:rsid w:val="00E549CB"/>
    <w:rsid w:val="00E54A1A"/>
    <w:rsid w:val="00E54A91"/>
    <w:rsid w:val="00E54CA0"/>
    <w:rsid w:val="00E54E96"/>
    <w:rsid w:val="00E551E1"/>
    <w:rsid w:val="00E55692"/>
    <w:rsid w:val="00E55BAA"/>
    <w:rsid w:val="00E55CA9"/>
    <w:rsid w:val="00E55DDA"/>
    <w:rsid w:val="00E565ED"/>
    <w:rsid w:val="00E56654"/>
    <w:rsid w:val="00E5694A"/>
    <w:rsid w:val="00E56B01"/>
    <w:rsid w:val="00E56B2D"/>
    <w:rsid w:val="00E56B50"/>
    <w:rsid w:val="00E56C91"/>
    <w:rsid w:val="00E56CD0"/>
    <w:rsid w:val="00E56E6C"/>
    <w:rsid w:val="00E57062"/>
    <w:rsid w:val="00E57191"/>
    <w:rsid w:val="00E577E0"/>
    <w:rsid w:val="00E57887"/>
    <w:rsid w:val="00E57A24"/>
    <w:rsid w:val="00E57B37"/>
    <w:rsid w:val="00E57B59"/>
    <w:rsid w:val="00E57C00"/>
    <w:rsid w:val="00E57D95"/>
    <w:rsid w:val="00E6044A"/>
    <w:rsid w:val="00E60838"/>
    <w:rsid w:val="00E60F7C"/>
    <w:rsid w:val="00E61272"/>
    <w:rsid w:val="00E6134C"/>
    <w:rsid w:val="00E613E5"/>
    <w:rsid w:val="00E613F0"/>
    <w:rsid w:val="00E61EE3"/>
    <w:rsid w:val="00E620C8"/>
    <w:rsid w:val="00E621CF"/>
    <w:rsid w:val="00E6247F"/>
    <w:rsid w:val="00E62772"/>
    <w:rsid w:val="00E62CD0"/>
    <w:rsid w:val="00E62F92"/>
    <w:rsid w:val="00E62F9D"/>
    <w:rsid w:val="00E62FB7"/>
    <w:rsid w:val="00E631AC"/>
    <w:rsid w:val="00E631CC"/>
    <w:rsid w:val="00E635D1"/>
    <w:rsid w:val="00E639EB"/>
    <w:rsid w:val="00E63A42"/>
    <w:rsid w:val="00E63F75"/>
    <w:rsid w:val="00E6423F"/>
    <w:rsid w:val="00E64436"/>
    <w:rsid w:val="00E64977"/>
    <w:rsid w:val="00E649BF"/>
    <w:rsid w:val="00E64C8B"/>
    <w:rsid w:val="00E655C2"/>
    <w:rsid w:val="00E65883"/>
    <w:rsid w:val="00E65B15"/>
    <w:rsid w:val="00E65D29"/>
    <w:rsid w:val="00E65EE9"/>
    <w:rsid w:val="00E6601F"/>
    <w:rsid w:val="00E6608C"/>
    <w:rsid w:val="00E66118"/>
    <w:rsid w:val="00E66162"/>
    <w:rsid w:val="00E66199"/>
    <w:rsid w:val="00E662A5"/>
    <w:rsid w:val="00E66320"/>
    <w:rsid w:val="00E664A9"/>
    <w:rsid w:val="00E6682E"/>
    <w:rsid w:val="00E66946"/>
    <w:rsid w:val="00E66BF7"/>
    <w:rsid w:val="00E66C15"/>
    <w:rsid w:val="00E66C59"/>
    <w:rsid w:val="00E66E01"/>
    <w:rsid w:val="00E66E60"/>
    <w:rsid w:val="00E66EB2"/>
    <w:rsid w:val="00E672B0"/>
    <w:rsid w:val="00E679ED"/>
    <w:rsid w:val="00E67EFF"/>
    <w:rsid w:val="00E70061"/>
    <w:rsid w:val="00E704A6"/>
    <w:rsid w:val="00E7081F"/>
    <w:rsid w:val="00E70BDE"/>
    <w:rsid w:val="00E70C37"/>
    <w:rsid w:val="00E7104E"/>
    <w:rsid w:val="00E7166C"/>
    <w:rsid w:val="00E717DF"/>
    <w:rsid w:val="00E718A9"/>
    <w:rsid w:val="00E7196E"/>
    <w:rsid w:val="00E71EC0"/>
    <w:rsid w:val="00E7205A"/>
    <w:rsid w:val="00E7215B"/>
    <w:rsid w:val="00E72C9F"/>
    <w:rsid w:val="00E72D5A"/>
    <w:rsid w:val="00E73007"/>
    <w:rsid w:val="00E730E0"/>
    <w:rsid w:val="00E73168"/>
    <w:rsid w:val="00E733B1"/>
    <w:rsid w:val="00E733BD"/>
    <w:rsid w:val="00E736AC"/>
    <w:rsid w:val="00E736C2"/>
    <w:rsid w:val="00E736F7"/>
    <w:rsid w:val="00E73A88"/>
    <w:rsid w:val="00E73C5D"/>
    <w:rsid w:val="00E73D83"/>
    <w:rsid w:val="00E73F65"/>
    <w:rsid w:val="00E74178"/>
    <w:rsid w:val="00E7420F"/>
    <w:rsid w:val="00E74222"/>
    <w:rsid w:val="00E745E1"/>
    <w:rsid w:val="00E745F6"/>
    <w:rsid w:val="00E74688"/>
    <w:rsid w:val="00E74A1C"/>
    <w:rsid w:val="00E74B31"/>
    <w:rsid w:val="00E74C8A"/>
    <w:rsid w:val="00E74D4E"/>
    <w:rsid w:val="00E74D72"/>
    <w:rsid w:val="00E74FA3"/>
    <w:rsid w:val="00E7502D"/>
    <w:rsid w:val="00E7511E"/>
    <w:rsid w:val="00E752A3"/>
    <w:rsid w:val="00E754BE"/>
    <w:rsid w:val="00E754D0"/>
    <w:rsid w:val="00E75864"/>
    <w:rsid w:val="00E759E2"/>
    <w:rsid w:val="00E75B7F"/>
    <w:rsid w:val="00E75DDE"/>
    <w:rsid w:val="00E76009"/>
    <w:rsid w:val="00E76033"/>
    <w:rsid w:val="00E7604C"/>
    <w:rsid w:val="00E76164"/>
    <w:rsid w:val="00E76580"/>
    <w:rsid w:val="00E766F1"/>
    <w:rsid w:val="00E76CA6"/>
    <w:rsid w:val="00E76F06"/>
    <w:rsid w:val="00E77110"/>
    <w:rsid w:val="00E7732E"/>
    <w:rsid w:val="00E773EE"/>
    <w:rsid w:val="00E7767D"/>
    <w:rsid w:val="00E777E0"/>
    <w:rsid w:val="00E77957"/>
    <w:rsid w:val="00E77CB8"/>
    <w:rsid w:val="00E77EFF"/>
    <w:rsid w:val="00E77F47"/>
    <w:rsid w:val="00E800AB"/>
    <w:rsid w:val="00E801A2"/>
    <w:rsid w:val="00E8034C"/>
    <w:rsid w:val="00E803AB"/>
    <w:rsid w:val="00E80410"/>
    <w:rsid w:val="00E8056F"/>
    <w:rsid w:val="00E8087A"/>
    <w:rsid w:val="00E80B1A"/>
    <w:rsid w:val="00E81087"/>
    <w:rsid w:val="00E8110F"/>
    <w:rsid w:val="00E811AE"/>
    <w:rsid w:val="00E8128D"/>
    <w:rsid w:val="00E8164A"/>
    <w:rsid w:val="00E8198A"/>
    <w:rsid w:val="00E81BB3"/>
    <w:rsid w:val="00E81D29"/>
    <w:rsid w:val="00E82173"/>
    <w:rsid w:val="00E82220"/>
    <w:rsid w:val="00E829F3"/>
    <w:rsid w:val="00E83099"/>
    <w:rsid w:val="00E830B0"/>
    <w:rsid w:val="00E83502"/>
    <w:rsid w:val="00E837D2"/>
    <w:rsid w:val="00E83B40"/>
    <w:rsid w:val="00E84220"/>
    <w:rsid w:val="00E84891"/>
    <w:rsid w:val="00E8492B"/>
    <w:rsid w:val="00E84B29"/>
    <w:rsid w:val="00E84C8A"/>
    <w:rsid w:val="00E84D64"/>
    <w:rsid w:val="00E852A5"/>
    <w:rsid w:val="00E85722"/>
    <w:rsid w:val="00E8578E"/>
    <w:rsid w:val="00E85C35"/>
    <w:rsid w:val="00E85E0E"/>
    <w:rsid w:val="00E85E5E"/>
    <w:rsid w:val="00E8631D"/>
    <w:rsid w:val="00E86330"/>
    <w:rsid w:val="00E86337"/>
    <w:rsid w:val="00E864DB"/>
    <w:rsid w:val="00E865D4"/>
    <w:rsid w:val="00E86812"/>
    <w:rsid w:val="00E869AD"/>
    <w:rsid w:val="00E86B8B"/>
    <w:rsid w:val="00E86D54"/>
    <w:rsid w:val="00E87327"/>
    <w:rsid w:val="00E879ED"/>
    <w:rsid w:val="00E87B85"/>
    <w:rsid w:val="00E87C4A"/>
    <w:rsid w:val="00E87E0F"/>
    <w:rsid w:val="00E87EC3"/>
    <w:rsid w:val="00E87F21"/>
    <w:rsid w:val="00E87F70"/>
    <w:rsid w:val="00E87FE4"/>
    <w:rsid w:val="00E901CC"/>
    <w:rsid w:val="00E90463"/>
    <w:rsid w:val="00E906B7"/>
    <w:rsid w:val="00E90865"/>
    <w:rsid w:val="00E908FD"/>
    <w:rsid w:val="00E90A52"/>
    <w:rsid w:val="00E90AF8"/>
    <w:rsid w:val="00E90EE9"/>
    <w:rsid w:val="00E912FC"/>
    <w:rsid w:val="00E9133A"/>
    <w:rsid w:val="00E91404"/>
    <w:rsid w:val="00E9157F"/>
    <w:rsid w:val="00E91811"/>
    <w:rsid w:val="00E918A1"/>
    <w:rsid w:val="00E91ADD"/>
    <w:rsid w:val="00E91DC1"/>
    <w:rsid w:val="00E91F95"/>
    <w:rsid w:val="00E92177"/>
    <w:rsid w:val="00E9245B"/>
    <w:rsid w:val="00E92778"/>
    <w:rsid w:val="00E92879"/>
    <w:rsid w:val="00E92896"/>
    <w:rsid w:val="00E928CF"/>
    <w:rsid w:val="00E92A0B"/>
    <w:rsid w:val="00E92B0E"/>
    <w:rsid w:val="00E92F6F"/>
    <w:rsid w:val="00E92FED"/>
    <w:rsid w:val="00E9302C"/>
    <w:rsid w:val="00E9304D"/>
    <w:rsid w:val="00E93158"/>
    <w:rsid w:val="00E936EA"/>
    <w:rsid w:val="00E938F1"/>
    <w:rsid w:val="00E93BE3"/>
    <w:rsid w:val="00E93DFB"/>
    <w:rsid w:val="00E93FEA"/>
    <w:rsid w:val="00E9423D"/>
    <w:rsid w:val="00E9444C"/>
    <w:rsid w:val="00E944EC"/>
    <w:rsid w:val="00E9476F"/>
    <w:rsid w:val="00E94817"/>
    <w:rsid w:val="00E9493E"/>
    <w:rsid w:val="00E94AE4"/>
    <w:rsid w:val="00E94EFD"/>
    <w:rsid w:val="00E94F62"/>
    <w:rsid w:val="00E95505"/>
    <w:rsid w:val="00E955C2"/>
    <w:rsid w:val="00E95664"/>
    <w:rsid w:val="00E957D5"/>
    <w:rsid w:val="00E95B95"/>
    <w:rsid w:val="00E95EB5"/>
    <w:rsid w:val="00E9624E"/>
    <w:rsid w:val="00E963DA"/>
    <w:rsid w:val="00E96469"/>
    <w:rsid w:val="00E96711"/>
    <w:rsid w:val="00E96747"/>
    <w:rsid w:val="00E96B76"/>
    <w:rsid w:val="00E9705D"/>
    <w:rsid w:val="00E97481"/>
    <w:rsid w:val="00E974D4"/>
    <w:rsid w:val="00E97527"/>
    <w:rsid w:val="00E97544"/>
    <w:rsid w:val="00E9787B"/>
    <w:rsid w:val="00E978E3"/>
    <w:rsid w:val="00E97948"/>
    <w:rsid w:val="00E97B6D"/>
    <w:rsid w:val="00E97FBF"/>
    <w:rsid w:val="00EA01B5"/>
    <w:rsid w:val="00EA0236"/>
    <w:rsid w:val="00EA0602"/>
    <w:rsid w:val="00EA06C6"/>
    <w:rsid w:val="00EA07D0"/>
    <w:rsid w:val="00EA09FC"/>
    <w:rsid w:val="00EA0B83"/>
    <w:rsid w:val="00EA0C97"/>
    <w:rsid w:val="00EA0D4C"/>
    <w:rsid w:val="00EA1003"/>
    <w:rsid w:val="00EA10D9"/>
    <w:rsid w:val="00EA11CC"/>
    <w:rsid w:val="00EA14B6"/>
    <w:rsid w:val="00EA15B6"/>
    <w:rsid w:val="00EA1BD3"/>
    <w:rsid w:val="00EA1CEB"/>
    <w:rsid w:val="00EA1E2D"/>
    <w:rsid w:val="00EA204B"/>
    <w:rsid w:val="00EA20C9"/>
    <w:rsid w:val="00EA23AF"/>
    <w:rsid w:val="00EA2504"/>
    <w:rsid w:val="00EA264B"/>
    <w:rsid w:val="00EA2741"/>
    <w:rsid w:val="00EA27D3"/>
    <w:rsid w:val="00EA2A10"/>
    <w:rsid w:val="00EA2AC9"/>
    <w:rsid w:val="00EA2DDB"/>
    <w:rsid w:val="00EA2E77"/>
    <w:rsid w:val="00EA2FFC"/>
    <w:rsid w:val="00EA3616"/>
    <w:rsid w:val="00EA4135"/>
    <w:rsid w:val="00EA41B6"/>
    <w:rsid w:val="00EA466C"/>
    <w:rsid w:val="00EA4864"/>
    <w:rsid w:val="00EA493D"/>
    <w:rsid w:val="00EA4973"/>
    <w:rsid w:val="00EA4A2C"/>
    <w:rsid w:val="00EA4BA3"/>
    <w:rsid w:val="00EA4C31"/>
    <w:rsid w:val="00EA4DBD"/>
    <w:rsid w:val="00EA4DE9"/>
    <w:rsid w:val="00EA4E19"/>
    <w:rsid w:val="00EA4F51"/>
    <w:rsid w:val="00EA556E"/>
    <w:rsid w:val="00EA587B"/>
    <w:rsid w:val="00EA58C7"/>
    <w:rsid w:val="00EA5DA9"/>
    <w:rsid w:val="00EA6094"/>
    <w:rsid w:val="00EA6342"/>
    <w:rsid w:val="00EA69CA"/>
    <w:rsid w:val="00EA6AEE"/>
    <w:rsid w:val="00EA6B09"/>
    <w:rsid w:val="00EA6C1F"/>
    <w:rsid w:val="00EA6E0E"/>
    <w:rsid w:val="00EA7443"/>
    <w:rsid w:val="00EA75BA"/>
    <w:rsid w:val="00EA7E82"/>
    <w:rsid w:val="00EB0136"/>
    <w:rsid w:val="00EB043C"/>
    <w:rsid w:val="00EB0834"/>
    <w:rsid w:val="00EB0A7E"/>
    <w:rsid w:val="00EB0B40"/>
    <w:rsid w:val="00EB0D7E"/>
    <w:rsid w:val="00EB0D88"/>
    <w:rsid w:val="00EB0E1E"/>
    <w:rsid w:val="00EB141F"/>
    <w:rsid w:val="00EB1C51"/>
    <w:rsid w:val="00EB1DF4"/>
    <w:rsid w:val="00EB1EA8"/>
    <w:rsid w:val="00EB1F5D"/>
    <w:rsid w:val="00EB1FF9"/>
    <w:rsid w:val="00EB2429"/>
    <w:rsid w:val="00EB2577"/>
    <w:rsid w:val="00EB2DCC"/>
    <w:rsid w:val="00EB2F9E"/>
    <w:rsid w:val="00EB2FE2"/>
    <w:rsid w:val="00EB31FC"/>
    <w:rsid w:val="00EB327D"/>
    <w:rsid w:val="00EB35D0"/>
    <w:rsid w:val="00EB3885"/>
    <w:rsid w:val="00EB3986"/>
    <w:rsid w:val="00EB3CB6"/>
    <w:rsid w:val="00EB3E9A"/>
    <w:rsid w:val="00EB4527"/>
    <w:rsid w:val="00EB45C3"/>
    <w:rsid w:val="00EB46A9"/>
    <w:rsid w:val="00EB48AE"/>
    <w:rsid w:val="00EB4A6F"/>
    <w:rsid w:val="00EB4C83"/>
    <w:rsid w:val="00EB5321"/>
    <w:rsid w:val="00EB53E3"/>
    <w:rsid w:val="00EB5758"/>
    <w:rsid w:val="00EB5C87"/>
    <w:rsid w:val="00EB5DFB"/>
    <w:rsid w:val="00EB5E5F"/>
    <w:rsid w:val="00EB62E1"/>
    <w:rsid w:val="00EB6484"/>
    <w:rsid w:val="00EB6573"/>
    <w:rsid w:val="00EB6774"/>
    <w:rsid w:val="00EB6854"/>
    <w:rsid w:val="00EB6CE1"/>
    <w:rsid w:val="00EB6E16"/>
    <w:rsid w:val="00EB6ECB"/>
    <w:rsid w:val="00EB7123"/>
    <w:rsid w:val="00EB72FD"/>
    <w:rsid w:val="00EB74EC"/>
    <w:rsid w:val="00EB772D"/>
    <w:rsid w:val="00EB7799"/>
    <w:rsid w:val="00EB7916"/>
    <w:rsid w:val="00EB7AC9"/>
    <w:rsid w:val="00EB7B13"/>
    <w:rsid w:val="00EB7C05"/>
    <w:rsid w:val="00EB7E28"/>
    <w:rsid w:val="00EB7E5C"/>
    <w:rsid w:val="00EC0322"/>
    <w:rsid w:val="00EC061E"/>
    <w:rsid w:val="00EC0879"/>
    <w:rsid w:val="00EC12B5"/>
    <w:rsid w:val="00EC1348"/>
    <w:rsid w:val="00EC13FD"/>
    <w:rsid w:val="00EC1776"/>
    <w:rsid w:val="00EC1DDD"/>
    <w:rsid w:val="00EC1DFF"/>
    <w:rsid w:val="00EC1F2E"/>
    <w:rsid w:val="00EC1F6A"/>
    <w:rsid w:val="00EC1F73"/>
    <w:rsid w:val="00EC2217"/>
    <w:rsid w:val="00EC2330"/>
    <w:rsid w:val="00EC253B"/>
    <w:rsid w:val="00EC284A"/>
    <w:rsid w:val="00EC2B0B"/>
    <w:rsid w:val="00EC2CDC"/>
    <w:rsid w:val="00EC307D"/>
    <w:rsid w:val="00EC3295"/>
    <w:rsid w:val="00EC353B"/>
    <w:rsid w:val="00EC38A9"/>
    <w:rsid w:val="00EC4190"/>
    <w:rsid w:val="00EC4389"/>
    <w:rsid w:val="00EC4493"/>
    <w:rsid w:val="00EC44AB"/>
    <w:rsid w:val="00EC50BB"/>
    <w:rsid w:val="00EC527D"/>
    <w:rsid w:val="00EC528A"/>
    <w:rsid w:val="00EC559B"/>
    <w:rsid w:val="00EC56FC"/>
    <w:rsid w:val="00EC5A19"/>
    <w:rsid w:val="00EC5DA9"/>
    <w:rsid w:val="00EC5DD2"/>
    <w:rsid w:val="00EC6233"/>
    <w:rsid w:val="00EC640D"/>
    <w:rsid w:val="00EC641E"/>
    <w:rsid w:val="00EC64D1"/>
    <w:rsid w:val="00EC662B"/>
    <w:rsid w:val="00EC68DD"/>
    <w:rsid w:val="00EC693D"/>
    <w:rsid w:val="00EC69F7"/>
    <w:rsid w:val="00EC6D61"/>
    <w:rsid w:val="00EC6DAF"/>
    <w:rsid w:val="00EC72DA"/>
    <w:rsid w:val="00EC7335"/>
    <w:rsid w:val="00EC73F3"/>
    <w:rsid w:val="00EC74C1"/>
    <w:rsid w:val="00EC755B"/>
    <w:rsid w:val="00EC7642"/>
    <w:rsid w:val="00EC7811"/>
    <w:rsid w:val="00EC7B63"/>
    <w:rsid w:val="00EC7DAD"/>
    <w:rsid w:val="00EC7EE6"/>
    <w:rsid w:val="00EC7FFE"/>
    <w:rsid w:val="00ED0009"/>
    <w:rsid w:val="00ED021A"/>
    <w:rsid w:val="00ED08DB"/>
    <w:rsid w:val="00ED090A"/>
    <w:rsid w:val="00ED09C3"/>
    <w:rsid w:val="00ED0D1A"/>
    <w:rsid w:val="00ED0DD9"/>
    <w:rsid w:val="00ED0E0C"/>
    <w:rsid w:val="00ED0ED2"/>
    <w:rsid w:val="00ED0FA0"/>
    <w:rsid w:val="00ED10FA"/>
    <w:rsid w:val="00ED1211"/>
    <w:rsid w:val="00ED135B"/>
    <w:rsid w:val="00ED1553"/>
    <w:rsid w:val="00ED170B"/>
    <w:rsid w:val="00ED1734"/>
    <w:rsid w:val="00ED1A27"/>
    <w:rsid w:val="00ED22A3"/>
    <w:rsid w:val="00ED22CB"/>
    <w:rsid w:val="00ED2A19"/>
    <w:rsid w:val="00ED2CA0"/>
    <w:rsid w:val="00ED321C"/>
    <w:rsid w:val="00ED337A"/>
    <w:rsid w:val="00ED3431"/>
    <w:rsid w:val="00ED34F3"/>
    <w:rsid w:val="00ED35AC"/>
    <w:rsid w:val="00ED37C0"/>
    <w:rsid w:val="00ED3A21"/>
    <w:rsid w:val="00ED3B94"/>
    <w:rsid w:val="00ED3D6A"/>
    <w:rsid w:val="00ED3E2D"/>
    <w:rsid w:val="00ED4014"/>
    <w:rsid w:val="00ED412B"/>
    <w:rsid w:val="00ED4333"/>
    <w:rsid w:val="00ED443F"/>
    <w:rsid w:val="00ED44EA"/>
    <w:rsid w:val="00ED483B"/>
    <w:rsid w:val="00ED4957"/>
    <w:rsid w:val="00ED4A79"/>
    <w:rsid w:val="00ED4BA9"/>
    <w:rsid w:val="00ED4C40"/>
    <w:rsid w:val="00ED51FD"/>
    <w:rsid w:val="00ED53D5"/>
    <w:rsid w:val="00ED5657"/>
    <w:rsid w:val="00ED58E9"/>
    <w:rsid w:val="00ED5DEB"/>
    <w:rsid w:val="00ED5EDC"/>
    <w:rsid w:val="00ED5FCC"/>
    <w:rsid w:val="00ED65D1"/>
    <w:rsid w:val="00ED66E2"/>
    <w:rsid w:val="00ED67A0"/>
    <w:rsid w:val="00ED6824"/>
    <w:rsid w:val="00ED69CA"/>
    <w:rsid w:val="00ED6C79"/>
    <w:rsid w:val="00ED6D3D"/>
    <w:rsid w:val="00ED723D"/>
    <w:rsid w:val="00ED734E"/>
    <w:rsid w:val="00ED742F"/>
    <w:rsid w:val="00ED77DE"/>
    <w:rsid w:val="00ED7885"/>
    <w:rsid w:val="00ED78C8"/>
    <w:rsid w:val="00ED7DD9"/>
    <w:rsid w:val="00EE0305"/>
    <w:rsid w:val="00EE0421"/>
    <w:rsid w:val="00EE06E1"/>
    <w:rsid w:val="00EE0AFD"/>
    <w:rsid w:val="00EE0D5D"/>
    <w:rsid w:val="00EE0E32"/>
    <w:rsid w:val="00EE0E63"/>
    <w:rsid w:val="00EE0EC8"/>
    <w:rsid w:val="00EE1152"/>
    <w:rsid w:val="00EE11D4"/>
    <w:rsid w:val="00EE134F"/>
    <w:rsid w:val="00EE13C5"/>
    <w:rsid w:val="00EE14BA"/>
    <w:rsid w:val="00EE1520"/>
    <w:rsid w:val="00EE1920"/>
    <w:rsid w:val="00EE1A2E"/>
    <w:rsid w:val="00EE1B20"/>
    <w:rsid w:val="00EE1D95"/>
    <w:rsid w:val="00EE2112"/>
    <w:rsid w:val="00EE218A"/>
    <w:rsid w:val="00EE2293"/>
    <w:rsid w:val="00EE231A"/>
    <w:rsid w:val="00EE27E2"/>
    <w:rsid w:val="00EE286E"/>
    <w:rsid w:val="00EE2B47"/>
    <w:rsid w:val="00EE3137"/>
    <w:rsid w:val="00EE3163"/>
    <w:rsid w:val="00EE3322"/>
    <w:rsid w:val="00EE37B9"/>
    <w:rsid w:val="00EE3C1A"/>
    <w:rsid w:val="00EE3D08"/>
    <w:rsid w:val="00EE4276"/>
    <w:rsid w:val="00EE45D8"/>
    <w:rsid w:val="00EE484A"/>
    <w:rsid w:val="00EE4917"/>
    <w:rsid w:val="00EE4A86"/>
    <w:rsid w:val="00EE4FCD"/>
    <w:rsid w:val="00EE51CB"/>
    <w:rsid w:val="00EE5323"/>
    <w:rsid w:val="00EE5571"/>
    <w:rsid w:val="00EE5651"/>
    <w:rsid w:val="00EE592B"/>
    <w:rsid w:val="00EE5A63"/>
    <w:rsid w:val="00EE5CB2"/>
    <w:rsid w:val="00EE5D4F"/>
    <w:rsid w:val="00EE6018"/>
    <w:rsid w:val="00EE63BD"/>
    <w:rsid w:val="00EE642B"/>
    <w:rsid w:val="00EE676D"/>
    <w:rsid w:val="00EE68B5"/>
    <w:rsid w:val="00EE6FEB"/>
    <w:rsid w:val="00EE7538"/>
    <w:rsid w:val="00EE76CE"/>
    <w:rsid w:val="00EE799F"/>
    <w:rsid w:val="00EE7C07"/>
    <w:rsid w:val="00EE7F59"/>
    <w:rsid w:val="00EF0378"/>
    <w:rsid w:val="00EF0552"/>
    <w:rsid w:val="00EF0718"/>
    <w:rsid w:val="00EF0729"/>
    <w:rsid w:val="00EF07A3"/>
    <w:rsid w:val="00EF08EF"/>
    <w:rsid w:val="00EF0940"/>
    <w:rsid w:val="00EF0942"/>
    <w:rsid w:val="00EF097B"/>
    <w:rsid w:val="00EF0A6C"/>
    <w:rsid w:val="00EF0B93"/>
    <w:rsid w:val="00EF0C30"/>
    <w:rsid w:val="00EF1322"/>
    <w:rsid w:val="00EF1400"/>
    <w:rsid w:val="00EF15FE"/>
    <w:rsid w:val="00EF1ACF"/>
    <w:rsid w:val="00EF1AEF"/>
    <w:rsid w:val="00EF1E2F"/>
    <w:rsid w:val="00EF1FAC"/>
    <w:rsid w:val="00EF20F6"/>
    <w:rsid w:val="00EF22DB"/>
    <w:rsid w:val="00EF2547"/>
    <w:rsid w:val="00EF2591"/>
    <w:rsid w:val="00EF2630"/>
    <w:rsid w:val="00EF2768"/>
    <w:rsid w:val="00EF282A"/>
    <w:rsid w:val="00EF2EB6"/>
    <w:rsid w:val="00EF31D5"/>
    <w:rsid w:val="00EF31D6"/>
    <w:rsid w:val="00EF3211"/>
    <w:rsid w:val="00EF324E"/>
    <w:rsid w:val="00EF32BB"/>
    <w:rsid w:val="00EF3398"/>
    <w:rsid w:val="00EF3513"/>
    <w:rsid w:val="00EF362B"/>
    <w:rsid w:val="00EF3754"/>
    <w:rsid w:val="00EF3890"/>
    <w:rsid w:val="00EF399E"/>
    <w:rsid w:val="00EF3DF0"/>
    <w:rsid w:val="00EF3E24"/>
    <w:rsid w:val="00EF3E39"/>
    <w:rsid w:val="00EF3EEA"/>
    <w:rsid w:val="00EF3F34"/>
    <w:rsid w:val="00EF465F"/>
    <w:rsid w:val="00EF4950"/>
    <w:rsid w:val="00EF4C33"/>
    <w:rsid w:val="00EF57E4"/>
    <w:rsid w:val="00EF58CA"/>
    <w:rsid w:val="00EF5999"/>
    <w:rsid w:val="00EF5A88"/>
    <w:rsid w:val="00EF5ABC"/>
    <w:rsid w:val="00EF5B47"/>
    <w:rsid w:val="00EF5C18"/>
    <w:rsid w:val="00EF5D6A"/>
    <w:rsid w:val="00EF6531"/>
    <w:rsid w:val="00EF65D1"/>
    <w:rsid w:val="00EF689F"/>
    <w:rsid w:val="00EF6BC0"/>
    <w:rsid w:val="00EF6D03"/>
    <w:rsid w:val="00EF6F39"/>
    <w:rsid w:val="00EF73F9"/>
    <w:rsid w:val="00EF744E"/>
    <w:rsid w:val="00EF7740"/>
    <w:rsid w:val="00EF786D"/>
    <w:rsid w:val="00EF7964"/>
    <w:rsid w:val="00EF7A02"/>
    <w:rsid w:val="00EF7C27"/>
    <w:rsid w:val="00EF7E3A"/>
    <w:rsid w:val="00F000D9"/>
    <w:rsid w:val="00F001F4"/>
    <w:rsid w:val="00F00364"/>
    <w:rsid w:val="00F0041C"/>
    <w:rsid w:val="00F004EB"/>
    <w:rsid w:val="00F005A0"/>
    <w:rsid w:val="00F00603"/>
    <w:rsid w:val="00F006EB"/>
    <w:rsid w:val="00F00AB5"/>
    <w:rsid w:val="00F00B7F"/>
    <w:rsid w:val="00F00B95"/>
    <w:rsid w:val="00F00E61"/>
    <w:rsid w:val="00F01002"/>
    <w:rsid w:val="00F012E1"/>
    <w:rsid w:val="00F015B6"/>
    <w:rsid w:val="00F015BD"/>
    <w:rsid w:val="00F0195A"/>
    <w:rsid w:val="00F01C04"/>
    <w:rsid w:val="00F0221A"/>
    <w:rsid w:val="00F022A9"/>
    <w:rsid w:val="00F02328"/>
    <w:rsid w:val="00F0264A"/>
    <w:rsid w:val="00F02791"/>
    <w:rsid w:val="00F027A7"/>
    <w:rsid w:val="00F02A95"/>
    <w:rsid w:val="00F02B7B"/>
    <w:rsid w:val="00F02C82"/>
    <w:rsid w:val="00F02D38"/>
    <w:rsid w:val="00F03044"/>
    <w:rsid w:val="00F03543"/>
    <w:rsid w:val="00F0382D"/>
    <w:rsid w:val="00F038D0"/>
    <w:rsid w:val="00F039E0"/>
    <w:rsid w:val="00F03BA7"/>
    <w:rsid w:val="00F03D5A"/>
    <w:rsid w:val="00F03D6D"/>
    <w:rsid w:val="00F03F27"/>
    <w:rsid w:val="00F04B7F"/>
    <w:rsid w:val="00F04CA4"/>
    <w:rsid w:val="00F04D15"/>
    <w:rsid w:val="00F04D20"/>
    <w:rsid w:val="00F05380"/>
    <w:rsid w:val="00F0543C"/>
    <w:rsid w:val="00F05498"/>
    <w:rsid w:val="00F05503"/>
    <w:rsid w:val="00F05611"/>
    <w:rsid w:val="00F0578F"/>
    <w:rsid w:val="00F058BE"/>
    <w:rsid w:val="00F05BB3"/>
    <w:rsid w:val="00F05CC1"/>
    <w:rsid w:val="00F05F46"/>
    <w:rsid w:val="00F05F94"/>
    <w:rsid w:val="00F06191"/>
    <w:rsid w:val="00F06244"/>
    <w:rsid w:val="00F06291"/>
    <w:rsid w:val="00F064A0"/>
    <w:rsid w:val="00F066D7"/>
    <w:rsid w:val="00F06706"/>
    <w:rsid w:val="00F0691B"/>
    <w:rsid w:val="00F06BA6"/>
    <w:rsid w:val="00F06BBA"/>
    <w:rsid w:val="00F06D48"/>
    <w:rsid w:val="00F06EB4"/>
    <w:rsid w:val="00F0716F"/>
    <w:rsid w:val="00F071E3"/>
    <w:rsid w:val="00F072EF"/>
    <w:rsid w:val="00F07529"/>
    <w:rsid w:val="00F0762E"/>
    <w:rsid w:val="00F07974"/>
    <w:rsid w:val="00F07A31"/>
    <w:rsid w:val="00F07B97"/>
    <w:rsid w:val="00F07E05"/>
    <w:rsid w:val="00F07F22"/>
    <w:rsid w:val="00F10188"/>
    <w:rsid w:val="00F101D8"/>
    <w:rsid w:val="00F101EF"/>
    <w:rsid w:val="00F10382"/>
    <w:rsid w:val="00F10479"/>
    <w:rsid w:val="00F10626"/>
    <w:rsid w:val="00F1068B"/>
    <w:rsid w:val="00F10780"/>
    <w:rsid w:val="00F109FA"/>
    <w:rsid w:val="00F10B6B"/>
    <w:rsid w:val="00F10BD2"/>
    <w:rsid w:val="00F10F22"/>
    <w:rsid w:val="00F113DE"/>
    <w:rsid w:val="00F11583"/>
    <w:rsid w:val="00F115FB"/>
    <w:rsid w:val="00F1171F"/>
    <w:rsid w:val="00F118DF"/>
    <w:rsid w:val="00F12175"/>
    <w:rsid w:val="00F12267"/>
    <w:rsid w:val="00F129FA"/>
    <w:rsid w:val="00F12A45"/>
    <w:rsid w:val="00F12E61"/>
    <w:rsid w:val="00F13399"/>
    <w:rsid w:val="00F13467"/>
    <w:rsid w:val="00F144F4"/>
    <w:rsid w:val="00F1452E"/>
    <w:rsid w:val="00F146F6"/>
    <w:rsid w:val="00F14823"/>
    <w:rsid w:val="00F1491E"/>
    <w:rsid w:val="00F14AB2"/>
    <w:rsid w:val="00F1526C"/>
    <w:rsid w:val="00F15413"/>
    <w:rsid w:val="00F15415"/>
    <w:rsid w:val="00F1552A"/>
    <w:rsid w:val="00F156C3"/>
    <w:rsid w:val="00F15927"/>
    <w:rsid w:val="00F15C50"/>
    <w:rsid w:val="00F15C96"/>
    <w:rsid w:val="00F15DF4"/>
    <w:rsid w:val="00F15F3F"/>
    <w:rsid w:val="00F15F52"/>
    <w:rsid w:val="00F15F59"/>
    <w:rsid w:val="00F15FD2"/>
    <w:rsid w:val="00F16837"/>
    <w:rsid w:val="00F16885"/>
    <w:rsid w:val="00F16CF9"/>
    <w:rsid w:val="00F16D12"/>
    <w:rsid w:val="00F170A5"/>
    <w:rsid w:val="00F17496"/>
    <w:rsid w:val="00F1768F"/>
    <w:rsid w:val="00F17691"/>
    <w:rsid w:val="00F17853"/>
    <w:rsid w:val="00F1787D"/>
    <w:rsid w:val="00F17954"/>
    <w:rsid w:val="00F17982"/>
    <w:rsid w:val="00F179D1"/>
    <w:rsid w:val="00F17A15"/>
    <w:rsid w:val="00F17E25"/>
    <w:rsid w:val="00F2001B"/>
    <w:rsid w:val="00F2011B"/>
    <w:rsid w:val="00F20204"/>
    <w:rsid w:val="00F20241"/>
    <w:rsid w:val="00F203FA"/>
    <w:rsid w:val="00F208CF"/>
    <w:rsid w:val="00F20B22"/>
    <w:rsid w:val="00F20CDA"/>
    <w:rsid w:val="00F20F94"/>
    <w:rsid w:val="00F210CD"/>
    <w:rsid w:val="00F21196"/>
    <w:rsid w:val="00F21490"/>
    <w:rsid w:val="00F2157B"/>
    <w:rsid w:val="00F2173D"/>
    <w:rsid w:val="00F2199C"/>
    <w:rsid w:val="00F21ADB"/>
    <w:rsid w:val="00F21DAA"/>
    <w:rsid w:val="00F224BF"/>
    <w:rsid w:val="00F22637"/>
    <w:rsid w:val="00F22BDD"/>
    <w:rsid w:val="00F22C10"/>
    <w:rsid w:val="00F22EC6"/>
    <w:rsid w:val="00F23016"/>
    <w:rsid w:val="00F230BB"/>
    <w:rsid w:val="00F234A7"/>
    <w:rsid w:val="00F235F2"/>
    <w:rsid w:val="00F2364D"/>
    <w:rsid w:val="00F2375D"/>
    <w:rsid w:val="00F23BDC"/>
    <w:rsid w:val="00F23C52"/>
    <w:rsid w:val="00F23CDF"/>
    <w:rsid w:val="00F23DB9"/>
    <w:rsid w:val="00F240E6"/>
    <w:rsid w:val="00F24380"/>
    <w:rsid w:val="00F243FB"/>
    <w:rsid w:val="00F246B8"/>
    <w:rsid w:val="00F24930"/>
    <w:rsid w:val="00F24C36"/>
    <w:rsid w:val="00F24EB7"/>
    <w:rsid w:val="00F24EF5"/>
    <w:rsid w:val="00F252FC"/>
    <w:rsid w:val="00F257A5"/>
    <w:rsid w:val="00F25A48"/>
    <w:rsid w:val="00F25D12"/>
    <w:rsid w:val="00F26E32"/>
    <w:rsid w:val="00F26EC7"/>
    <w:rsid w:val="00F26F1E"/>
    <w:rsid w:val="00F2741F"/>
    <w:rsid w:val="00F27520"/>
    <w:rsid w:val="00F276CB"/>
    <w:rsid w:val="00F27868"/>
    <w:rsid w:val="00F278FA"/>
    <w:rsid w:val="00F27F27"/>
    <w:rsid w:val="00F27FA0"/>
    <w:rsid w:val="00F30301"/>
    <w:rsid w:val="00F30497"/>
    <w:rsid w:val="00F307A7"/>
    <w:rsid w:val="00F3090F"/>
    <w:rsid w:val="00F30BFF"/>
    <w:rsid w:val="00F30D81"/>
    <w:rsid w:val="00F3114D"/>
    <w:rsid w:val="00F312F5"/>
    <w:rsid w:val="00F313DE"/>
    <w:rsid w:val="00F3148A"/>
    <w:rsid w:val="00F31B83"/>
    <w:rsid w:val="00F31DC9"/>
    <w:rsid w:val="00F31E69"/>
    <w:rsid w:val="00F32279"/>
    <w:rsid w:val="00F3238A"/>
    <w:rsid w:val="00F325A7"/>
    <w:rsid w:val="00F32615"/>
    <w:rsid w:val="00F32644"/>
    <w:rsid w:val="00F32E91"/>
    <w:rsid w:val="00F32EAE"/>
    <w:rsid w:val="00F3312C"/>
    <w:rsid w:val="00F33210"/>
    <w:rsid w:val="00F33395"/>
    <w:rsid w:val="00F333DD"/>
    <w:rsid w:val="00F3348A"/>
    <w:rsid w:val="00F334A9"/>
    <w:rsid w:val="00F33666"/>
    <w:rsid w:val="00F336B1"/>
    <w:rsid w:val="00F337FF"/>
    <w:rsid w:val="00F33A7B"/>
    <w:rsid w:val="00F33AD5"/>
    <w:rsid w:val="00F33CCD"/>
    <w:rsid w:val="00F33E8A"/>
    <w:rsid w:val="00F340E7"/>
    <w:rsid w:val="00F3492B"/>
    <w:rsid w:val="00F3518A"/>
    <w:rsid w:val="00F351DF"/>
    <w:rsid w:val="00F35239"/>
    <w:rsid w:val="00F35357"/>
    <w:rsid w:val="00F3549C"/>
    <w:rsid w:val="00F355CC"/>
    <w:rsid w:val="00F35EBD"/>
    <w:rsid w:val="00F36429"/>
    <w:rsid w:val="00F3654D"/>
    <w:rsid w:val="00F36729"/>
    <w:rsid w:val="00F368FD"/>
    <w:rsid w:val="00F36971"/>
    <w:rsid w:val="00F36B24"/>
    <w:rsid w:val="00F36FC7"/>
    <w:rsid w:val="00F37148"/>
    <w:rsid w:val="00F372A8"/>
    <w:rsid w:val="00F3764D"/>
    <w:rsid w:val="00F378F4"/>
    <w:rsid w:val="00F40036"/>
    <w:rsid w:val="00F400A6"/>
    <w:rsid w:val="00F400DD"/>
    <w:rsid w:val="00F403E4"/>
    <w:rsid w:val="00F40620"/>
    <w:rsid w:val="00F408A1"/>
    <w:rsid w:val="00F408E9"/>
    <w:rsid w:val="00F4094F"/>
    <w:rsid w:val="00F40CAD"/>
    <w:rsid w:val="00F410BB"/>
    <w:rsid w:val="00F411C4"/>
    <w:rsid w:val="00F412BC"/>
    <w:rsid w:val="00F41653"/>
    <w:rsid w:val="00F4169D"/>
    <w:rsid w:val="00F41A4B"/>
    <w:rsid w:val="00F41C83"/>
    <w:rsid w:val="00F41D74"/>
    <w:rsid w:val="00F41E72"/>
    <w:rsid w:val="00F41E80"/>
    <w:rsid w:val="00F42544"/>
    <w:rsid w:val="00F425C7"/>
    <w:rsid w:val="00F426EC"/>
    <w:rsid w:val="00F42851"/>
    <w:rsid w:val="00F42AB9"/>
    <w:rsid w:val="00F42CAE"/>
    <w:rsid w:val="00F42E90"/>
    <w:rsid w:val="00F42F47"/>
    <w:rsid w:val="00F432A1"/>
    <w:rsid w:val="00F43469"/>
    <w:rsid w:val="00F4367C"/>
    <w:rsid w:val="00F43A85"/>
    <w:rsid w:val="00F43CE0"/>
    <w:rsid w:val="00F43D47"/>
    <w:rsid w:val="00F43EC2"/>
    <w:rsid w:val="00F44014"/>
    <w:rsid w:val="00F44027"/>
    <w:rsid w:val="00F4402E"/>
    <w:rsid w:val="00F4406A"/>
    <w:rsid w:val="00F440CB"/>
    <w:rsid w:val="00F44555"/>
    <w:rsid w:val="00F445EA"/>
    <w:rsid w:val="00F44CE0"/>
    <w:rsid w:val="00F44D8E"/>
    <w:rsid w:val="00F44DE3"/>
    <w:rsid w:val="00F4500C"/>
    <w:rsid w:val="00F4505B"/>
    <w:rsid w:val="00F4514F"/>
    <w:rsid w:val="00F453F4"/>
    <w:rsid w:val="00F45505"/>
    <w:rsid w:val="00F458A6"/>
    <w:rsid w:val="00F45F36"/>
    <w:rsid w:val="00F45FD3"/>
    <w:rsid w:val="00F460F0"/>
    <w:rsid w:val="00F46437"/>
    <w:rsid w:val="00F46A9F"/>
    <w:rsid w:val="00F46B80"/>
    <w:rsid w:val="00F46F66"/>
    <w:rsid w:val="00F47338"/>
    <w:rsid w:val="00F47519"/>
    <w:rsid w:val="00F47818"/>
    <w:rsid w:val="00F47949"/>
    <w:rsid w:val="00F47DEA"/>
    <w:rsid w:val="00F47EB0"/>
    <w:rsid w:val="00F47ECA"/>
    <w:rsid w:val="00F50128"/>
    <w:rsid w:val="00F503B9"/>
    <w:rsid w:val="00F50458"/>
    <w:rsid w:val="00F504BC"/>
    <w:rsid w:val="00F508CA"/>
    <w:rsid w:val="00F50CA2"/>
    <w:rsid w:val="00F50D10"/>
    <w:rsid w:val="00F50D17"/>
    <w:rsid w:val="00F50D5B"/>
    <w:rsid w:val="00F50E11"/>
    <w:rsid w:val="00F50F39"/>
    <w:rsid w:val="00F50F3C"/>
    <w:rsid w:val="00F50F6C"/>
    <w:rsid w:val="00F51361"/>
    <w:rsid w:val="00F51B1D"/>
    <w:rsid w:val="00F51C9A"/>
    <w:rsid w:val="00F51FED"/>
    <w:rsid w:val="00F521E7"/>
    <w:rsid w:val="00F5246A"/>
    <w:rsid w:val="00F52B8D"/>
    <w:rsid w:val="00F52C17"/>
    <w:rsid w:val="00F52E89"/>
    <w:rsid w:val="00F52EB9"/>
    <w:rsid w:val="00F52ED6"/>
    <w:rsid w:val="00F52F6E"/>
    <w:rsid w:val="00F5332B"/>
    <w:rsid w:val="00F533F5"/>
    <w:rsid w:val="00F5368E"/>
    <w:rsid w:val="00F536D8"/>
    <w:rsid w:val="00F5387B"/>
    <w:rsid w:val="00F53BB3"/>
    <w:rsid w:val="00F53CB5"/>
    <w:rsid w:val="00F53FFD"/>
    <w:rsid w:val="00F5415A"/>
    <w:rsid w:val="00F5444C"/>
    <w:rsid w:val="00F5447A"/>
    <w:rsid w:val="00F54B42"/>
    <w:rsid w:val="00F54D2D"/>
    <w:rsid w:val="00F54E4D"/>
    <w:rsid w:val="00F550ED"/>
    <w:rsid w:val="00F55367"/>
    <w:rsid w:val="00F557B7"/>
    <w:rsid w:val="00F5595E"/>
    <w:rsid w:val="00F55973"/>
    <w:rsid w:val="00F559A0"/>
    <w:rsid w:val="00F55D03"/>
    <w:rsid w:val="00F55E2C"/>
    <w:rsid w:val="00F562AB"/>
    <w:rsid w:val="00F5640C"/>
    <w:rsid w:val="00F56549"/>
    <w:rsid w:val="00F5656C"/>
    <w:rsid w:val="00F56B34"/>
    <w:rsid w:val="00F56C6E"/>
    <w:rsid w:val="00F5711B"/>
    <w:rsid w:val="00F57682"/>
    <w:rsid w:val="00F57741"/>
    <w:rsid w:val="00F57A6E"/>
    <w:rsid w:val="00F57E1F"/>
    <w:rsid w:val="00F57E49"/>
    <w:rsid w:val="00F60035"/>
    <w:rsid w:val="00F600AA"/>
    <w:rsid w:val="00F60359"/>
    <w:rsid w:val="00F605C0"/>
    <w:rsid w:val="00F605E1"/>
    <w:rsid w:val="00F60650"/>
    <w:rsid w:val="00F60A25"/>
    <w:rsid w:val="00F60B04"/>
    <w:rsid w:val="00F610CA"/>
    <w:rsid w:val="00F61173"/>
    <w:rsid w:val="00F61405"/>
    <w:rsid w:val="00F61681"/>
    <w:rsid w:val="00F616B1"/>
    <w:rsid w:val="00F617DB"/>
    <w:rsid w:val="00F6192B"/>
    <w:rsid w:val="00F62195"/>
    <w:rsid w:val="00F6235C"/>
    <w:rsid w:val="00F623CE"/>
    <w:rsid w:val="00F6256D"/>
    <w:rsid w:val="00F626A9"/>
    <w:rsid w:val="00F62AF3"/>
    <w:rsid w:val="00F63234"/>
    <w:rsid w:val="00F632A1"/>
    <w:rsid w:val="00F632FE"/>
    <w:rsid w:val="00F633FF"/>
    <w:rsid w:val="00F63741"/>
    <w:rsid w:val="00F63773"/>
    <w:rsid w:val="00F63B85"/>
    <w:rsid w:val="00F63CD0"/>
    <w:rsid w:val="00F63CEE"/>
    <w:rsid w:val="00F63E2B"/>
    <w:rsid w:val="00F63EE3"/>
    <w:rsid w:val="00F64265"/>
    <w:rsid w:val="00F64636"/>
    <w:rsid w:val="00F646CA"/>
    <w:rsid w:val="00F646F0"/>
    <w:rsid w:val="00F6482F"/>
    <w:rsid w:val="00F6488E"/>
    <w:rsid w:val="00F64BEB"/>
    <w:rsid w:val="00F651A3"/>
    <w:rsid w:val="00F652CA"/>
    <w:rsid w:val="00F658A2"/>
    <w:rsid w:val="00F65909"/>
    <w:rsid w:val="00F65A35"/>
    <w:rsid w:val="00F65D1A"/>
    <w:rsid w:val="00F65FE5"/>
    <w:rsid w:val="00F66076"/>
    <w:rsid w:val="00F660B2"/>
    <w:rsid w:val="00F663B3"/>
    <w:rsid w:val="00F6640C"/>
    <w:rsid w:val="00F6668D"/>
    <w:rsid w:val="00F666B2"/>
    <w:rsid w:val="00F66871"/>
    <w:rsid w:val="00F669A3"/>
    <w:rsid w:val="00F66ADF"/>
    <w:rsid w:val="00F66D7B"/>
    <w:rsid w:val="00F66DBB"/>
    <w:rsid w:val="00F6707B"/>
    <w:rsid w:val="00F6730D"/>
    <w:rsid w:val="00F67468"/>
    <w:rsid w:val="00F674FD"/>
    <w:rsid w:val="00F67528"/>
    <w:rsid w:val="00F676E0"/>
    <w:rsid w:val="00F67AD5"/>
    <w:rsid w:val="00F67BF0"/>
    <w:rsid w:val="00F706F8"/>
    <w:rsid w:val="00F70A3D"/>
    <w:rsid w:val="00F70B43"/>
    <w:rsid w:val="00F70B51"/>
    <w:rsid w:val="00F70F03"/>
    <w:rsid w:val="00F71015"/>
    <w:rsid w:val="00F71061"/>
    <w:rsid w:val="00F71110"/>
    <w:rsid w:val="00F711E9"/>
    <w:rsid w:val="00F712FD"/>
    <w:rsid w:val="00F71367"/>
    <w:rsid w:val="00F71575"/>
    <w:rsid w:val="00F717A5"/>
    <w:rsid w:val="00F717C6"/>
    <w:rsid w:val="00F71815"/>
    <w:rsid w:val="00F71962"/>
    <w:rsid w:val="00F71B0E"/>
    <w:rsid w:val="00F71B8B"/>
    <w:rsid w:val="00F721A9"/>
    <w:rsid w:val="00F72200"/>
    <w:rsid w:val="00F72E6D"/>
    <w:rsid w:val="00F72ED7"/>
    <w:rsid w:val="00F7314F"/>
    <w:rsid w:val="00F7322F"/>
    <w:rsid w:val="00F732B0"/>
    <w:rsid w:val="00F735D5"/>
    <w:rsid w:val="00F73927"/>
    <w:rsid w:val="00F73C18"/>
    <w:rsid w:val="00F73F90"/>
    <w:rsid w:val="00F73FD5"/>
    <w:rsid w:val="00F746AC"/>
    <w:rsid w:val="00F74D69"/>
    <w:rsid w:val="00F74F98"/>
    <w:rsid w:val="00F74FB2"/>
    <w:rsid w:val="00F754C9"/>
    <w:rsid w:val="00F757C2"/>
    <w:rsid w:val="00F75934"/>
    <w:rsid w:val="00F75996"/>
    <w:rsid w:val="00F75D47"/>
    <w:rsid w:val="00F75F47"/>
    <w:rsid w:val="00F75F93"/>
    <w:rsid w:val="00F76495"/>
    <w:rsid w:val="00F766FA"/>
    <w:rsid w:val="00F76707"/>
    <w:rsid w:val="00F76908"/>
    <w:rsid w:val="00F769B7"/>
    <w:rsid w:val="00F76AC1"/>
    <w:rsid w:val="00F76BF6"/>
    <w:rsid w:val="00F77217"/>
    <w:rsid w:val="00F774B2"/>
    <w:rsid w:val="00F77622"/>
    <w:rsid w:val="00F77652"/>
    <w:rsid w:val="00F7765A"/>
    <w:rsid w:val="00F77766"/>
    <w:rsid w:val="00F77768"/>
    <w:rsid w:val="00F77C28"/>
    <w:rsid w:val="00F77DB9"/>
    <w:rsid w:val="00F77DD5"/>
    <w:rsid w:val="00F77EBF"/>
    <w:rsid w:val="00F80301"/>
    <w:rsid w:val="00F8064A"/>
    <w:rsid w:val="00F80702"/>
    <w:rsid w:val="00F8079A"/>
    <w:rsid w:val="00F80CE1"/>
    <w:rsid w:val="00F80CF9"/>
    <w:rsid w:val="00F80DBB"/>
    <w:rsid w:val="00F80E3D"/>
    <w:rsid w:val="00F81095"/>
    <w:rsid w:val="00F8119E"/>
    <w:rsid w:val="00F8128A"/>
    <w:rsid w:val="00F814B2"/>
    <w:rsid w:val="00F81534"/>
    <w:rsid w:val="00F81C99"/>
    <w:rsid w:val="00F81EB5"/>
    <w:rsid w:val="00F82484"/>
    <w:rsid w:val="00F825BB"/>
    <w:rsid w:val="00F825CA"/>
    <w:rsid w:val="00F82697"/>
    <w:rsid w:val="00F826F2"/>
    <w:rsid w:val="00F827B3"/>
    <w:rsid w:val="00F82ADE"/>
    <w:rsid w:val="00F82C21"/>
    <w:rsid w:val="00F83063"/>
    <w:rsid w:val="00F83438"/>
    <w:rsid w:val="00F83511"/>
    <w:rsid w:val="00F83AF0"/>
    <w:rsid w:val="00F83B28"/>
    <w:rsid w:val="00F83C05"/>
    <w:rsid w:val="00F83DA0"/>
    <w:rsid w:val="00F83F75"/>
    <w:rsid w:val="00F83F96"/>
    <w:rsid w:val="00F8459E"/>
    <w:rsid w:val="00F84D6A"/>
    <w:rsid w:val="00F850E9"/>
    <w:rsid w:val="00F85107"/>
    <w:rsid w:val="00F8522F"/>
    <w:rsid w:val="00F85D02"/>
    <w:rsid w:val="00F85DEF"/>
    <w:rsid w:val="00F860B6"/>
    <w:rsid w:val="00F86212"/>
    <w:rsid w:val="00F8643F"/>
    <w:rsid w:val="00F86528"/>
    <w:rsid w:val="00F8658C"/>
    <w:rsid w:val="00F865EA"/>
    <w:rsid w:val="00F866A7"/>
    <w:rsid w:val="00F867A2"/>
    <w:rsid w:val="00F86B9F"/>
    <w:rsid w:val="00F86BCB"/>
    <w:rsid w:val="00F86D0B"/>
    <w:rsid w:val="00F86D5C"/>
    <w:rsid w:val="00F86EE0"/>
    <w:rsid w:val="00F8702D"/>
    <w:rsid w:val="00F8753A"/>
    <w:rsid w:val="00F87562"/>
    <w:rsid w:val="00F8778C"/>
    <w:rsid w:val="00F878AF"/>
    <w:rsid w:val="00F87D70"/>
    <w:rsid w:val="00F87DD3"/>
    <w:rsid w:val="00F87E4B"/>
    <w:rsid w:val="00F90247"/>
    <w:rsid w:val="00F90592"/>
    <w:rsid w:val="00F908F7"/>
    <w:rsid w:val="00F90BB3"/>
    <w:rsid w:val="00F90BCD"/>
    <w:rsid w:val="00F90FCA"/>
    <w:rsid w:val="00F91083"/>
    <w:rsid w:val="00F9118E"/>
    <w:rsid w:val="00F911D8"/>
    <w:rsid w:val="00F91328"/>
    <w:rsid w:val="00F914A4"/>
    <w:rsid w:val="00F91E1A"/>
    <w:rsid w:val="00F921A6"/>
    <w:rsid w:val="00F92394"/>
    <w:rsid w:val="00F9266D"/>
    <w:rsid w:val="00F9286A"/>
    <w:rsid w:val="00F9292A"/>
    <w:rsid w:val="00F92C59"/>
    <w:rsid w:val="00F92C92"/>
    <w:rsid w:val="00F92E84"/>
    <w:rsid w:val="00F93206"/>
    <w:rsid w:val="00F932C2"/>
    <w:rsid w:val="00F93370"/>
    <w:rsid w:val="00F9368E"/>
    <w:rsid w:val="00F9390D"/>
    <w:rsid w:val="00F93B3C"/>
    <w:rsid w:val="00F93C31"/>
    <w:rsid w:val="00F93CEA"/>
    <w:rsid w:val="00F93D12"/>
    <w:rsid w:val="00F93D96"/>
    <w:rsid w:val="00F93E62"/>
    <w:rsid w:val="00F94161"/>
    <w:rsid w:val="00F945A5"/>
    <w:rsid w:val="00F946F1"/>
    <w:rsid w:val="00F949E9"/>
    <w:rsid w:val="00F94B44"/>
    <w:rsid w:val="00F95030"/>
    <w:rsid w:val="00F953A0"/>
    <w:rsid w:val="00F954CB"/>
    <w:rsid w:val="00F95859"/>
    <w:rsid w:val="00F96378"/>
    <w:rsid w:val="00F96494"/>
    <w:rsid w:val="00F965EB"/>
    <w:rsid w:val="00F96962"/>
    <w:rsid w:val="00F96B21"/>
    <w:rsid w:val="00F96BA7"/>
    <w:rsid w:val="00F96E77"/>
    <w:rsid w:val="00F96E81"/>
    <w:rsid w:val="00F9706A"/>
    <w:rsid w:val="00F971E4"/>
    <w:rsid w:val="00F972A9"/>
    <w:rsid w:val="00F97833"/>
    <w:rsid w:val="00F97922"/>
    <w:rsid w:val="00F97ACE"/>
    <w:rsid w:val="00F97B45"/>
    <w:rsid w:val="00F97BF0"/>
    <w:rsid w:val="00F97DC1"/>
    <w:rsid w:val="00F97E7C"/>
    <w:rsid w:val="00FA059B"/>
    <w:rsid w:val="00FA08A1"/>
    <w:rsid w:val="00FA09DC"/>
    <w:rsid w:val="00FA0EE7"/>
    <w:rsid w:val="00FA12CB"/>
    <w:rsid w:val="00FA1303"/>
    <w:rsid w:val="00FA14FD"/>
    <w:rsid w:val="00FA1747"/>
    <w:rsid w:val="00FA1771"/>
    <w:rsid w:val="00FA179D"/>
    <w:rsid w:val="00FA18A0"/>
    <w:rsid w:val="00FA194D"/>
    <w:rsid w:val="00FA1A81"/>
    <w:rsid w:val="00FA1D86"/>
    <w:rsid w:val="00FA1F68"/>
    <w:rsid w:val="00FA22B7"/>
    <w:rsid w:val="00FA240D"/>
    <w:rsid w:val="00FA2617"/>
    <w:rsid w:val="00FA264E"/>
    <w:rsid w:val="00FA2A26"/>
    <w:rsid w:val="00FA2D21"/>
    <w:rsid w:val="00FA2F41"/>
    <w:rsid w:val="00FA3090"/>
    <w:rsid w:val="00FA30C6"/>
    <w:rsid w:val="00FA3202"/>
    <w:rsid w:val="00FA33D6"/>
    <w:rsid w:val="00FA36EC"/>
    <w:rsid w:val="00FA3957"/>
    <w:rsid w:val="00FA3C64"/>
    <w:rsid w:val="00FA3DA1"/>
    <w:rsid w:val="00FA4162"/>
    <w:rsid w:val="00FA4497"/>
    <w:rsid w:val="00FA451E"/>
    <w:rsid w:val="00FA48DF"/>
    <w:rsid w:val="00FA4902"/>
    <w:rsid w:val="00FA4982"/>
    <w:rsid w:val="00FA5799"/>
    <w:rsid w:val="00FA57E5"/>
    <w:rsid w:val="00FA57FA"/>
    <w:rsid w:val="00FA5AF9"/>
    <w:rsid w:val="00FA5B11"/>
    <w:rsid w:val="00FA5E34"/>
    <w:rsid w:val="00FA62FE"/>
    <w:rsid w:val="00FA67D6"/>
    <w:rsid w:val="00FA6854"/>
    <w:rsid w:val="00FA6F4B"/>
    <w:rsid w:val="00FA73B6"/>
    <w:rsid w:val="00FA762A"/>
    <w:rsid w:val="00FA787B"/>
    <w:rsid w:val="00FA7FA7"/>
    <w:rsid w:val="00FB0051"/>
    <w:rsid w:val="00FB03A7"/>
    <w:rsid w:val="00FB0601"/>
    <w:rsid w:val="00FB09F9"/>
    <w:rsid w:val="00FB0CB7"/>
    <w:rsid w:val="00FB108B"/>
    <w:rsid w:val="00FB1139"/>
    <w:rsid w:val="00FB15A2"/>
    <w:rsid w:val="00FB1795"/>
    <w:rsid w:val="00FB1A28"/>
    <w:rsid w:val="00FB1ACC"/>
    <w:rsid w:val="00FB1D89"/>
    <w:rsid w:val="00FB2138"/>
    <w:rsid w:val="00FB237D"/>
    <w:rsid w:val="00FB23EA"/>
    <w:rsid w:val="00FB2451"/>
    <w:rsid w:val="00FB26CE"/>
    <w:rsid w:val="00FB295C"/>
    <w:rsid w:val="00FB2B5A"/>
    <w:rsid w:val="00FB2D62"/>
    <w:rsid w:val="00FB32C6"/>
    <w:rsid w:val="00FB3888"/>
    <w:rsid w:val="00FB395D"/>
    <w:rsid w:val="00FB3A4A"/>
    <w:rsid w:val="00FB3BF0"/>
    <w:rsid w:val="00FB3C47"/>
    <w:rsid w:val="00FB3D65"/>
    <w:rsid w:val="00FB3E82"/>
    <w:rsid w:val="00FB3FD0"/>
    <w:rsid w:val="00FB4296"/>
    <w:rsid w:val="00FB4537"/>
    <w:rsid w:val="00FB468A"/>
    <w:rsid w:val="00FB4733"/>
    <w:rsid w:val="00FB493A"/>
    <w:rsid w:val="00FB4964"/>
    <w:rsid w:val="00FB4EF7"/>
    <w:rsid w:val="00FB50FD"/>
    <w:rsid w:val="00FB5156"/>
    <w:rsid w:val="00FB51F4"/>
    <w:rsid w:val="00FB579D"/>
    <w:rsid w:val="00FB5874"/>
    <w:rsid w:val="00FB5A36"/>
    <w:rsid w:val="00FB5A48"/>
    <w:rsid w:val="00FB5A8F"/>
    <w:rsid w:val="00FB5AB7"/>
    <w:rsid w:val="00FB5ABF"/>
    <w:rsid w:val="00FB5B53"/>
    <w:rsid w:val="00FB5F27"/>
    <w:rsid w:val="00FB61FB"/>
    <w:rsid w:val="00FB64E6"/>
    <w:rsid w:val="00FB65E8"/>
    <w:rsid w:val="00FB6A4F"/>
    <w:rsid w:val="00FB6AC1"/>
    <w:rsid w:val="00FB6B27"/>
    <w:rsid w:val="00FB74FC"/>
    <w:rsid w:val="00FB7546"/>
    <w:rsid w:val="00FB775B"/>
    <w:rsid w:val="00FB77A2"/>
    <w:rsid w:val="00FB795C"/>
    <w:rsid w:val="00FB7A57"/>
    <w:rsid w:val="00FB7DF5"/>
    <w:rsid w:val="00FB7E09"/>
    <w:rsid w:val="00FB7FA0"/>
    <w:rsid w:val="00FB7FAC"/>
    <w:rsid w:val="00FB7FE0"/>
    <w:rsid w:val="00FC014C"/>
    <w:rsid w:val="00FC0466"/>
    <w:rsid w:val="00FC04A0"/>
    <w:rsid w:val="00FC0596"/>
    <w:rsid w:val="00FC05D7"/>
    <w:rsid w:val="00FC06AA"/>
    <w:rsid w:val="00FC0814"/>
    <w:rsid w:val="00FC0C01"/>
    <w:rsid w:val="00FC1062"/>
    <w:rsid w:val="00FC1083"/>
    <w:rsid w:val="00FC112F"/>
    <w:rsid w:val="00FC11AD"/>
    <w:rsid w:val="00FC127A"/>
    <w:rsid w:val="00FC128B"/>
    <w:rsid w:val="00FC1641"/>
    <w:rsid w:val="00FC18D4"/>
    <w:rsid w:val="00FC1B33"/>
    <w:rsid w:val="00FC1C90"/>
    <w:rsid w:val="00FC262A"/>
    <w:rsid w:val="00FC2894"/>
    <w:rsid w:val="00FC2935"/>
    <w:rsid w:val="00FC2942"/>
    <w:rsid w:val="00FC2A2A"/>
    <w:rsid w:val="00FC2DB9"/>
    <w:rsid w:val="00FC2E38"/>
    <w:rsid w:val="00FC3285"/>
    <w:rsid w:val="00FC33CA"/>
    <w:rsid w:val="00FC354C"/>
    <w:rsid w:val="00FC35E9"/>
    <w:rsid w:val="00FC392A"/>
    <w:rsid w:val="00FC3A57"/>
    <w:rsid w:val="00FC3DB6"/>
    <w:rsid w:val="00FC413E"/>
    <w:rsid w:val="00FC4232"/>
    <w:rsid w:val="00FC42BC"/>
    <w:rsid w:val="00FC4348"/>
    <w:rsid w:val="00FC43A0"/>
    <w:rsid w:val="00FC4669"/>
    <w:rsid w:val="00FC4942"/>
    <w:rsid w:val="00FC494C"/>
    <w:rsid w:val="00FC54F3"/>
    <w:rsid w:val="00FC55F1"/>
    <w:rsid w:val="00FC5961"/>
    <w:rsid w:val="00FC5AE8"/>
    <w:rsid w:val="00FC5EB1"/>
    <w:rsid w:val="00FC5EBC"/>
    <w:rsid w:val="00FC608E"/>
    <w:rsid w:val="00FC63DA"/>
    <w:rsid w:val="00FC6459"/>
    <w:rsid w:val="00FC67F8"/>
    <w:rsid w:val="00FC68D7"/>
    <w:rsid w:val="00FC6BDF"/>
    <w:rsid w:val="00FC6C23"/>
    <w:rsid w:val="00FC6F8D"/>
    <w:rsid w:val="00FC72F6"/>
    <w:rsid w:val="00FC75A7"/>
    <w:rsid w:val="00FC76BA"/>
    <w:rsid w:val="00FC76D5"/>
    <w:rsid w:val="00FC77C7"/>
    <w:rsid w:val="00FC7B87"/>
    <w:rsid w:val="00FC7BBF"/>
    <w:rsid w:val="00FC7C47"/>
    <w:rsid w:val="00FC7D50"/>
    <w:rsid w:val="00FD0555"/>
    <w:rsid w:val="00FD05D6"/>
    <w:rsid w:val="00FD062F"/>
    <w:rsid w:val="00FD071F"/>
    <w:rsid w:val="00FD08D9"/>
    <w:rsid w:val="00FD0B68"/>
    <w:rsid w:val="00FD0D5F"/>
    <w:rsid w:val="00FD0EFF"/>
    <w:rsid w:val="00FD0F17"/>
    <w:rsid w:val="00FD1043"/>
    <w:rsid w:val="00FD13B6"/>
    <w:rsid w:val="00FD1655"/>
    <w:rsid w:val="00FD1ADA"/>
    <w:rsid w:val="00FD1BCE"/>
    <w:rsid w:val="00FD1BE3"/>
    <w:rsid w:val="00FD1C11"/>
    <w:rsid w:val="00FD1C5C"/>
    <w:rsid w:val="00FD1D50"/>
    <w:rsid w:val="00FD208F"/>
    <w:rsid w:val="00FD20EC"/>
    <w:rsid w:val="00FD228C"/>
    <w:rsid w:val="00FD2378"/>
    <w:rsid w:val="00FD25D0"/>
    <w:rsid w:val="00FD2767"/>
    <w:rsid w:val="00FD27A7"/>
    <w:rsid w:val="00FD27AA"/>
    <w:rsid w:val="00FD293E"/>
    <w:rsid w:val="00FD2BF5"/>
    <w:rsid w:val="00FD2C3A"/>
    <w:rsid w:val="00FD2C61"/>
    <w:rsid w:val="00FD2CD0"/>
    <w:rsid w:val="00FD2E11"/>
    <w:rsid w:val="00FD2E8A"/>
    <w:rsid w:val="00FD3390"/>
    <w:rsid w:val="00FD38A0"/>
    <w:rsid w:val="00FD3905"/>
    <w:rsid w:val="00FD39A4"/>
    <w:rsid w:val="00FD3B6F"/>
    <w:rsid w:val="00FD3B80"/>
    <w:rsid w:val="00FD3BE0"/>
    <w:rsid w:val="00FD4064"/>
    <w:rsid w:val="00FD46C4"/>
    <w:rsid w:val="00FD48BB"/>
    <w:rsid w:val="00FD4BC5"/>
    <w:rsid w:val="00FD4D78"/>
    <w:rsid w:val="00FD514F"/>
    <w:rsid w:val="00FD55A6"/>
    <w:rsid w:val="00FD57B6"/>
    <w:rsid w:val="00FD5A71"/>
    <w:rsid w:val="00FD5AFB"/>
    <w:rsid w:val="00FD5DD5"/>
    <w:rsid w:val="00FD60ED"/>
    <w:rsid w:val="00FD60F8"/>
    <w:rsid w:val="00FD6342"/>
    <w:rsid w:val="00FD644F"/>
    <w:rsid w:val="00FD6512"/>
    <w:rsid w:val="00FD668D"/>
    <w:rsid w:val="00FD68C0"/>
    <w:rsid w:val="00FD6B59"/>
    <w:rsid w:val="00FD6D76"/>
    <w:rsid w:val="00FD739F"/>
    <w:rsid w:val="00FD762B"/>
    <w:rsid w:val="00FD766F"/>
    <w:rsid w:val="00FD78CD"/>
    <w:rsid w:val="00FD7C84"/>
    <w:rsid w:val="00FD7CFA"/>
    <w:rsid w:val="00FD7FA9"/>
    <w:rsid w:val="00FE03B7"/>
    <w:rsid w:val="00FE0925"/>
    <w:rsid w:val="00FE0C6C"/>
    <w:rsid w:val="00FE0D6B"/>
    <w:rsid w:val="00FE0EC2"/>
    <w:rsid w:val="00FE1476"/>
    <w:rsid w:val="00FE14AE"/>
    <w:rsid w:val="00FE154B"/>
    <w:rsid w:val="00FE1FA8"/>
    <w:rsid w:val="00FE2257"/>
    <w:rsid w:val="00FE256E"/>
    <w:rsid w:val="00FE2729"/>
    <w:rsid w:val="00FE2734"/>
    <w:rsid w:val="00FE2848"/>
    <w:rsid w:val="00FE28CD"/>
    <w:rsid w:val="00FE29B1"/>
    <w:rsid w:val="00FE2B58"/>
    <w:rsid w:val="00FE2CCD"/>
    <w:rsid w:val="00FE3113"/>
    <w:rsid w:val="00FE3238"/>
    <w:rsid w:val="00FE3A3E"/>
    <w:rsid w:val="00FE43CC"/>
    <w:rsid w:val="00FE4400"/>
    <w:rsid w:val="00FE4504"/>
    <w:rsid w:val="00FE458A"/>
    <w:rsid w:val="00FE4A16"/>
    <w:rsid w:val="00FE4A88"/>
    <w:rsid w:val="00FE4EBB"/>
    <w:rsid w:val="00FE5105"/>
    <w:rsid w:val="00FE5643"/>
    <w:rsid w:val="00FE5D14"/>
    <w:rsid w:val="00FE5D51"/>
    <w:rsid w:val="00FE5EE4"/>
    <w:rsid w:val="00FE5FB0"/>
    <w:rsid w:val="00FE6120"/>
    <w:rsid w:val="00FE6259"/>
    <w:rsid w:val="00FE63F3"/>
    <w:rsid w:val="00FE6823"/>
    <w:rsid w:val="00FE6B1E"/>
    <w:rsid w:val="00FE6FEF"/>
    <w:rsid w:val="00FE718C"/>
    <w:rsid w:val="00FE721F"/>
    <w:rsid w:val="00FE7248"/>
    <w:rsid w:val="00FE72BF"/>
    <w:rsid w:val="00FE73F8"/>
    <w:rsid w:val="00FE7799"/>
    <w:rsid w:val="00FE781A"/>
    <w:rsid w:val="00FE781F"/>
    <w:rsid w:val="00FE792B"/>
    <w:rsid w:val="00FE796D"/>
    <w:rsid w:val="00FE7E36"/>
    <w:rsid w:val="00FF0207"/>
    <w:rsid w:val="00FF0248"/>
    <w:rsid w:val="00FF06A5"/>
    <w:rsid w:val="00FF0A8D"/>
    <w:rsid w:val="00FF0D77"/>
    <w:rsid w:val="00FF11A8"/>
    <w:rsid w:val="00FF12EF"/>
    <w:rsid w:val="00FF13A5"/>
    <w:rsid w:val="00FF1456"/>
    <w:rsid w:val="00FF1595"/>
    <w:rsid w:val="00FF16E1"/>
    <w:rsid w:val="00FF1B9E"/>
    <w:rsid w:val="00FF1BD8"/>
    <w:rsid w:val="00FF1CE5"/>
    <w:rsid w:val="00FF21EE"/>
    <w:rsid w:val="00FF22C6"/>
    <w:rsid w:val="00FF22E1"/>
    <w:rsid w:val="00FF2472"/>
    <w:rsid w:val="00FF24E3"/>
    <w:rsid w:val="00FF2799"/>
    <w:rsid w:val="00FF2CBC"/>
    <w:rsid w:val="00FF2DAD"/>
    <w:rsid w:val="00FF2ECA"/>
    <w:rsid w:val="00FF3007"/>
    <w:rsid w:val="00FF300B"/>
    <w:rsid w:val="00FF332D"/>
    <w:rsid w:val="00FF33E8"/>
    <w:rsid w:val="00FF34C9"/>
    <w:rsid w:val="00FF34EB"/>
    <w:rsid w:val="00FF3529"/>
    <w:rsid w:val="00FF389F"/>
    <w:rsid w:val="00FF3985"/>
    <w:rsid w:val="00FF3ADE"/>
    <w:rsid w:val="00FF3B44"/>
    <w:rsid w:val="00FF3B49"/>
    <w:rsid w:val="00FF40F5"/>
    <w:rsid w:val="00FF4212"/>
    <w:rsid w:val="00FF425B"/>
    <w:rsid w:val="00FF43C3"/>
    <w:rsid w:val="00FF43C4"/>
    <w:rsid w:val="00FF4770"/>
    <w:rsid w:val="00FF4880"/>
    <w:rsid w:val="00FF499F"/>
    <w:rsid w:val="00FF4B09"/>
    <w:rsid w:val="00FF4C3F"/>
    <w:rsid w:val="00FF4EFF"/>
    <w:rsid w:val="00FF5030"/>
    <w:rsid w:val="00FF53B7"/>
    <w:rsid w:val="00FF53FA"/>
    <w:rsid w:val="00FF55AB"/>
    <w:rsid w:val="00FF562C"/>
    <w:rsid w:val="00FF5754"/>
    <w:rsid w:val="00FF5C29"/>
    <w:rsid w:val="00FF5EF4"/>
    <w:rsid w:val="00FF5F82"/>
    <w:rsid w:val="00FF624D"/>
    <w:rsid w:val="00FF6330"/>
    <w:rsid w:val="00FF69D2"/>
    <w:rsid w:val="00FF6B63"/>
    <w:rsid w:val="00FF6F66"/>
    <w:rsid w:val="00FF70FD"/>
    <w:rsid w:val="00FF735F"/>
    <w:rsid w:val="00FF76A1"/>
    <w:rsid w:val="00FF76AA"/>
    <w:rsid w:val="00FF7A7F"/>
    <w:rsid w:val="00FF7B22"/>
    <w:rsid w:val="00FF7BB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shapedefaults>
    <o:shapelayout v:ext="edit">
      <o:idmap v:ext="edit" data="1"/>
    </o:shapelayout>
  </w:shapeDefaults>
  <w:decimalSymbol w:val="."/>
  <w:listSeparator w:val=","/>
  <w14:docId w14:val="77E96F76"/>
  <w15:docId w15:val="{BE1F0894-B4DC-4A95-90A1-4C2B90D83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iPriority="9"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F6EC5"/>
    <w:pPr>
      <w:widowControl w:val="0"/>
    </w:pPr>
    <w:rPr>
      <w:kern w:val="2"/>
      <w:sz w:val="24"/>
    </w:rPr>
  </w:style>
  <w:style w:type="paragraph" w:styleId="10">
    <w:name w:val="heading 1"/>
    <w:basedOn w:val="a"/>
    <w:next w:val="a"/>
    <w:link w:val="11"/>
    <w:qFormat/>
    <w:rsid w:val="00841FDA"/>
    <w:pPr>
      <w:keepNext/>
      <w:spacing w:before="180" w:after="180" w:line="720" w:lineRule="auto"/>
      <w:outlineLvl w:val="0"/>
    </w:pPr>
    <w:rPr>
      <w:rFonts w:ascii="Cambria" w:hAnsi="Cambria"/>
      <w:b/>
      <w:bCs/>
      <w:kern w:val="52"/>
      <w:sz w:val="52"/>
      <w:szCs w:val="52"/>
    </w:rPr>
  </w:style>
  <w:style w:type="paragraph" w:styleId="2">
    <w:name w:val="heading 2"/>
    <w:aliases w:val="標題１．"/>
    <w:basedOn w:val="a"/>
    <w:link w:val="20"/>
    <w:qFormat/>
    <w:rsid w:val="00C4097F"/>
    <w:pPr>
      <w:kinsoku w:val="0"/>
      <w:ind w:left="1207" w:hanging="697"/>
      <w:jc w:val="both"/>
      <w:outlineLvl w:val="1"/>
    </w:pPr>
    <w:rPr>
      <w:rFonts w:ascii="標楷體" w:eastAsia="標楷體" w:hAnsi="Arial"/>
      <w:bCs/>
      <w:kern w:val="0"/>
      <w:sz w:val="32"/>
      <w:szCs w:val="48"/>
    </w:rPr>
  </w:style>
  <w:style w:type="paragraph" w:styleId="3">
    <w:name w:val="heading 3"/>
    <w:basedOn w:val="a"/>
    <w:link w:val="30"/>
    <w:uiPriority w:val="9"/>
    <w:qFormat/>
    <w:rsid w:val="00C4097F"/>
    <w:pPr>
      <w:kinsoku w:val="0"/>
      <w:ind w:left="1887" w:hanging="697"/>
      <w:jc w:val="both"/>
      <w:outlineLvl w:val="2"/>
    </w:pPr>
    <w:rPr>
      <w:rFonts w:ascii="標楷體" w:eastAsia="標楷體" w:hAnsi="Arial"/>
      <w:bCs/>
      <w:kern w:val="0"/>
      <w:sz w:val="32"/>
      <w:szCs w:val="36"/>
    </w:rPr>
  </w:style>
  <w:style w:type="paragraph" w:styleId="4">
    <w:name w:val="heading 4"/>
    <w:aliases w:val="1.標題 4"/>
    <w:link w:val="40"/>
    <w:qFormat/>
    <w:pPr>
      <w:overflowPunct w:val="0"/>
      <w:spacing w:beforeLines="20" w:before="20" w:afterLines="20" w:after="20" w:line="400" w:lineRule="exact"/>
      <w:ind w:firstLineChars="200" w:firstLine="200"/>
      <w:jc w:val="both"/>
      <w:outlineLvl w:val="3"/>
    </w:pPr>
    <w:rPr>
      <w:rFonts w:ascii="標楷體" w:eastAsia="標楷體" w:hAnsi="Arial"/>
      <w:b/>
      <w:kern w:val="2"/>
      <w:sz w:val="28"/>
      <w:szCs w:val="36"/>
    </w:rPr>
  </w:style>
  <w:style w:type="paragraph" w:styleId="5">
    <w:name w:val="heading 5"/>
    <w:basedOn w:val="a"/>
    <w:link w:val="50"/>
    <w:qFormat/>
    <w:rsid w:val="00C4097F"/>
    <w:pPr>
      <w:kinsoku w:val="0"/>
      <w:ind w:left="2095" w:hanging="700"/>
      <w:jc w:val="both"/>
      <w:outlineLvl w:val="4"/>
    </w:pPr>
    <w:rPr>
      <w:rFonts w:ascii="標楷體" w:eastAsia="標楷體" w:hAnsi="Arial"/>
      <w:bCs/>
      <w:sz w:val="32"/>
      <w:szCs w:val="36"/>
    </w:rPr>
  </w:style>
  <w:style w:type="paragraph" w:styleId="6">
    <w:name w:val="heading 6"/>
    <w:basedOn w:val="a"/>
    <w:link w:val="60"/>
    <w:qFormat/>
    <w:rsid w:val="00C4097F"/>
    <w:pPr>
      <w:tabs>
        <w:tab w:val="left" w:pos="2094"/>
      </w:tabs>
      <w:kinsoku w:val="0"/>
      <w:ind w:left="2444" w:hanging="715"/>
      <w:jc w:val="both"/>
      <w:outlineLvl w:val="5"/>
    </w:pPr>
    <w:rPr>
      <w:rFonts w:ascii="標楷體" w:eastAsia="標楷體" w:hAnsi="Arial"/>
      <w:sz w:val="32"/>
      <w:szCs w:val="36"/>
    </w:rPr>
  </w:style>
  <w:style w:type="paragraph" w:styleId="7">
    <w:name w:val="heading 7"/>
    <w:basedOn w:val="a"/>
    <w:link w:val="70"/>
    <w:qFormat/>
    <w:rsid w:val="00C4097F"/>
    <w:pPr>
      <w:kinsoku w:val="0"/>
      <w:ind w:left="2444" w:hanging="352"/>
      <w:jc w:val="both"/>
      <w:outlineLvl w:val="6"/>
    </w:pPr>
    <w:rPr>
      <w:rFonts w:ascii="標楷體" w:eastAsia="標楷體" w:hAnsi="Arial"/>
      <w:bCs/>
      <w:sz w:val="32"/>
      <w:szCs w:val="36"/>
    </w:rPr>
  </w:style>
  <w:style w:type="paragraph" w:styleId="8">
    <w:name w:val="heading 8"/>
    <w:basedOn w:val="a"/>
    <w:link w:val="80"/>
    <w:qFormat/>
    <w:rsid w:val="00C4097F"/>
    <w:pPr>
      <w:kinsoku w:val="0"/>
      <w:ind w:left="2790" w:hanging="349"/>
      <w:jc w:val="both"/>
      <w:outlineLvl w:val="7"/>
    </w:pPr>
    <w:rPr>
      <w:rFonts w:ascii="標楷體" w:eastAsia="標楷體" w:hAnsi="Arial"/>
      <w:sz w:val="32"/>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中標"/>
    <w:basedOn w:val="a"/>
    <w:pPr>
      <w:spacing w:line="360" w:lineRule="auto"/>
      <w:jc w:val="both"/>
    </w:pPr>
    <w:rPr>
      <w:rFonts w:ascii="標楷體" w:eastAsia="標楷體"/>
      <w:b/>
      <w:sz w:val="36"/>
    </w:rPr>
  </w:style>
  <w:style w:type="paragraph" w:customStyle="1" w:styleId="a4">
    <w:name w:val="小標"/>
    <w:basedOn w:val="a"/>
    <w:pPr>
      <w:spacing w:line="360" w:lineRule="auto"/>
      <w:ind w:left="420"/>
      <w:jc w:val="both"/>
    </w:pPr>
    <w:rPr>
      <w:rFonts w:ascii="標楷體" w:eastAsia="標楷體"/>
      <w:b/>
      <w:sz w:val="32"/>
    </w:rPr>
  </w:style>
  <w:style w:type="paragraph" w:styleId="a5">
    <w:name w:val="Body Text"/>
    <w:basedOn w:val="a"/>
    <w:link w:val="a6"/>
    <w:pPr>
      <w:spacing w:line="360" w:lineRule="exact"/>
      <w:jc w:val="both"/>
    </w:pPr>
    <w:rPr>
      <w:rFonts w:ascii="標楷體" w:eastAsia="標楷體"/>
    </w:rPr>
  </w:style>
  <w:style w:type="paragraph" w:styleId="a7">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rPr>
      <w:rFonts w:ascii="細明體" w:eastAsia="細明體" w:hAnsi="Courier New"/>
    </w:rPr>
  </w:style>
  <w:style w:type="paragraph" w:styleId="21">
    <w:name w:val="Body Text 2"/>
    <w:basedOn w:val="a"/>
    <w:link w:val="22"/>
    <w:pPr>
      <w:ind w:rightChars="-439" w:right="-1054"/>
    </w:pPr>
    <w:rPr>
      <w:rFonts w:ascii="標楷體" w:eastAsia="標楷體"/>
    </w:rPr>
  </w:style>
  <w:style w:type="paragraph" w:styleId="31">
    <w:name w:val="Body Text 3"/>
    <w:basedOn w:val="a"/>
    <w:link w:val="32"/>
    <w:pPr>
      <w:spacing w:line="500" w:lineRule="exact"/>
      <w:jc w:val="both"/>
    </w:pPr>
    <w:rPr>
      <w:rFonts w:ascii="標楷體" w:eastAsia="標楷體"/>
      <w:sz w:val="28"/>
    </w:rPr>
  </w:style>
  <w:style w:type="paragraph" w:styleId="a8">
    <w:name w:val="footer"/>
    <w:basedOn w:val="a"/>
    <w:link w:val="a9"/>
    <w:uiPriority w:val="99"/>
    <w:pPr>
      <w:tabs>
        <w:tab w:val="center" w:pos="4153"/>
        <w:tab w:val="right" w:pos="8306"/>
      </w:tabs>
      <w:snapToGrid w:val="0"/>
    </w:pPr>
    <w:rPr>
      <w:sz w:val="20"/>
    </w:rPr>
  </w:style>
  <w:style w:type="character" w:styleId="aa">
    <w:name w:val="page number"/>
    <w:basedOn w:val="a0"/>
  </w:style>
  <w:style w:type="paragraph" w:styleId="ab">
    <w:name w:val="Body Text Indent"/>
    <w:basedOn w:val="a"/>
    <w:link w:val="ac"/>
    <w:pPr>
      <w:spacing w:beforeLines="25" w:before="90" w:line="500" w:lineRule="exact"/>
      <w:ind w:firstLineChars="200" w:firstLine="560"/>
      <w:jc w:val="both"/>
    </w:pPr>
    <w:rPr>
      <w:rFonts w:ascii="標楷體" w:eastAsia="標楷體"/>
      <w:sz w:val="28"/>
    </w:rPr>
  </w:style>
  <w:style w:type="paragraph" w:styleId="ad">
    <w:name w:val="header"/>
    <w:aliases w:val="頁首 字元 字元"/>
    <w:basedOn w:val="a"/>
    <w:link w:val="ae"/>
    <w:uiPriority w:val="99"/>
    <w:pPr>
      <w:tabs>
        <w:tab w:val="center" w:pos="4153"/>
        <w:tab w:val="right" w:pos="8306"/>
      </w:tabs>
      <w:snapToGrid w:val="0"/>
    </w:pPr>
    <w:rPr>
      <w:sz w:val="20"/>
    </w:rPr>
  </w:style>
  <w:style w:type="paragraph" w:customStyle="1" w:styleId="font5">
    <w:name w:val="font5"/>
    <w:basedOn w:val="a"/>
    <w:pPr>
      <w:widowControl/>
      <w:spacing w:before="100" w:beforeAutospacing="1" w:after="100" w:afterAutospacing="1"/>
    </w:pPr>
    <w:rPr>
      <w:rFonts w:ascii="新細明體" w:hint="eastAsia"/>
      <w:kern w:val="0"/>
      <w:sz w:val="18"/>
      <w:szCs w:val="18"/>
    </w:rPr>
  </w:style>
  <w:style w:type="paragraph" w:customStyle="1" w:styleId="font6">
    <w:name w:val="font6"/>
    <w:basedOn w:val="a"/>
    <w:pPr>
      <w:widowControl/>
      <w:spacing w:before="100" w:beforeAutospacing="1" w:after="100" w:afterAutospacing="1"/>
    </w:pPr>
    <w:rPr>
      <w:kern w:val="0"/>
    </w:rPr>
  </w:style>
  <w:style w:type="paragraph" w:customStyle="1" w:styleId="font7">
    <w:name w:val="font7"/>
    <w:basedOn w:val="a"/>
    <w:pPr>
      <w:widowControl/>
      <w:spacing w:before="100" w:beforeAutospacing="1" w:after="100" w:afterAutospacing="1"/>
    </w:pPr>
    <w:rPr>
      <w:rFonts w:ascii="標楷體" w:eastAsia="標楷體" w:hint="eastAsia"/>
      <w:kern w:val="0"/>
    </w:rPr>
  </w:style>
  <w:style w:type="paragraph" w:customStyle="1" w:styleId="xl24">
    <w:name w:val="xl24"/>
    <w:basedOn w:val="a"/>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5">
    <w:name w:val="xl25"/>
    <w:basedOn w:val="a"/>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6">
    <w:name w:val="xl26"/>
    <w:basedOn w:val="a"/>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標楷體" w:eastAsia="標楷體" w:hint="eastAsia"/>
      <w:kern w:val="0"/>
    </w:rPr>
  </w:style>
  <w:style w:type="paragraph" w:customStyle="1" w:styleId="xl27">
    <w:name w:val="xl27"/>
    <w:basedOn w:val="a"/>
    <w:pPr>
      <w:widowControl/>
      <w:pBdr>
        <w:left w:val="single" w:sz="8" w:space="0" w:color="auto"/>
        <w:bottom w:val="single" w:sz="8"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8">
    <w:name w:val="xl28"/>
    <w:basedOn w:val="a"/>
    <w:pPr>
      <w:widowControl/>
      <w:pBdr>
        <w:left w:val="single" w:sz="4" w:space="0" w:color="auto"/>
        <w:bottom w:val="single" w:sz="8"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9">
    <w:name w:val="xl29"/>
    <w:basedOn w:val="a"/>
    <w:pPr>
      <w:widowControl/>
      <w:pBdr>
        <w:left w:val="single" w:sz="4" w:space="0" w:color="auto"/>
        <w:bottom w:val="single" w:sz="8" w:space="0" w:color="auto"/>
        <w:right w:val="single" w:sz="8" w:space="0" w:color="auto"/>
      </w:pBdr>
      <w:spacing w:before="100" w:beforeAutospacing="1" w:after="100" w:afterAutospacing="1"/>
      <w:jc w:val="center"/>
    </w:pPr>
    <w:rPr>
      <w:rFonts w:ascii="標楷體" w:eastAsia="標楷體" w:hint="eastAsia"/>
      <w:kern w:val="0"/>
    </w:rPr>
  </w:style>
  <w:style w:type="paragraph" w:customStyle="1" w:styleId="xl30">
    <w:name w:val="xl30"/>
    <w:basedOn w:val="a"/>
    <w:pPr>
      <w:widowControl/>
      <w:pBdr>
        <w:left w:val="single" w:sz="8" w:space="0" w:color="auto"/>
        <w:right w:val="single" w:sz="4" w:space="0" w:color="auto"/>
      </w:pBdr>
      <w:spacing w:before="100" w:beforeAutospacing="1" w:after="100" w:afterAutospacing="1"/>
      <w:jc w:val="center"/>
    </w:pPr>
    <w:rPr>
      <w:rFonts w:ascii="標楷體" w:eastAsia="標楷體" w:hint="eastAsia"/>
      <w:b/>
      <w:bCs/>
      <w:kern w:val="0"/>
    </w:rPr>
  </w:style>
  <w:style w:type="paragraph" w:customStyle="1" w:styleId="xl31">
    <w:name w:val="xl31"/>
    <w:basedOn w:val="a"/>
    <w:pPr>
      <w:widowControl/>
      <w:pBdr>
        <w:left w:val="single" w:sz="4" w:space="0" w:color="auto"/>
        <w:right w:val="single" w:sz="4" w:space="0" w:color="auto"/>
      </w:pBdr>
      <w:spacing w:before="100" w:beforeAutospacing="1" w:after="100" w:afterAutospacing="1"/>
    </w:pPr>
    <w:rPr>
      <w:rFonts w:ascii="標楷體" w:eastAsia="標楷體" w:hint="eastAsia"/>
      <w:kern w:val="0"/>
    </w:rPr>
  </w:style>
  <w:style w:type="paragraph" w:customStyle="1" w:styleId="xl32">
    <w:name w:val="xl32"/>
    <w:basedOn w:val="a"/>
    <w:pPr>
      <w:widowControl/>
      <w:pBdr>
        <w:left w:val="single" w:sz="4" w:space="0" w:color="auto"/>
        <w:right w:val="single" w:sz="4" w:space="0" w:color="auto"/>
      </w:pBdr>
      <w:spacing w:before="100" w:beforeAutospacing="1" w:after="100" w:afterAutospacing="1"/>
    </w:pPr>
    <w:rPr>
      <w:rFonts w:ascii="標楷體" w:eastAsia="標楷體" w:hint="eastAsia"/>
      <w:kern w:val="0"/>
    </w:rPr>
  </w:style>
  <w:style w:type="paragraph" w:customStyle="1" w:styleId="xl33">
    <w:name w:val="xl33"/>
    <w:basedOn w:val="a"/>
    <w:pPr>
      <w:widowControl/>
      <w:pBdr>
        <w:left w:val="single" w:sz="4" w:space="0" w:color="auto"/>
        <w:right w:val="single" w:sz="8" w:space="0" w:color="auto"/>
      </w:pBdr>
      <w:spacing w:before="100" w:beforeAutospacing="1" w:after="100" w:afterAutospacing="1"/>
    </w:pPr>
    <w:rPr>
      <w:rFonts w:ascii="標楷體" w:eastAsia="標楷體" w:hint="eastAsia"/>
      <w:kern w:val="0"/>
    </w:rPr>
  </w:style>
  <w:style w:type="paragraph" w:customStyle="1" w:styleId="xl34">
    <w:name w:val="xl34"/>
    <w:basedOn w:val="a"/>
    <w:pPr>
      <w:widowControl/>
      <w:pBdr>
        <w:left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35">
    <w:name w:val="xl35"/>
    <w:basedOn w:val="a"/>
    <w:pPr>
      <w:widowControl/>
      <w:pBdr>
        <w:left w:val="single" w:sz="8" w:space="0" w:color="auto"/>
        <w:right w:val="single" w:sz="4" w:space="0" w:color="auto"/>
      </w:pBdr>
      <w:spacing w:before="100" w:beforeAutospacing="1" w:after="100" w:afterAutospacing="1"/>
    </w:pPr>
    <w:rPr>
      <w:kern w:val="0"/>
    </w:rPr>
  </w:style>
  <w:style w:type="paragraph" w:customStyle="1" w:styleId="xl36">
    <w:name w:val="xl36"/>
    <w:basedOn w:val="a"/>
    <w:pPr>
      <w:widowControl/>
      <w:pBdr>
        <w:left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37">
    <w:name w:val="xl37"/>
    <w:basedOn w:val="a"/>
    <w:pPr>
      <w:widowControl/>
      <w:pBdr>
        <w:left w:val="single" w:sz="8" w:space="0" w:color="auto"/>
      </w:pBdr>
      <w:spacing w:before="100" w:beforeAutospacing="1" w:after="100" w:afterAutospacing="1"/>
      <w:jc w:val="center"/>
    </w:pPr>
    <w:rPr>
      <w:rFonts w:ascii="標楷體" w:eastAsia="標楷體" w:hint="eastAsia"/>
      <w:b/>
      <w:bCs/>
      <w:kern w:val="0"/>
    </w:rPr>
  </w:style>
  <w:style w:type="paragraph" w:customStyle="1" w:styleId="xl38">
    <w:name w:val="xl38"/>
    <w:basedOn w:val="a"/>
    <w:pPr>
      <w:widowControl/>
      <w:pBdr>
        <w:left w:val="single" w:sz="8" w:space="0" w:color="auto"/>
      </w:pBdr>
      <w:spacing w:before="100" w:beforeAutospacing="1" w:after="100" w:afterAutospacing="1"/>
    </w:pPr>
    <w:rPr>
      <w:rFonts w:ascii="標楷體" w:eastAsia="標楷體" w:hint="eastAsia"/>
      <w:kern w:val="0"/>
    </w:rPr>
  </w:style>
  <w:style w:type="paragraph" w:customStyle="1" w:styleId="xl39">
    <w:name w:val="xl39"/>
    <w:basedOn w:val="a"/>
    <w:pPr>
      <w:widowControl/>
      <w:pBdr>
        <w:left w:val="single" w:sz="8" w:space="0" w:color="auto"/>
      </w:pBdr>
      <w:spacing w:before="100" w:beforeAutospacing="1" w:after="100" w:afterAutospacing="1"/>
    </w:pPr>
    <w:rPr>
      <w:kern w:val="0"/>
    </w:rPr>
  </w:style>
  <w:style w:type="paragraph" w:customStyle="1" w:styleId="xl40">
    <w:name w:val="xl40"/>
    <w:basedOn w:val="a"/>
    <w:pPr>
      <w:widowControl/>
      <w:pBdr>
        <w:left w:val="single" w:sz="8" w:space="0" w:color="auto"/>
      </w:pBdr>
      <w:spacing w:before="100" w:beforeAutospacing="1" w:after="100" w:afterAutospacing="1"/>
    </w:pPr>
    <w:rPr>
      <w:rFonts w:ascii="標楷體" w:eastAsia="標楷體" w:hint="eastAsia"/>
      <w:b/>
      <w:bCs/>
      <w:kern w:val="0"/>
    </w:rPr>
  </w:style>
  <w:style w:type="paragraph" w:customStyle="1" w:styleId="xl41">
    <w:name w:val="xl41"/>
    <w:basedOn w:val="a"/>
    <w:pPr>
      <w:widowControl/>
      <w:pBdr>
        <w:left w:val="single" w:sz="8" w:space="0" w:color="auto"/>
        <w:bottom w:val="single" w:sz="8" w:space="0" w:color="auto"/>
      </w:pBdr>
      <w:spacing w:before="100" w:beforeAutospacing="1" w:after="100" w:afterAutospacing="1"/>
      <w:jc w:val="center"/>
    </w:pPr>
    <w:rPr>
      <w:rFonts w:ascii="標楷體" w:eastAsia="標楷體" w:hint="eastAsia"/>
      <w:b/>
      <w:bCs/>
      <w:kern w:val="0"/>
    </w:rPr>
  </w:style>
  <w:style w:type="paragraph" w:customStyle="1" w:styleId="xl42">
    <w:name w:val="xl42"/>
    <w:basedOn w:val="a"/>
    <w:pPr>
      <w:widowControl/>
      <w:pBdr>
        <w:left w:val="single" w:sz="4" w:space="0" w:color="auto"/>
        <w:bottom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43">
    <w:name w:val="xl43"/>
    <w:basedOn w:val="a"/>
    <w:pPr>
      <w:widowControl/>
      <w:pBdr>
        <w:left w:val="single" w:sz="4" w:space="0" w:color="auto"/>
        <w:bottom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44">
    <w:name w:val="xl44"/>
    <w:basedOn w:val="a"/>
    <w:pPr>
      <w:widowControl/>
      <w:pBdr>
        <w:left w:val="single" w:sz="4" w:space="0" w:color="auto"/>
        <w:bottom w:val="single" w:sz="8" w:space="0" w:color="auto"/>
        <w:right w:val="single" w:sz="8" w:space="0" w:color="auto"/>
      </w:pBdr>
      <w:spacing w:before="100" w:beforeAutospacing="1" w:after="100" w:afterAutospacing="1"/>
    </w:pPr>
    <w:rPr>
      <w:rFonts w:ascii="標楷體" w:eastAsia="標楷體" w:hint="eastAsia"/>
      <w:kern w:val="0"/>
    </w:rPr>
  </w:style>
  <w:style w:type="paragraph" w:customStyle="1" w:styleId="af">
    <w:name w:val="表說"/>
    <w:basedOn w:val="a"/>
    <w:pPr>
      <w:spacing w:line="312" w:lineRule="auto"/>
      <w:jc w:val="both"/>
    </w:pPr>
    <w:rPr>
      <w:rFonts w:ascii="Courier" w:eastAsia="華康楷書體W5" w:hAnsi="Courier"/>
      <w:spacing w:val="4"/>
      <w:sz w:val="21"/>
    </w:rPr>
  </w:style>
  <w:style w:type="paragraph" w:customStyle="1" w:styleId="af0">
    <w:name w:val="單元"/>
    <w:basedOn w:val="a"/>
    <w:pPr>
      <w:snapToGrid w:val="0"/>
      <w:ind w:right="100" w:firstLine="200"/>
      <w:jc w:val="right"/>
    </w:pPr>
    <w:rPr>
      <w:rFonts w:ascii="Arial Narrow" w:eastAsia="華康楷書體W5" w:hAnsi="Arial Narrow"/>
      <w:sz w:val="20"/>
    </w:rPr>
  </w:style>
  <w:style w:type="paragraph" w:customStyle="1" w:styleId="af1">
    <w:name w:val="表頭"/>
    <w:basedOn w:val="a"/>
    <w:pPr>
      <w:ind w:left="30" w:right="30"/>
      <w:jc w:val="distribute"/>
    </w:pPr>
    <w:rPr>
      <w:rFonts w:ascii="華康楷書體W5" w:eastAsia="華康楷書體W5"/>
      <w:sz w:val="20"/>
    </w:rPr>
  </w:style>
  <w:style w:type="paragraph" w:customStyle="1" w:styleId="1-3">
    <w:name w:val="欄1-3"/>
    <w:basedOn w:val="a"/>
    <w:pPr>
      <w:spacing w:before="20" w:after="20"/>
      <w:ind w:left="150"/>
      <w:jc w:val="right"/>
    </w:pPr>
    <w:rPr>
      <w:rFonts w:eastAsia="華康楷書體W5"/>
      <w:spacing w:val="10"/>
      <w:sz w:val="19"/>
    </w:rPr>
  </w:style>
  <w:style w:type="paragraph" w:customStyle="1" w:styleId="1-2">
    <w:name w:val="欄1-2"/>
    <w:basedOn w:val="1-3"/>
    <w:pPr>
      <w:ind w:left="75"/>
      <w:jc w:val="distribute"/>
    </w:pPr>
    <w:rPr>
      <w:rFonts w:eastAsia="華康儷中黑"/>
      <w:spacing w:val="6"/>
    </w:rPr>
  </w:style>
  <w:style w:type="paragraph" w:customStyle="1" w:styleId="1-1">
    <w:name w:val="欄1-1"/>
    <w:basedOn w:val="1-2"/>
    <w:pPr>
      <w:ind w:left="0"/>
    </w:pPr>
    <w:rPr>
      <w:sz w:val="21"/>
    </w:rPr>
  </w:style>
  <w:style w:type="paragraph" w:customStyle="1" w:styleId="1-">
    <w:name w:val="欄1-數字"/>
    <w:basedOn w:val="a"/>
    <w:pPr>
      <w:spacing w:before="72" w:after="72"/>
      <w:ind w:left="24" w:right="24"/>
      <w:jc w:val="right"/>
    </w:pPr>
    <w:rPr>
      <w:rFonts w:eastAsia="華康儷中黑"/>
      <w:b/>
      <w:spacing w:val="-6"/>
      <w:w w:val="85"/>
      <w:sz w:val="20"/>
    </w:rPr>
  </w:style>
  <w:style w:type="paragraph" w:customStyle="1" w:styleId="2-">
    <w:name w:val="欄2-數字"/>
    <w:basedOn w:val="a"/>
    <w:pPr>
      <w:spacing w:before="72" w:after="72"/>
      <w:ind w:left="24" w:right="24"/>
      <w:jc w:val="right"/>
    </w:pPr>
    <w:rPr>
      <w:rFonts w:eastAsia="華康楷書體W5"/>
      <w:b/>
      <w:spacing w:val="-6"/>
      <w:w w:val="85"/>
      <w:sz w:val="20"/>
    </w:rPr>
  </w:style>
  <w:style w:type="paragraph" w:customStyle="1" w:styleId="af2">
    <w:name w:val="跨頁標頭"/>
    <w:basedOn w:val="a"/>
    <w:pPr>
      <w:spacing w:after="180"/>
      <w:jc w:val="right"/>
    </w:pPr>
    <w:rPr>
      <w:rFonts w:ascii="華康楷書體W5" w:eastAsia="華康楷書體W5"/>
      <w:b/>
      <w:spacing w:val="60"/>
      <w:sz w:val="30"/>
      <w:u w:val="single"/>
    </w:rPr>
  </w:style>
  <w:style w:type="paragraph" w:customStyle="1" w:styleId="af3">
    <w:name w:val="甲乙丙"/>
    <w:basedOn w:val="a"/>
    <w:pPr>
      <w:spacing w:after="360" w:line="360" w:lineRule="auto"/>
      <w:jc w:val="center"/>
    </w:pPr>
    <w:rPr>
      <w:rFonts w:ascii="標楷體" w:eastAsia="標楷體"/>
      <w:b/>
      <w:spacing w:val="-10"/>
      <w:sz w:val="40"/>
    </w:rPr>
  </w:style>
  <w:style w:type="paragraph" w:styleId="af4">
    <w:name w:val="Date"/>
    <w:basedOn w:val="a"/>
    <w:next w:val="a"/>
    <w:link w:val="af5"/>
    <w:pPr>
      <w:jc w:val="right"/>
    </w:pPr>
    <w:rPr>
      <w:rFonts w:ascii="標楷體" w:eastAsia="標楷體"/>
      <w:sz w:val="32"/>
    </w:rPr>
  </w:style>
  <w:style w:type="paragraph" w:customStyle="1" w:styleId="af6">
    <w:name w:val="註"/>
    <w:basedOn w:val="a"/>
    <w:qFormat/>
    <w:pPr>
      <w:spacing w:beforeLines="30" w:before="108" w:afterLines="30" w:after="108" w:line="460" w:lineRule="exact"/>
      <w:jc w:val="both"/>
    </w:pPr>
    <w:rPr>
      <w:rFonts w:eastAsia="華康楷書體W5"/>
      <w:spacing w:val="4"/>
      <w:sz w:val="20"/>
    </w:rPr>
  </w:style>
  <w:style w:type="paragraph" w:customStyle="1" w:styleId="af7">
    <w:name w:val="標題一、"/>
    <w:basedOn w:val="a"/>
    <w:pPr>
      <w:spacing w:beforeLines="20" w:afterLines="20" w:line="400" w:lineRule="exact"/>
      <w:ind w:leftChars="100" w:left="310" w:hangingChars="210" w:hanging="210"/>
      <w:jc w:val="both"/>
    </w:pPr>
    <w:rPr>
      <w:rFonts w:eastAsia="標楷體"/>
      <w:bCs/>
      <w:sz w:val="32"/>
      <w:szCs w:val="32"/>
    </w:rPr>
  </w:style>
  <w:style w:type="paragraph" w:customStyle="1" w:styleId="af8">
    <w:name w:val="標題甲、"/>
    <w:basedOn w:val="a"/>
    <w:pPr>
      <w:spacing w:beforeLines="50"/>
      <w:jc w:val="center"/>
    </w:pPr>
    <w:rPr>
      <w:rFonts w:eastAsia="標楷體" w:cs="Century"/>
      <w:b/>
      <w:bCs/>
      <w:sz w:val="40"/>
    </w:rPr>
  </w:style>
  <w:style w:type="paragraph" w:customStyle="1" w:styleId="af9">
    <w:name w:val="標題（一）"/>
    <w:basedOn w:val="af8"/>
    <w:pPr>
      <w:spacing w:beforeLines="20" w:before="20" w:afterLines="20" w:after="20" w:line="400" w:lineRule="exact"/>
      <w:ind w:firstLineChars="200" w:firstLine="200"/>
      <w:jc w:val="both"/>
    </w:pPr>
    <w:rPr>
      <w:rFonts w:cs="新細明體"/>
      <w:sz w:val="28"/>
      <w:szCs w:val="28"/>
    </w:rPr>
  </w:style>
  <w:style w:type="paragraph" w:customStyle="1" w:styleId="1-0">
    <w:name w:val="表格欄1-數字主管"/>
    <w:basedOn w:val="a"/>
    <w:pPr>
      <w:jc w:val="right"/>
    </w:pPr>
    <w:rPr>
      <w:rFonts w:ascii="細明體" w:eastAsia="細明體" w:hAnsi="Arial"/>
      <w:b/>
      <w:bCs/>
      <w:w w:val="90"/>
      <w:sz w:val="20"/>
    </w:rPr>
  </w:style>
  <w:style w:type="paragraph" w:customStyle="1" w:styleId="afa">
    <w:name w:val="乙篇主文 字元"/>
    <w:basedOn w:val="a"/>
    <w:pPr>
      <w:spacing w:line="400" w:lineRule="exact"/>
      <w:ind w:firstLineChars="200" w:firstLine="200"/>
      <w:jc w:val="both"/>
    </w:pPr>
    <w:rPr>
      <w:rFonts w:ascii="標楷體" w:eastAsia="標楷體"/>
      <w:szCs w:val="24"/>
    </w:rPr>
  </w:style>
  <w:style w:type="paragraph" w:customStyle="1" w:styleId="23">
    <w:name w:val="表格欄2數字"/>
    <w:basedOn w:val="1-0"/>
    <w:rPr>
      <w:sz w:val="18"/>
    </w:rPr>
  </w:style>
  <w:style w:type="paragraph" w:customStyle="1" w:styleId="33">
    <w:name w:val="表格欄3數字"/>
    <w:basedOn w:val="23"/>
    <w:rPr>
      <w:b w:val="0"/>
    </w:rPr>
  </w:style>
  <w:style w:type="paragraph" w:customStyle="1" w:styleId="1-10">
    <w:name w:val="表格欄1-1主管"/>
    <w:basedOn w:val="a"/>
    <w:pPr>
      <w:jc w:val="distribute"/>
    </w:pPr>
    <w:rPr>
      <w:rFonts w:eastAsia="標楷體" w:cs="新細明體"/>
      <w:b/>
      <w:sz w:val="20"/>
    </w:rPr>
  </w:style>
  <w:style w:type="paragraph" w:customStyle="1" w:styleId="1-20">
    <w:name w:val="表格欄1-2"/>
    <w:basedOn w:val="a"/>
    <w:pPr>
      <w:ind w:firstLineChars="100" w:firstLine="100"/>
      <w:jc w:val="distribute"/>
    </w:pPr>
    <w:rPr>
      <w:rFonts w:eastAsia="標楷體" w:cs="新細明體"/>
      <w:b/>
      <w:sz w:val="20"/>
      <w:szCs w:val="18"/>
    </w:rPr>
  </w:style>
  <w:style w:type="paragraph" w:customStyle="1" w:styleId="1-31">
    <w:name w:val="表格欄1-3退1"/>
    <w:basedOn w:val="a"/>
    <w:pPr>
      <w:ind w:firstLineChars="100" w:firstLine="100"/>
      <w:jc w:val="distribute"/>
    </w:pPr>
    <w:rPr>
      <w:rFonts w:eastAsia="標楷體" w:cs="新細明體"/>
      <w:sz w:val="18"/>
      <w:szCs w:val="18"/>
    </w:rPr>
  </w:style>
  <w:style w:type="paragraph" w:customStyle="1" w:styleId="1-32">
    <w:name w:val="表格欄1-3退2"/>
    <w:basedOn w:val="1-31"/>
    <w:pPr>
      <w:ind w:firstLineChars="200" w:firstLine="200"/>
    </w:pPr>
  </w:style>
  <w:style w:type="paragraph" w:styleId="afb">
    <w:name w:val="Balloon Text"/>
    <w:basedOn w:val="a"/>
    <w:link w:val="afc"/>
    <w:uiPriority w:val="99"/>
    <w:rPr>
      <w:rFonts w:ascii="Arial" w:hAnsi="Arial"/>
      <w:sz w:val="18"/>
      <w:szCs w:val="18"/>
    </w:rPr>
  </w:style>
  <w:style w:type="paragraph" w:customStyle="1" w:styleId="afd">
    <w:name w:val="標題壹、"/>
    <w:basedOn w:val="a"/>
    <w:link w:val="afe"/>
    <w:pPr>
      <w:spacing w:line="360" w:lineRule="auto"/>
      <w:jc w:val="both"/>
    </w:pPr>
    <w:rPr>
      <w:rFonts w:eastAsia="標楷體" w:cs="新細明體"/>
      <w:b/>
      <w:bCs/>
      <w:sz w:val="36"/>
      <w:szCs w:val="36"/>
    </w:rPr>
  </w:style>
  <w:style w:type="paragraph" w:customStyle="1" w:styleId="aff">
    <w:name w:val="乙篇主文 字元 字元"/>
    <w:basedOn w:val="a"/>
    <w:pPr>
      <w:spacing w:line="400" w:lineRule="exact"/>
      <w:ind w:firstLineChars="200" w:firstLine="200"/>
      <w:jc w:val="both"/>
    </w:pPr>
    <w:rPr>
      <w:rFonts w:ascii="標楷體" w:eastAsia="標楷體"/>
      <w:szCs w:val="24"/>
    </w:rPr>
  </w:style>
  <w:style w:type="character" w:customStyle="1" w:styleId="aff0">
    <w:name w:val="乙篇主文 字元 字元 字元"/>
    <w:rPr>
      <w:rFonts w:ascii="標楷體" w:eastAsia="標楷體"/>
      <w:kern w:val="2"/>
      <w:sz w:val="24"/>
      <w:szCs w:val="24"/>
      <w:lang w:val="en-US" w:eastAsia="zh-TW" w:bidi="ar-SA"/>
    </w:rPr>
  </w:style>
  <w:style w:type="character" w:styleId="aff1">
    <w:name w:val="Hyperlink"/>
    <w:uiPriority w:val="99"/>
    <w:rPr>
      <w:color w:val="0000FF"/>
      <w:u w:val="single"/>
    </w:rPr>
  </w:style>
  <w:style w:type="paragraph" w:customStyle="1" w:styleId="aff2">
    <w:name w:val="標題（一） 字元"/>
    <w:basedOn w:val="a"/>
    <w:pPr>
      <w:spacing w:before="20" w:after="20" w:line="400" w:lineRule="exact"/>
      <w:ind w:firstLine="200"/>
      <w:jc w:val="both"/>
    </w:pPr>
    <w:rPr>
      <w:rFonts w:eastAsia="標楷體"/>
      <w:b/>
      <w:sz w:val="28"/>
    </w:rPr>
  </w:style>
  <w:style w:type="paragraph" w:customStyle="1" w:styleId="12">
    <w:name w:val="(1)內文"/>
    <w:basedOn w:val="a"/>
    <w:pPr>
      <w:kinsoku w:val="0"/>
      <w:adjustRightInd w:val="0"/>
      <w:snapToGrid w:val="0"/>
      <w:spacing w:line="240" w:lineRule="atLeast"/>
      <w:ind w:leftChars="551" w:left="1763" w:firstLineChars="204" w:firstLine="645"/>
      <w:jc w:val="both"/>
      <w:textAlignment w:val="baseline"/>
    </w:pPr>
    <w:rPr>
      <w:rFonts w:ascii="標楷體" w:eastAsia="標楷體" w:hAnsi="標楷體"/>
      <w:snapToGrid w:val="0"/>
      <w:spacing w:val="-2"/>
      <w:kern w:val="0"/>
      <w:sz w:val="32"/>
      <w:szCs w:val="32"/>
    </w:rPr>
  </w:style>
  <w:style w:type="paragraph" w:customStyle="1" w:styleId="aff3">
    <w:name w:val="壹"/>
    <w:basedOn w:val="a7"/>
    <w:pPr>
      <w:jc w:val="both"/>
    </w:pPr>
    <w:rPr>
      <w:rFonts w:ascii="標楷體" w:eastAsia="標楷體"/>
      <w:b/>
      <w:sz w:val="30"/>
    </w:rPr>
  </w:style>
  <w:style w:type="paragraph" w:styleId="24">
    <w:name w:val="Body Text Indent 2"/>
    <w:basedOn w:val="a"/>
    <w:link w:val="25"/>
    <w:pPr>
      <w:spacing w:after="120" w:line="480" w:lineRule="auto"/>
      <w:ind w:leftChars="200" w:left="480"/>
    </w:pPr>
  </w:style>
  <w:style w:type="character" w:customStyle="1" w:styleId="aff4">
    <w:name w:val="內文壹 字元"/>
    <w:aliases w:val="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字元,純文字 字元,一般文字 字元 字元 字元 字元 字元 字元 字元 字元 字元 字元 字元 字元 字元 字元 字元"/>
    <w:rPr>
      <w:rFonts w:ascii="細明體" w:eastAsia="細明體" w:hAnsi="Courier New"/>
      <w:kern w:val="2"/>
      <w:sz w:val="24"/>
      <w:lang w:val="en-US" w:eastAsia="zh-TW" w:bidi="ar-SA"/>
    </w:rPr>
  </w:style>
  <w:style w:type="paragraph" w:customStyle="1" w:styleId="13">
    <w:name w:val="標題1."/>
    <w:basedOn w:val="a"/>
    <w:pPr>
      <w:spacing w:line="400" w:lineRule="exact"/>
      <w:ind w:firstLineChars="450" w:firstLine="450"/>
      <w:jc w:val="both"/>
    </w:pPr>
    <w:rPr>
      <w:rFonts w:ascii="標楷體" w:eastAsia="標楷體" w:cs="新細明體"/>
      <w:bCs/>
      <w:szCs w:val="24"/>
    </w:rPr>
  </w:style>
  <w:style w:type="character" w:customStyle="1" w:styleId="110">
    <w:name w:val="標題1. 字元1"/>
    <w:rPr>
      <w:rFonts w:ascii="標楷體" w:eastAsia="標楷體" w:cs="新細明體"/>
      <w:bCs/>
      <w:kern w:val="2"/>
      <w:sz w:val="24"/>
      <w:szCs w:val="24"/>
      <w:lang w:val="en-US" w:eastAsia="zh-TW" w:bidi="ar-SA"/>
    </w:rPr>
  </w:style>
  <w:style w:type="paragraph" w:customStyle="1" w:styleId="aff5">
    <w:name w:val="乙篇主文"/>
    <w:basedOn w:val="a"/>
    <w:pPr>
      <w:spacing w:line="400" w:lineRule="exact"/>
      <w:ind w:firstLineChars="200" w:firstLine="200"/>
      <w:jc w:val="both"/>
    </w:pPr>
    <w:rPr>
      <w:rFonts w:ascii="標楷體" w:eastAsia="標楷體"/>
      <w:szCs w:val="24"/>
    </w:rPr>
  </w:style>
  <w:style w:type="character" w:customStyle="1" w:styleId="14">
    <w:name w:val="標題（一） 字元1"/>
    <w:uiPriority w:val="99"/>
    <w:rPr>
      <w:rFonts w:eastAsia="標楷體" w:cs="新細明體"/>
      <w:b/>
      <w:bCs/>
      <w:kern w:val="2"/>
      <w:sz w:val="28"/>
      <w:szCs w:val="28"/>
      <w:lang w:val="en-US" w:eastAsia="zh-TW" w:bidi="ar-SA"/>
    </w:rPr>
  </w:style>
  <w:style w:type="paragraph" w:customStyle="1" w:styleId="1-310">
    <w:name w:val="表格欄1-3退1 字元"/>
    <w:basedOn w:val="a"/>
    <w:pPr>
      <w:ind w:firstLineChars="100" w:firstLine="100"/>
      <w:jc w:val="distribute"/>
    </w:pPr>
    <w:rPr>
      <w:rFonts w:eastAsia="標楷體"/>
      <w:sz w:val="18"/>
      <w:szCs w:val="18"/>
    </w:rPr>
  </w:style>
  <w:style w:type="paragraph" w:styleId="aff6">
    <w:name w:val="annotation text"/>
    <w:basedOn w:val="a"/>
    <w:link w:val="aff7"/>
    <w:semiHidden/>
    <w:rPr>
      <w:sz w:val="20"/>
    </w:rPr>
  </w:style>
  <w:style w:type="paragraph" w:customStyle="1" w:styleId="aff8">
    <w:name w:val="查核事實"/>
    <w:basedOn w:val="a"/>
    <w:pPr>
      <w:spacing w:line="560" w:lineRule="exact"/>
      <w:ind w:leftChars="100" w:left="240"/>
    </w:pPr>
    <w:rPr>
      <w:rFonts w:ascii="標楷體" w:eastAsia="標楷體" w:hAnsi="標楷體"/>
      <w:b/>
      <w:sz w:val="32"/>
      <w:szCs w:val="32"/>
    </w:rPr>
  </w:style>
  <w:style w:type="paragraph" w:customStyle="1" w:styleId="15">
    <w:name w:val="(1)"/>
    <w:basedOn w:val="a7"/>
    <w:pPr>
      <w:snapToGrid w:val="0"/>
      <w:spacing w:line="600" w:lineRule="exact"/>
      <w:ind w:left="994" w:hanging="350"/>
      <w:jc w:val="both"/>
    </w:pPr>
    <w:rPr>
      <w:rFonts w:ascii="標楷體" w:eastAsia="標楷體" w:hAnsi="標楷體"/>
      <w:spacing w:val="-2"/>
      <w:sz w:val="32"/>
      <w:szCs w:val="32"/>
    </w:rPr>
  </w:style>
  <w:style w:type="character" w:customStyle="1" w:styleId="st1">
    <w:name w:val="st1"/>
  </w:style>
  <w:style w:type="paragraph" w:customStyle="1" w:styleId="aff9">
    <w:name w:val="說明"/>
    <w:basedOn w:val="ab"/>
    <w:pPr>
      <w:spacing w:beforeLines="0" w:before="0" w:line="640" w:lineRule="exact"/>
      <w:ind w:left="952" w:firstLineChars="0" w:hanging="952"/>
      <w:jc w:val="left"/>
    </w:pPr>
    <w:rPr>
      <w:rFonts w:ascii="Arial" w:hAnsi="Arial"/>
      <w:sz w:val="32"/>
      <w:szCs w:val="24"/>
    </w:rPr>
  </w:style>
  <w:style w:type="paragraph" w:customStyle="1" w:styleId="affa">
    <w:name w:val="副本"/>
    <w:basedOn w:val="34"/>
    <w:pPr>
      <w:snapToGrid w:val="0"/>
      <w:spacing w:after="0" w:line="300" w:lineRule="exact"/>
      <w:ind w:left="720" w:hanging="720"/>
    </w:pPr>
    <w:rPr>
      <w:rFonts w:ascii="Arial" w:eastAsia="標楷體" w:hAnsi="Arial"/>
      <w:sz w:val="24"/>
    </w:rPr>
  </w:style>
  <w:style w:type="paragraph" w:styleId="34">
    <w:name w:val="Body Text Indent 3"/>
    <w:basedOn w:val="a"/>
    <w:link w:val="35"/>
    <w:pPr>
      <w:spacing w:after="120"/>
      <w:ind w:left="480"/>
    </w:pPr>
    <w:rPr>
      <w:sz w:val="16"/>
      <w:szCs w:val="24"/>
    </w:rPr>
  </w:style>
  <w:style w:type="paragraph" w:customStyle="1" w:styleId="affb">
    <w:name w:val="大項"/>
    <w:basedOn w:val="a"/>
    <w:pPr>
      <w:kinsoku w:val="0"/>
      <w:adjustRightInd w:val="0"/>
      <w:spacing w:line="440" w:lineRule="atLeast"/>
      <w:ind w:left="1260" w:hanging="644"/>
      <w:textAlignment w:val="baseline"/>
    </w:pPr>
    <w:rPr>
      <w:rFonts w:ascii="標楷體" w:eastAsia="標楷體"/>
      <w:kern w:val="0"/>
      <w:sz w:val="32"/>
    </w:rPr>
  </w:style>
  <w:style w:type="character" w:customStyle="1" w:styleId="16">
    <w:name w:val="標題1. 字元"/>
    <w:rPr>
      <w:rFonts w:ascii="標楷體" w:eastAsia="標楷體" w:cs="新細明體"/>
      <w:bCs/>
      <w:kern w:val="2"/>
      <w:sz w:val="24"/>
      <w:szCs w:val="24"/>
      <w:lang w:val="en-US" w:eastAsia="zh-TW" w:bidi="ar-SA"/>
    </w:rPr>
  </w:style>
  <w:style w:type="character" w:customStyle="1" w:styleId="affc">
    <w:name w:val="頁首 字元 字元 字元 字元"/>
    <w:rPr>
      <w:rFonts w:eastAsia="新細明體"/>
      <w:kern w:val="2"/>
      <w:lang w:val="en-US" w:eastAsia="zh-TW" w:bidi="ar-SA"/>
    </w:rPr>
  </w:style>
  <w:style w:type="paragraph" w:customStyle="1" w:styleId="Default">
    <w:name w:val="Default"/>
    <w:pPr>
      <w:widowControl w:val="0"/>
      <w:autoSpaceDE w:val="0"/>
      <w:autoSpaceDN w:val="0"/>
      <w:adjustRightInd w:val="0"/>
    </w:pPr>
    <w:rPr>
      <w:rFonts w:ascii="標楷體a分..." w:eastAsia="標楷體a分..."/>
      <w:color w:val="000000"/>
      <w:sz w:val="24"/>
      <w:szCs w:val="24"/>
    </w:rPr>
  </w:style>
  <w:style w:type="character" w:styleId="affd">
    <w:name w:val="FollowedHyperlink"/>
    <w:rPr>
      <w:color w:val="800080"/>
      <w:u w:val="single"/>
    </w:rPr>
  </w:style>
  <w:style w:type="paragraph" w:customStyle="1" w:styleId="affe">
    <w:name w:val="(一)文"/>
    <w:basedOn w:val="a"/>
    <w:qFormat/>
    <w:rsid w:val="00B06761"/>
    <w:pPr>
      <w:snapToGrid w:val="0"/>
      <w:spacing w:line="560" w:lineRule="exact"/>
      <w:ind w:left="910" w:firstLineChars="192" w:firstLine="614"/>
      <w:jc w:val="both"/>
    </w:pPr>
    <w:rPr>
      <w:rFonts w:ascii="標楷體" w:eastAsia="標楷體" w:hAnsi="標楷體" w:cs="Arial"/>
      <w:sz w:val="32"/>
      <w:szCs w:val="32"/>
    </w:rPr>
  </w:style>
  <w:style w:type="table" w:styleId="afff">
    <w:name w:val="Table Grid"/>
    <w:basedOn w:val="a1"/>
    <w:uiPriority w:val="39"/>
    <w:qFormat/>
    <w:rsid w:val="007C2042"/>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0">
    <w:name w:val="一"/>
    <w:basedOn w:val="a"/>
    <w:qFormat/>
    <w:rsid w:val="00D54867"/>
    <w:pPr>
      <w:snapToGrid w:val="0"/>
      <w:spacing w:line="360" w:lineRule="auto"/>
      <w:ind w:firstLineChars="100" w:firstLine="316"/>
      <w:jc w:val="both"/>
      <w:outlineLvl w:val="2"/>
    </w:pPr>
    <w:rPr>
      <w:rFonts w:ascii="標楷體" w:eastAsia="標楷體" w:hAnsi="標楷體" w:cs="DFKaiShu-SB-Estd-BF"/>
      <w:bCs/>
      <w:color w:val="000000"/>
      <w:spacing w:val="-2"/>
      <w:kern w:val="0"/>
      <w:sz w:val="32"/>
      <w:szCs w:val="28"/>
    </w:rPr>
  </w:style>
  <w:style w:type="paragraph" w:styleId="afff1">
    <w:name w:val="Block Text"/>
    <w:basedOn w:val="a"/>
    <w:rsid w:val="003B62CC"/>
    <w:pPr>
      <w:overflowPunct w:val="0"/>
      <w:snapToGrid w:val="0"/>
      <w:spacing w:beforeLines="50" w:before="180" w:line="360" w:lineRule="auto"/>
      <w:ind w:leftChars="95" w:left="304" w:right="-159" w:firstLineChars="207" w:firstLine="663"/>
      <w:jc w:val="both"/>
    </w:pPr>
    <w:rPr>
      <w:rFonts w:ascii="標楷體" w:eastAsia="標楷體" w:hAnsi="標楷體"/>
      <w:b/>
      <w:bCs/>
      <w:kern w:val="0"/>
      <w:sz w:val="32"/>
      <w:szCs w:val="32"/>
    </w:rPr>
  </w:style>
  <w:style w:type="paragraph" w:customStyle="1" w:styleId="a20">
    <w:name w:val="a2"/>
    <w:basedOn w:val="a"/>
    <w:rsid w:val="000B20B9"/>
    <w:pPr>
      <w:widowControl/>
      <w:spacing w:before="100" w:beforeAutospacing="1" w:after="100" w:afterAutospacing="1"/>
    </w:pPr>
    <w:rPr>
      <w:rFonts w:ascii="新細明體" w:hAnsi="新細明體"/>
      <w:kern w:val="0"/>
      <w:szCs w:val="24"/>
    </w:rPr>
  </w:style>
  <w:style w:type="paragraph" w:customStyle="1" w:styleId="afff2">
    <w:name w:val="字元 字元 字元"/>
    <w:basedOn w:val="a"/>
    <w:semiHidden/>
    <w:rsid w:val="00F32644"/>
    <w:pPr>
      <w:widowControl/>
      <w:spacing w:after="160" w:line="240" w:lineRule="exact"/>
    </w:pPr>
    <w:rPr>
      <w:rFonts w:ascii="Verdana" w:eastAsia="Times New Roman" w:hAnsi="Verdana"/>
      <w:kern w:val="0"/>
      <w:sz w:val="20"/>
      <w:lang w:eastAsia="en-US"/>
    </w:rPr>
  </w:style>
  <w:style w:type="paragraph" w:styleId="afff3">
    <w:name w:val="caption"/>
    <w:basedOn w:val="a"/>
    <w:next w:val="a"/>
    <w:qFormat/>
    <w:rsid w:val="003A7F81"/>
    <w:rPr>
      <w:sz w:val="20"/>
    </w:rPr>
  </w:style>
  <w:style w:type="paragraph" w:customStyle="1" w:styleId="xl56">
    <w:name w:val="xl56"/>
    <w:basedOn w:val="a"/>
    <w:rsid w:val="00561C2A"/>
    <w:pPr>
      <w:widowControl/>
      <w:pBdr>
        <w:left w:val="single" w:sz="4" w:space="0" w:color="auto"/>
        <w:right w:val="single" w:sz="4" w:space="0" w:color="auto"/>
      </w:pBdr>
      <w:spacing w:before="100" w:beforeAutospacing="1" w:after="100" w:afterAutospacing="1"/>
      <w:jc w:val="center"/>
      <w:textAlignment w:val="center"/>
    </w:pPr>
    <w:rPr>
      <w:rFonts w:ascii="新細明體" w:hAnsi="新細明體" w:hint="eastAsia"/>
      <w:b/>
      <w:bCs/>
      <w:kern w:val="0"/>
      <w:sz w:val="20"/>
    </w:rPr>
  </w:style>
  <w:style w:type="paragraph" w:customStyle="1" w:styleId="xl46">
    <w:name w:val="xl46"/>
    <w:basedOn w:val="a"/>
    <w:rsid w:val="000703B9"/>
    <w:pPr>
      <w:widowControl/>
      <w:pBdr>
        <w:bottom w:val="single" w:sz="4" w:space="0" w:color="auto"/>
        <w:right w:val="single" w:sz="4" w:space="0" w:color="auto"/>
      </w:pBdr>
      <w:spacing w:before="100" w:beforeAutospacing="1" w:after="100" w:afterAutospacing="1"/>
      <w:jc w:val="center"/>
      <w:textAlignment w:val="center"/>
    </w:pPr>
    <w:rPr>
      <w:rFonts w:ascii="新細明體" w:hAnsi="新細明體"/>
      <w:kern w:val="0"/>
      <w:szCs w:val="24"/>
    </w:rPr>
  </w:style>
  <w:style w:type="paragraph" w:styleId="afff4">
    <w:name w:val="footnote text"/>
    <w:aliases w:val="註腳文字 字元 字元, 字元,註腳文字(博銘), 字元 字元 字元"/>
    <w:basedOn w:val="a"/>
    <w:link w:val="afff5"/>
    <w:uiPriority w:val="99"/>
    <w:rsid w:val="00403719"/>
    <w:pPr>
      <w:snapToGrid w:val="0"/>
    </w:pPr>
    <w:rPr>
      <w:sz w:val="20"/>
    </w:rPr>
  </w:style>
  <w:style w:type="character" w:customStyle="1" w:styleId="afff5">
    <w:name w:val="註腳文字 字元"/>
    <w:aliases w:val="註腳文字 字元 字元 字元, 字元 字元,註腳文字(博銘) 字元, 字元 字元 字元 字元"/>
    <w:link w:val="afff4"/>
    <w:rsid w:val="00403719"/>
    <w:rPr>
      <w:rFonts w:eastAsia="新細明體"/>
      <w:kern w:val="2"/>
      <w:lang w:val="en-US" w:eastAsia="zh-TW" w:bidi="ar-SA"/>
    </w:rPr>
  </w:style>
  <w:style w:type="character" w:styleId="afff6">
    <w:name w:val="footnote reference"/>
    <w:aliases w:val="FR,Ref,de nota al pie,註腳內容,Error-Fußnotenzeichen5,Error-Fußnotenzeichen6,Error-Fußnotenzeichen3,Error-Fusnotßnotenzeichen5,Error-Fußnotenzeic"/>
    <w:uiPriority w:val="99"/>
    <w:rsid w:val="00403719"/>
    <w:rPr>
      <w:vertAlign w:val="superscript"/>
    </w:rPr>
  </w:style>
  <w:style w:type="paragraph" w:customStyle="1" w:styleId="17">
    <w:name w:val="標題1.加粗"/>
    <w:basedOn w:val="a"/>
    <w:link w:val="18"/>
    <w:rsid w:val="00D53829"/>
    <w:pPr>
      <w:spacing w:line="400" w:lineRule="exact"/>
      <w:ind w:firstLineChars="450" w:firstLine="1080"/>
      <w:jc w:val="both"/>
    </w:pPr>
    <w:rPr>
      <w:rFonts w:ascii="標楷體" w:eastAsia="標楷體" w:cs="新細明體"/>
      <w:b/>
      <w:bCs/>
      <w:sz w:val="28"/>
      <w:szCs w:val="28"/>
    </w:rPr>
  </w:style>
  <w:style w:type="character" w:customStyle="1" w:styleId="18">
    <w:name w:val="標題1.加粗 字元"/>
    <w:link w:val="17"/>
    <w:rsid w:val="00D53829"/>
    <w:rPr>
      <w:rFonts w:ascii="標楷體" w:eastAsia="標楷體" w:cs="新細明體"/>
      <w:b/>
      <w:bCs/>
      <w:kern w:val="2"/>
      <w:sz w:val="28"/>
      <w:szCs w:val="28"/>
      <w:lang w:val="en-US" w:eastAsia="zh-TW" w:bidi="ar-SA"/>
    </w:rPr>
  </w:style>
  <w:style w:type="character" w:styleId="afff7">
    <w:name w:val="annotation reference"/>
    <w:semiHidden/>
    <w:rsid w:val="002C696E"/>
    <w:rPr>
      <w:sz w:val="18"/>
    </w:rPr>
  </w:style>
  <w:style w:type="paragraph" w:customStyle="1" w:styleId="19">
    <w:name w:val="內文+1"/>
    <w:basedOn w:val="a"/>
    <w:next w:val="a"/>
    <w:rsid w:val="00154DED"/>
    <w:pPr>
      <w:autoSpaceDE w:val="0"/>
      <w:autoSpaceDN w:val="0"/>
      <w:adjustRightInd w:val="0"/>
    </w:pPr>
    <w:rPr>
      <w:kern w:val="0"/>
      <w:szCs w:val="24"/>
    </w:rPr>
  </w:style>
  <w:style w:type="character" w:customStyle="1" w:styleId="ac">
    <w:name w:val="本文縮排 字元"/>
    <w:link w:val="ab"/>
    <w:rsid w:val="007A4881"/>
    <w:rPr>
      <w:rFonts w:ascii="標楷體" w:eastAsia="標楷體"/>
      <w:kern w:val="2"/>
      <w:sz w:val="28"/>
      <w:lang w:val="en-US" w:eastAsia="zh-TW" w:bidi="ar-SA"/>
    </w:rPr>
  </w:style>
  <w:style w:type="character" w:customStyle="1" w:styleId="1a">
    <w:name w:val="乙篇主文 字元 字元 字元1"/>
    <w:link w:val="1b"/>
    <w:locked/>
    <w:rsid w:val="003E2C52"/>
    <w:rPr>
      <w:rFonts w:ascii="標楷體" w:eastAsia="標楷體"/>
      <w:kern w:val="2"/>
      <w:sz w:val="24"/>
      <w:szCs w:val="24"/>
      <w:lang w:val="en-US" w:eastAsia="zh-TW" w:bidi="ar-SA"/>
    </w:rPr>
  </w:style>
  <w:style w:type="paragraph" w:customStyle="1" w:styleId="1b">
    <w:name w:val="乙篇主文 字元 字元1"/>
    <w:basedOn w:val="a"/>
    <w:link w:val="1a"/>
    <w:rsid w:val="007A547D"/>
    <w:pPr>
      <w:spacing w:line="400" w:lineRule="exact"/>
      <w:ind w:firstLineChars="200" w:firstLine="200"/>
      <w:jc w:val="both"/>
    </w:pPr>
    <w:rPr>
      <w:rFonts w:ascii="標楷體" w:eastAsia="標楷體"/>
      <w:szCs w:val="24"/>
    </w:rPr>
  </w:style>
  <w:style w:type="paragraph" w:styleId="afff8">
    <w:name w:val="annotation subject"/>
    <w:basedOn w:val="aff6"/>
    <w:next w:val="aff6"/>
    <w:link w:val="afff9"/>
    <w:rsid w:val="005276FD"/>
    <w:rPr>
      <w:b/>
      <w:bCs/>
      <w:sz w:val="24"/>
    </w:rPr>
  </w:style>
  <w:style w:type="character" w:customStyle="1" w:styleId="aff7">
    <w:name w:val="註解文字 字元"/>
    <w:link w:val="aff6"/>
    <w:semiHidden/>
    <w:rsid w:val="005276FD"/>
    <w:rPr>
      <w:kern w:val="2"/>
    </w:rPr>
  </w:style>
  <w:style w:type="character" w:customStyle="1" w:styleId="afff9">
    <w:name w:val="註解主旨 字元"/>
    <w:link w:val="afff8"/>
    <w:rsid w:val="005276FD"/>
    <w:rPr>
      <w:b/>
      <w:bCs/>
      <w:kern w:val="2"/>
      <w:sz w:val="24"/>
    </w:rPr>
  </w:style>
  <w:style w:type="character" w:customStyle="1" w:styleId="11">
    <w:name w:val="標題 1 字元"/>
    <w:link w:val="10"/>
    <w:rsid w:val="00841FDA"/>
    <w:rPr>
      <w:rFonts w:ascii="Cambria" w:hAnsi="Cambria"/>
      <w:b/>
      <w:bCs/>
      <w:kern w:val="52"/>
      <w:sz w:val="52"/>
      <w:szCs w:val="52"/>
    </w:rPr>
  </w:style>
  <w:style w:type="paragraph" w:customStyle="1" w:styleId="1c">
    <w:name w:val="字元 字元 字元1"/>
    <w:basedOn w:val="a"/>
    <w:semiHidden/>
    <w:rsid w:val="00841FDA"/>
    <w:pPr>
      <w:widowControl/>
      <w:spacing w:after="160" w:line="240" w:lineRule="exact"/>
    </w:pPr>
    <w:rPr>
      <w:rFonts w:ascii="Verdana" w:eastAsia="Times New Roman" w:hAnsi="Verdana"/>
      <w:kern w:val="0"/>
      <w:sz w:val="20"/>
      <w:lang w:eastAsia="en-US"/>
    </w:rPr>
  </w:style>
  <w:style w:type="paragraph" w:styleId="afffa">
    <w:name w:val="List Paragraph"/>
    <w:basedOn w:val="a"/>
    <w:link w:val="afffb"/>
    <w:uiPriority w:val="34"/>
    <w:qFormat/>
    <w:rsid w:val="00841FDA"/>
    <w:pPr>
      <w:ind w:leftChars="200" w:left="480"/>
    </w:pPr>
  </w:style>
  <w:style w:type="paragraph" w:styleId="Web">
    <w:name w:val="Normal (Web)"/>
    <w:basedOn w:val="a"/>
    <w:uiPriority w:val="99"/>
    <w:unhideWhenUsed/>
    <w:rsid w:val="00841FDA"/>
    <w:pPr>
      <w:widowControl/>
      <w:spacing w:before="100" w:beforeAutospacing="1" w:after="100" w:afterAutospacing="1"/>
    </w:pPr>
    <w:rPr>
      <w:rFonts w:ascii="新細明體" w:hAnsi="新細明體" w:cs="新細明體"/>
      <w:kern w:val="0"/>
      <w:szCs w:val="24"/>
    </w:rPr>
  </w:style>
  <w:style w:type="paragraph" w:customStyle="1" w:styleId="NNN">
    <w:name w:val="(一)文NNN"/>
    <w:basedOn w:val="a"/>
    <w:qFormat/>
    <w:rsid w:val="00FA1D86"/>
    <w:pPr>
      <w:snapToGrid w:val="0"/>
      <w:spacing w:line="560" w:lineRule="exact"/>
      <w:ind w:left="924" w:firstLine="685"/>
      <w:jc w:val="both"/>
    </w:pPr>
    <w:rPr>
      <w:rFonts w:eastAsia="標楷體"/>
      <w:sz w:val="32"/>
      <w:szCs w:val="32"/>
    </w:rPr>
  </w:style>
  <w:style w:type="character" w:customStyle="1" w:styleId="mainfont13">
    <w:name w:val="main_font13"/>
    <w:rsid w:val="005F1626"/>
  </w:style>
  <w:style w:type="paragraph" w:customStyle="1" w:styleId="afffc">
    <w:name w:val="一內凹"/>
    <w:basedOn w:val="af7"/>
    <w:link w:val="afffd"/>
    <w:qFormat/>
    <w:rsid w:val="007D62A8"/>
    <w:pPr>
      <w:overflowPunct w:val="0"/>
      <w:spacing w:beforeLines="0" w:afterLines="0" w:line="420" w:lineRule="exact"/>
      <w:ind w:leftChars="0" w:left="0" w:firstLineChars="200" w:firstLine="480"/>
    </w:pPr>
    <w:rPr>
      <w:rFonts w:ascii="標楷體" w:hAnsi="標楷體" w:cs="新細明體"/>
      <w:sz w:val="24"/>
    </w:rPr>
  </w:style>
  <w:style w:type="character" w:customStyle="1" w:styleId="afffd">
    <w:name w:val="一內凹 字元"/>
    <w:link w:val="afffc"/>
    <w:rsid w:val="007D62A8"/>
    <w:rPr>
      <w:rFonts w:ascii="標楷體" w:eastAsia="標楷體" w:hAnsi="標楷體" w:cs="新細明體"/>
      <w:bCs/>
      <w:kern w:val="2"/>
      <w:sz w:val="24"/>
      <w:szCs w:val="32"/>
    </w:rPr>
  </w:style>
  <w:style w:type="paragraph" w:customStyle="1" w:styleId="afffe">
    <w:name w:val="一二三"/>
    <w:basedOn w:val="a"/>
    <w:rsid w:val="00D50A57"/>
    <w:pPr>
      <w:widowControl/>
      <w:spacing w:after="120" w:line="360" w:lineRule="auto"/>
    </w:pPr>
    <w:rPr>
      <w:rFonts w:ascii="標楷體" w:eastAsia="標楷體" w:hAnsi="新細明體" w:cs="新細明體"/>
      <w:spacing w:val="-20"/>
      <w:kern w:val="0"/>
      <w:sz w:val="32"/>
    </w:rPr>
  </w:style>
  <w:style w:type="character" w:styleId="affff">
    <w:name w:val="Strong"/>
    <w:uiPriority w:val="22"/>
    <w:qFormat/>
    <w:rsid w:val="00C41097"/>
    <w:rPr>
      <w:b/>
      <w:bCs/>
    </w:rPr>
  </w:style>
  <w:style w:type="character" w:styleId="affff0">
    <w:name w:val="Emphasis"/>
    <w:uiPriority w:val="20"/>
    <w:qFormat/>
    <w:rsid w:val="007E2324"/>
    <w:rPr>
      <w:i/>
      <w:iCs/>
    </w:rPr>
  </w:style>
  <w:style w:type="paragraph" w:customStyle="1" w:styleId="affff1">
    <w:name w:val="表格內容"/>
    <w:basedOn w:val="a"/>
    <w:link w:val="affff2"/>
    <w:qFormat/>
    <w:rsid w:val="009467EA"/>
    <w:pPr>
      <w:widowControl/>
      <w:spacing w:line="240" w:lineRule="exact"/>
      <w:jc w:val="center"/>
      <w:textAlignment w:val="center"/>
    </w:pPr>
    <w:rPr>
      <w:rFonts w:ascii="標楷體" w:eastAsia="標楷體" w:hAnsi="標楷體"/>
      <w:bCs/>
      <w:sz w:val="20"/>
    </w:rPr>
  </w:style>
  <w:style w:type="character" w:customStyle="1" w:styleId="affff2">
    <w:name w:val="表格內容 字元"/>
    <w:link w:val="affff1"/>
    <w:rsid w:val="009467EA"/>
    <w:rPr>
      <w:rFonts w:ascii="標楷體" w:eastAsia="標楷體" w:hAnsi="標楷體"/>
      <w:bCs/>
      <w:kern w:val="2"/>
    </w:rPr>
  </w:style>
  <w:style w:type="paragraph" w:customStyle="1" w:styleId="2-0">
    <w:name w:val="樣式2-（一）"/>
    <w:basedOn w:val="a"/>
    <w:link w:val="2-1"/>
    <w:qFormat/>
    <w:rsid w:val="002A5215"/>
    <w:pPr>
      <w:spacing w:line="600" w:lineRule="exact"/>
      <w:ind w:left="955" w:hangingChars="298" w:hanging="955"/>
      <w:jc w:val="both"/>
    </w:pPr>
    <w:rPr>
      <w:rFonts w:ascii="標楷體" w:eastAsia="標楷體" w:hAnsi="標楷體"/>
      <w:b/>
      <w:sz w:val="32"/>
      <w:szCs w:val="32"/>
    </w:rPr>
  </w:style>
  <w:style w:type="character" w:customStyle="1" w:styleId="2-1">
    <w:name w:val="樣式2-（一） 字元"/>
    <w:link w:val="2-0"/>
    <w:rsid w:val="002A5215"/>
    <w:rPr>
      <w:rFonts w:ascii="標楷體" w:eastAsia="標楷體" w:hAnsi="標楷體"/>
      <w:b/>
      <w:kern w:val="2"/>
      <w:sz w:val="32"/>
      <w:szCs w:val="32"/>
    </w:rPr>
  </w:style>
  <w:style w:type="character" w:customStyle="1" w:styleId="afe">
    <w:name w:val="標題壹、 字元"/>
    <w:link w:val="afd"/>
    <w:rsid w:val="00B46D05"/>
    <w:rPr>
      <w:rFonts w:eastAsia="標楷體" w:cs="新細明體"/>
      <w:b/>
      <w:bCs/>
      <w:kern w:val="2"/>
      <w:sz w:val="36"/>
      <w:szCs w:val="36"/>
    </w:rPr>
  </w:style>
  <w:style w:type="character" w:customStyle="1" w:styleId="a9">
    <w:name w:val="頁尾 字元"/>
    <w:link w:val="a8"/>
    <w:uiPriority w:val="99"/>
    <w:rsid w:val="007C0D39"/>
    <w:rPr>
      <w:kern w:val="2"/>
    </w:rPr>
  </w:style>
  <w:style w:type="paragraph" w:customStyle="1" w:styleId="affff3">
    <w:name w:val="表目錄"/>
    <w:basedOn w:val="a"/>
    <w:link w:val="affff4"/>
    <w:qFormat/>
    <w:rsid w:val="00736790"/>
    <w:pPr>
      <w:overflowPunct w:val="0"/>
      <w:adjustRightInd w:val="0"/>
      <w:snapToGrid w:val="0"/>
      <w:spacing w:line="280" w:lineRule="exact"/>
      <w:jc w:val="center"/>
    </w:pPr>
    <w:rPr>
      <w:rFonts w:ascii="標楷體" w:eastAsia="標楷體" w:hAnsi="標楷體"/>
      <w:b/>
      <w:bCs/>
    </w:rPr>
  </w:style>
  <w:style w:type="character" w:customStyle="1" w:styleId="affff4">
    <w:name w:val="表目錄 字元"/>
    <w:link w:val="affff3"/>
    <w:rsid w:val="00736790"/>
    <w:rPr>
      <w:rFonts w:ascii="標楷體" w:eastAsia="標楷體" w:hAnsi="標楷體"/>
      <w:b/>
      <w:bCs/>
      <w:kern w:val="2"/>
      <w:sz w:val="24"/>
    </w:rPr>
  </w:style>
  <w:style w:type="paragraph" w:styleId="HTML">
    <w:name w:val="HTML Preformatted"/>
    <w:basedOn w:val="a"/>
    <w:link w:val="HTML0"/>
    <w:uiPriority w:val="99"/>
    <w:unhideWhenUsed/>
    <w:rsid w:val="00427B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link w:val="HTML"/>
    <w:uiPriority w:val="99"/>
    <w:rsid w:val="00427BB8"/>
    <w:rPr>
      <w:rFonts w:ascii="細明體" w:eastAsia="細明體" w:hAnsi="細明體" w:cs="細明體"/>
      <w:sz w:val="24"/>
      <w:szCs w:val="24"/>
    </w:rPr>
  </w:style>
  <w:style w:type="paragraph" w:customStyle="1" w:styleId="affff5">
    <w:name w:val="表說明"/>
    <w:basedOn w:val="a"/>
    <w:link w:val="affff6"/>
    <w:qFormat/>
    <w:rsid w:val="00427BB8"/>
    <w:pPr>
      <w:widowControl/>
      <w:spacing w:beforeLines="30" w:before="108" w:line="520" w:lineRule="exact"/>
      <w:ind w:leftChars="435" w:left="1044" w:firstLineChars="200" w:firstLine="560"/>
      <w:jc w:val="both"/>
      <w:textAlignment w:val="center"/>
    </w:pPr>
    <w:rPr>
      <w:rFonts w:ascii="標楷體" w:eastAsia="標楷體" w:hAnsi="標楷體"/>
      <w:b/>
      <w:sz w:val="26"/>
      <w:szCs w:val="28"/>
    </w:rPr>
  </w:style>
  <w:style w:type="character" w:customStyle="1" w:styleId="affff6">
    <w:name w:val="表說明 字元"/>
    <w:link w:val="affff5"/>
    <w:rsid w:val="00427BB8"/>
    <w:rPr>
      <w:rFonts w:ascii="標楷體" w:eastAsia="標楷體" w:hAnsi="標楷體"/>
      <w:b/>
      <w:kern w:val="2"/>
      <w:sz w:val="26"/>
      <w:szCs w:val="28"/>
    </w:rPr>
  </w:style>
  <w:style w:type="paragraph" w:customStyle="1" w:styleId="affff7">
    <w:name w:val="表註腳"/>
    <w:basedOn w:val="a"/>
    <w:link w:val="affff8"/>
    <w:qFormat/>
    <w:rsid w:val="003E15CD"/>
    <w:pPr>
      <w:widowControl/>
      <w:spacing w:before="60" w:line="240" w:lineRule="exact"/>
      <w:ind w:left="573" w:hanging="573"/>
      <w:jc w:val="both"/>
      <w:textAlignment w:val="center"/>
    </w:pPr>
    <w:rPr>
      <w:rFonts w:ascii="標楷體" w:eastAsia="標楷體" w:hAnsi="標楷體"/>
      <w:sz w:val="20"/>
    </w:rPr>
  </w:style>
  <w:style w:type="character" w:customStyle="1" w:styleId="affff8">
    <w:name w:val="表註腳 字元"/>
    <w:link w:val="affff7"/>
    <w:rsid w:val="003E15CD"/>
    <w:rPr>
      <w:rFonts w:ascii="標楷體" w:eastAsia="標楷體" w:hAnsi="標楷體"/>
      <w:kern w:val="2"/>
    </w:rPr>
  </w:style>
  <w:style w:type="paragraph" w:styleId="affff9">
    <w:name w:val="Title"/>
    <w:basedOn w:val="a"/>
    <w:next w:val="a"/>
    <w:link w:val="affffa"/>
    <w:qFormat/>
    <w:rsid w:val="00AF5E84"/>
    <w:pPr>
      <w:spacing w:before="240" w:after="60"/>
      <w:jc w:val="center"/>
      <w:outlineLvl w:val="0"/>
    </w:pPr>
    <w:rPr>
      <w:rFonts w:ascii="Cambria" w:hAnsi="Cambria"/>
      <w:b/>
      <w:bCs/>
      <w:sz w:val="32"/>
      <w:szCs w:val="32"/>
    </w:rPr>
  </w:style>
  <w:style w:type="character" w:customStyle="1" w:styleId="affffa">
    <w:name w:val="標題 字元"/>
    <w:basedOn w:val="a0"/>
    <w:link w:val="affff9"/>
    <w:rsid w:val="00AF5E84"/>
    <w:rPr>
      <w:rFonts w:ascii="Cambria" w:hAnsi="Cambria"/>
      <w:b/>
      <w:bCs/>
      <w:kern w:val="2"/>
      <w:sz w:val="32"/>
      <w:szCs w:val="32"/>
    </w:rPr>
  </w:style>
  <w:style w:type="paragraph" w:styleId="affffb">
    <w:name w:val="No Spacing"/>
    <w:uiPriority w:val="1"/>
    <w:qFormat/>
    <w:rsid w:val="000B5D05"/>
    <w:pPr>
      <w:widowControl w:val="0"/>
    </w:pPr>
    <w:rPr>
      <w:rFonts w:asciiTheme="minorHAnsi" w:eastAsiaTheme="minorEastAsia" w:hAnsiTheme="minorHAnsi" w:cstheme="minorBidi"/>
      <w:kern w:val="2"/>
      <w:sz w:val="24"/>
      <w:szCs w:val="22"/>
    </w:rPr>
  </w:style>
  <w:style w:type="paragraph" w:customStyle="1" w:styleId="1N">
    <w:name w:val="1N"/>
    <w:basedOn w:val="a"/>
    <w:qFormat/>
    <w:rsid w:val="00F9390D"/>
    <w:pPr>
      <w:snapToGrid w:val="0"/>
      <w:spacing w:line="560" w:lineRule="exact"/>
      <w:ind w:leftChars="264" w:left="1101" w:hangingChars="80" w:hanging="256"/>
      <w:jc w:val="both"/>
    </w:pPr>
    <w:rPr>
      <w:rFonts w:eastAsia="標楷體"/>
      <w:kern w:val="0"/>
      <w:sz w:val="32"/>
      <w:szCs w:val="30"/>
      <w:lang w:val="en-CA"/>
    </w:rPr>
  </w:style>
  <w:style w:type="paragraph" w:styleId="affffc">
    <w:name w:val="Salutation"/>
    <w:basedOn w:val="a"/>
    <w:next w:val="a"/>
    <w:link w:val="affffd"/>
    <w:rsid w:val="00312129"/>
    <w:rPr>
      <w:rFonts w:ascii="標楷體" w:eastAsia="標楷體" w:hAnsi="標楷體"/>
      <w:b/>
      <w:szCs w:val="24"/>
    </w:rPr>
  </w:style>
  <w:style w:type="character" w:customStyle="1" w:styleId="affffd">
    <w:name w:val="問候 字元"/>
    <w:basedOn w:val="a0"/>
    <w:link w:val="affffc"/>
    <w:rsid w:val="00312129"/>
    <w:rPr>
      <w:rFonts w:ascii="標楷體" w:eastAsia="標楷體" w:hAnsi="標楷體"/>
      <w:b/>
      <w:kern w:val="2"/>
      <w:sz w:val="24"/>
      <w:szCs w:val="24"/>
    </w:rPr>
  </w:style>
  <w:style w:type="paragraph" w:styleId="affffe">
    <w:name w:val="Closing"/>
    <w:basedOn w:val="a"/>
    <w:link w:val="afffff"/>
    <w:unhideWhenUsed/>
    <w:rsid w:val="00312129"/>
    <w:pPr>
      <w:ind w:leftChars="1800" w:left="100"/>
    </w:pPr>
    <w:rPr>
      <w:rFonts w:ascii="標楷體" w:eastAsia="標楷體" w:hAnsi="標楷體"/>
      <w:b/>
      <w:szCs w:val="24"/>
    </w:rPr>
  </w:style>
  <w:style w:type="character" w:customStyle="1" w:styleId="afffff">
    <w:name w:val="結語 字元"/>
    <w:basedOn w:val="a0"/>
    <w:link w:val="affffe"/>
    <w:rsid w:val="00312129"/>
    <w:rPr>
      <w:rFonts w:ascii="標楷體" w:eastAsia="標楷體" w:hAnsi="標楷體"/>
      <w:b/>
      <w:kern w:val="2"/>
      <w:sz w:val="24"/>
      <w:szCs w:val="24"/>
    </w:rPr>
  </w:style>
  <w:style w:type="character" w:customStyle="1" w:styleId="mailheadertext1">
    <w:name w:val="mailheadertext1"/>
    <w:basedOn w:val="a0"/>
    <w:rsid w:val="000A582D"/>
    <w:rPr>
      <w:i w:val="0"/>
      <w:iCs w:val="0"/>
      <w:color w:val="353531"/>
    </w:rPr>
  </w:style>
  <w:style w:type="paragraph" w:customStyle="1" w:styleId="afffff0">
    <w:name w:val="表樣式"/>
    <w:basedOn w:val="a"/>
    <w:qFormat/>
    <w:rsid w:val="00EF1322"/>
    <w:pPr>
      <w:framePr w:hSpace="180" w:wrap="around" w:vAnchor="text" w:hAnchor="margin" w:xAlign="right" w:y="4844"/>
      <w:adjustRightInd w:val="0"/>
      <w:snapToGrid w:val="0"/>
      <w:jc w:val="center"/>
    </w:pPr>
    <w:rPr>
      <w:rFonts w:ascii="標楷體" w:eastAsia="標楷體" w:hAnsi="標楷體"/>
      <w:b/>
      <w:szCs w:val="22"/>
    </w:rPr>
  </w:style>
  <w:style w:type="character" w:customStyle="1" w:styleId="20">
    <w:name w:val="標題 2 字元"/>
    <w:aliases w:val="標題１． 字元"/>
    <w:basedOn w:val="a0"/>
    <w:link w:val="2"/>
    <w:rsid w:val="00C4097F"/>
    <w:rPr>
      <w:rFonts w:ascii="標楷體" w:eastAsia="標楷體" w:hAnsi="Arial"/>
      <w:bCs/>
      <w:sz w:val="32"/>
      <w:szCs w:val="48"/>
    </w:rPr>
  </w:style>
  <w:style w:type="character" w:customStyle="1" w:styleId="30">
    <w:name w:val="標題 3 字元"/>
    <w:basedOn w:val="a0"/>
    <w:link w:val="3"/>
    <w:uiPriority w:val="9"/>
    <w:rsid w:val="00C4097F"/>
    <w:rPr>
      <w:rFonts w:ascii="標楷體" w:eastAsia="標楷體" w:hAnsi="Arial"/>
      <w:bCs/>
      <w:sz w:val="32"/>
      <w:szCs w:val="36"/>
    </w:rPr>
  </w:style>
  <w:style w:type="character" w:customStyle="1" w:styleId="50">
    <w:name w:val="標題 5 字元"/>
    <w:basedOn w:val="a0"/>
    <w:link w:val="5"/>
    <w:rsid w:val="00C4097F"/>
    <w:rPr>
      <w:rFonts w:ascii="標楷體" w:eastAsia="標楷體" w:hAnsi="Arial"/>
      <w:bCs/>
      <w:kern w:val="2"/>
      <w:sz w:val="32"/>
      <w:szCs w:val="36"/>
    </w:rPr>
  </w:style>
  <w:style w:type="character" w:customStyle="1" w:styleId="60">
    <w:name w:val="標題 6 字元"/>
    <w:basedOn w:val="a0"/>
    <w:link w:val="6"/>
    <w:rsid w:val="00C4097F"/>
    <w:rPr>
      <w:rFonts w:ascii="標楷體" w:eastAsia="標楷體" w:hAnsi="Arial"/>
      <w:kern w:val="2"/>
      <w:sz w:val="32"/>
      <w:szCs w:val="36"/>
    </w:rPr>
  </w:style>
  <w:style w:type="character" w:customStyle="1" w:styleId="70">
    <w:name w:val="標題 7 字元"/>
    <w:basedOn w:val="a0"/>
    <w:link w:val="7"/>
    <w:rsid w:val="00C4097F"/>
    <w:rPr>
      <w:rFonts w:ascii="標楷體" w:eastAsia="標楷體" w:hAnsi="Arial"/>
      <w:bCs/>
      <w:kern w:val="2"/>
      <w:sz w:val="32"/>
      <w:szCs w:val="36"/>
    </w:rPr>
  </w:style>
  <w:style w:type="character" w:customStyle="1" w:styleId="80">
    <w:name w:val="標題 8 字元"/>
    <w:basedOn w:val="a0"/>
    <w:link w:val="8"/>
    <w:rsid w:val="00C4097F"/>
    <w:rPr>
      <w:rFonts w:ascii="標楷體" w:eastAsia="標楷體" w:hAnsi="Arial"/>
      <w:kern w:val="2"/>
      <w:sz w:val="32"/>
      <w:szCs w:val="36"/>
    </w:rPr>
  </w:style>
  <w:style w:type="character" w:customStyle="1" w:styleId="40">
    <w:name w:val="標題 4 字元"/>
    <w:aliases w:val="1.標題 4 字元"/>
    <w:link w:val="4"/>
    <w:locked/>
    <w:rsid w:val="00C4097F"/>
    <w:rPr>
      <w:rFonts w:ascii="標楷體" w:eastAsia="標楷體" w:hAnsi="Arial"/>
      <w:b/>
      <w:kern w:val="2"/>
      <w:sz w:val="28"/>
      <w:szCs w:val="36"/>
    </w:rPr>
  </w:style>
  <w:style w:type="character" w:customStyle="1" w:styleId="style11">
    <w:name w:val="style11"/>
    <w:rsid w:val="00C4097F"/>
    <w:rPr>
      <w:rFonts w:ascii="標楷體" w:eastAsia="標楷體" w:hAnsi="標楷體" w:cs="Times New Roman"/>
    </w:rPr>
  </w:style>
  <w:style w:type="paragraph" w:customStyle="1" w:styleId="CharCharCharCharCharChar">
    <w:name w:val="字元 字元 Char Char 字元 字元 Char Char 字元 字元 Char Char"/>
    <w:basedOn w:val="a"/>
    <w:rsid w:val="00C4097F"/>
    <w:pPr>
      <w:widowControl/>
      <w:spacing w:after="160" w:line="240" w:lineRule="exact"/>
    </w:pPr>
    <w:rPr>
      <w:rFonts w:ascii="Tahoma" w:hAnsi="Tahoma"/>
      <w:kern w:val="0"/>
      <w:sz w:val="20"/>
      <w:lang w:eastAsia="en-US"/>
    </w:rPr>
  </w:style>
  <w:style w:type="character" w:customStyle="1" w:styleId="ae">
    <w:name w:val="頁首 字元"/>
    <w:aliases w:val="頁首 字元 字元 字元"/>
    <w:basedOn w:val="a0"/>
    <w:link w:val="ad"/>
    <w:uiPriority w:val="99"/>
    <w:locked/>
    <w:rsid w:val="00C4097F"/>
    <w:rPr>
      <w:kern w:val="2"/>
    </w:rPr>
  </w:style>
  <w:style w:type="character" w:customStyle="1" w:styleId="a6">
    <w:name w:val="本文 字元"/>
    <w:link w:val="a5"/>
    <w:locked/>
    <w:rsid w:val="00C4097F"/>
    <w:rPr>
      <w:rFonts w:ascii="標楷體" w:eastAsia="標楷體"/>
      <w:kern w:val="2"/>
      <w:sz w:val="24"/>
    </w:rPr>
  </w:style>
  <w:style w:type="character" w:customStyle="1" w:styleId="PlainTextChar">
    <w:name w:val="Plain Text Char"/>
    <w:aliases w:val="內文壹 Char,一般文字 字元 Char,一般文字 字元 字元 Char,一般文字 字元 字元 字元 字元 字元 字元 字元 字元 字元 字元 字元 字元 字元 字元 字元 字元 字元 字元 字元 字元 字元 字元 字元 Char,一般文字 字元 字元 字元 字元 字元 字元 字元 字元 字元 字元 字元 字元 字元 字元 Char"/>
    <w:uiPriority w:val="99"/>
    <w:semiHidden/>
    <w:rsid w:val="00C4097F"/>
    <w:rPr>
      <w:rFonts w:ascii="細明體" w:eastAsia="細明體" w:hAnsi="Courier New" w:cs="Courier New"/>
      <w:kern w:val="0"/>
      <w:szCs w:val="24"/>
    </w:rPr>
  </w:style>
  <w:style w:type="character" w:customStyle="1" w:styleId="22">
    <w:name w:val="本文 2 字元"/>
    <w:link w:val="21"/>
    <w:locked/>
    <w:rsid w:val="00C4097F"/>
    <w:rPr>
      <w:rFonts w:ascii="標楷體" w:eastAsia="標楷體"/>
      <w:kern w:val="2"/>
      <w:sz w:val="24"/>
    </w:rPr>
  </w:style>
  <w:style w:type="character" w:customStyle="1" w:styleId="32">
    <w:name w:val="本文 3 字元"/>
    <w:link w:val="31"/>
    <w:locked/>
    <w:rsid w:val="00C4097F"/>
    <w:rPr>
      <w:rFonts w:ascii="標楷體" w:eastAsia="標楷體"/>
      <w:kern w:val="2"/>
      <w:sz w:val="28"/>
    </w:rPr>
  </w:style>
  <w:style w:type="paragraph" w:customStyle="1" w:styleId="xl85">
    <w:name w:val="xl85"/>
    <w:basedOn w:val="a"/>
    <w:rsid w:val="00C4097F"/>
    <w:pPr>
      <w:widowControl/>
      <w:pBdr>
        <w:left w:val="single" w:sz="4" w:space="0" w:color="auto"/>
        <w:bottom w:val="single" w:sz="4" w:space="0" w:color="auto"/>
        <w:right w:val="single" w:sz="4" w:space="0" w:color="auto"/>
      </w:pBdr>
      <w:spacing w:before="100" w:beforeAutospacing="1" w:after="100" w:afterAutospacing="1"/>
      <w:jc w:val="center"/>
    </w:pPr>
    <w:rPr>
      <w:rFonts w:ascii="Arial Unicode MS" w:hAnsi="Arial Unicode MS" w:cs="Arial Unicode MS"/>
      <w:kern w:val="0"/>
      <w:szCs w:val="24"/>
    </w:rPr>
  </w:style>
  <w:style w:type="paragraph" w:customStyle="1" w:styleId="xl83">
    <w:name w:val="xl83"/>
    <w:basedOn w:val="a"/>
    <w:rsid w:val="00C4097F"/>
    <w:pPr>
      <w:widowControl/>
      <w:pBdr>
        <w:bottom w:val="single" w:sz="4" w:space="0" w:color="auto"/>
      </w:pBdr>
      <w:spacing w:before="100" w:beforeAutospacing="1" w:after="100" w:afterAutospacing="1"/>
      <w:jc w:val="right"/>
    </w:pPr>
    <w:rPr>
      <w:rFonts w:ascii="新細明體" w:hAnsi="新細明體" w:cs="Arial Unicode MS"/>
      <w:kern w:val="0"/>
      <w:sz w:val="22"/>
      <w:szCs w:val="22"/>
    </w:rPr>
  </w:style>
  <w:style w:type="character" w:customStyle="1" w:styleId="1-21">
    <w:name w:val="表格欄1-2 字元"/>
    <w:locked/>
    <w:rsid w:val="00C4097F"/>
    <w:rPr>
      <w:rFonts w:eastAsia="標楷體" w:cs="新細明體"/>
      <w:b/>
      <w:kern w:val="2"/>
      <w:sz w:val="18"/>
      <w:szCs w:val="18"/>
      <w:lang w:val="en-US" w:eastAsia="zh-TW" w:bidi="ar-SA"/>
    </w:rPr>
  </w:style>
  <w:style w:type="character" w:customStyle="1" w:styleId="1-11">
    <w:name w:val="表格欄1-1主管 字元"/>
    <w:locked/>
    <w:rsid w:val="00C4097F"/>
    <w:rPr>
      <w:rFonts w:eastAsia="標楷體" w:cs="新細明體"/>
      <w:b/>
      <w:kern w:val="2"/>
      <w:lang w:val="en-US" w:eastAsia="zh-TW" w:bidi="ar-SA"/>
    </w:rPr>
  </w:style>
  <w:style w:type="character" w:customStyle="1" w:styleId="1-320">
    <w:name w:val="表格欄1-3退2 字元"/>
    <w:locked/>
    <w:rsid w:val="00C4097F"/>
    <w:rPr>
      <w:rFonts w:eastAsia="標楷體" w:cs="新細明體"/>
      <w:kern w:val="2"/>
      <w:sz w:val="18"/>
      <w:szCs w:val="18"/>
      <w:lang w:val="en-US" w:eastAsia="zh-TW" w:bidi="ar-SA"/>
    </w:rPr>
  </w:style>
  <w:style w:type="paragraph" w:customStyle="1" w:styleId="afffff1">
    <w:name w:val="單元 字元"/>
    <w:basedOn w:val="a"/>
    <w:rsid w:val="00C4097F"/>
    <w:pPr>
      <w:snapToGrid w:val="0"/>
      <w:ind w:rightChars="100" w:right="100"/>
      <w:jc w:val="right"/>
    </w:pPr>
    <w:rPr>
      <w:rFonts w:ascii="標楷體" w:eastAsia="標楷體" w:hAnsi="Arial Narrow"/>
      <w:w w:val="95"/>
      <w:sz w:val="20"/>
    </w:rPr>
  </w:style>
  <w:style w:type="character" w:customStyle="1" w:styleId="afffff2">
    <w:name w:val="單元 字元 字元"/>
    <w:locked/>
    <w:rsid w:val="00C4097F"/>
    <w:rPr>
      <w:rFonts w:ascii="標楷體" w:eastAsia="標楷體" w:hAnsi="Arial Narrow" w:cs="Times New Roman"/>
      <w:w w:val="95"/>
      <w:kern w:val="2"/>
      <w:lang w:val="en-US" w:eastAsia="zh-TW" w:bidi="ar-SA"/>
    </w:rPr>
  </w:style>
  <w:style w:type="paragraph" w:customStyle="1" w:styleId="41">
    <w:name w:val="欄4（原因分析）"/>
    <w:basedOn w:val="a"/>
    <w:rsid w:val="00C4097F"/>
    <w:pPr>
      <w:jc w:val="both"/>
    </w:pPr>
    <w:rPr>
      <w:rFonts w:ascii="標楷體" w:eastAsia="標楷體" w:cs="新細明體"/>
      <w:w w:val="90"/>
      <w:sz w:val="18"/>
      <w:szCs w:val="18"/>
    </w:rPr>
  </w:style>
  <w:style w:type="paragraph" w:customStyle="1" w:styleId="afffff3">
    <w:name w:val="甲篇內文"/>
    <w:basedOn w:val="aff5"/>
    <w:rsid w:val="00C4097F"/>
    <w:pPr>
      <w:spacing w:line="460" w:lineRule="exact"/>
    </w:pPr>
    <w:rPr>
      <w:sz w:val="28"/>
      <w:szCs w:val="28"/>
    </w:rPr>
  </w:style>
  <w:style w:type="character" w:customStyle="1" w:styleId="afffff4">
    <w:name w:val="甲篇內文 字元"/>
    <w:locked/>
    <w:rsid w:val="00C4097F"/>
    <w:rPr>
      <w:rFonts w:ascii="標楷體" w:eastAsia="標楷體" w:cs="Times New Roman"/>
      <w:kern w:val="2"/>
      <w:sz w:val="28"/>
      <w:szCs w:val="28"/>
      <w:lang w:val="en-US" w:eastAsia="zh-TW" w:bidi="ar-SA"/>
    </w:rPr>
  </w:style>
  <w:style w:type="paragraph" w:customStyle="1" w:styleId="1d">
    <w:name w:val="表說1."/>
    <w:basedOn w:val="a"/>
    <w:rsid w:val="00C4097F"/>
    <w:pPr>
      <w:spacing w:line="400" w:lineRule="exact"/>
      <w:jc w:val="both"/>
    </w:pPr>
    <w:rPr>
      <w:rFonts w:ascii="標楷體" w:eastAsia="標楷體" w:cs="新細明體"/>
      <w:szCs w:val="24"/>
    </w:rPr>
  </w:style>
  <w:style w:type="paragraph" w:customStyle="1" w:styleId="afffff5">
    <w:name w:val="小計"/>
    <w:basedOn w:val="1-20"/>
    <w:rsid w:val="00C4097F"/>
    <w:pPr>
      <w:ind w:leftChars="250" w:left="250" w:rightChars="100" w:right="100" w:firstLineChars="0" w:firstLine="0"/>
    </w:pPr>
    <w:rPr>
      <w:sz w:val="18"/>
    </w:rPr>
  </w:style>
  <w:style w:type="paragraph" w:customStyle="1" w:styleId="220">
    <w:name w:val="二、2行宋體退2"/>
    <w:basedOn w:val="a"/>
    <w:rsid w:val="00C4097F"/>
    <w:pPr>
      <w:ind w:leftChars="150" w:left="360" w:rightChars="10" w:right="10"/>
      <w:jc w:val="both"/>
    </w:pPr>
    <w:rPr>
      <w:rFonts w:eastAsia="標楷體" w:cs="新細明體"/>
      <w:spacing w:val="-8"/>
      <w:sz w:val="18"/>
      <w:szCs w:val="18"/>
    </w:rPr>
  </w:style>
  <w:style w:type="character" w:customStyle="1" w:styleId="221">
    <w:name w:val="二、2行宋體退2 字元"/>
    <w:locked/>
    <w:rsid w:val="00C4097F"/>
    <w:rPr>
      <w:rFonts w:eastAsia="標楷體" w:cs="新細明體"/>
      <w:spacing w:val="-8"/>
      <w:kern w:val="2"/>
      <w:sz w:val="18"/>
      <w:szCs w:val="18"/>
      <w:lang w:val="en-US" w:eastAsia="zh-TW" w:bidi="ar-SA"/>
    </w:rPr>
  </w:style>
  <w:style w:type="paragraph" w:customStyle="1" w:styleId="1e">
    <w:name w:val="標題(1)"/>
    <w:basedOn w:val="13"/>
    <w:rsid w:val="00C4097F"/>
    <w:pPr>
      <w:ind w:firstLineChars="550" w:firstLine="550"/>
    </w:pPr>
  </w:style>
  <w:style w:type="paragraph" w:customStyle="1" w:styleId="123">
    <w:name w:val="內文123"/>
    <w:rsid w:val="00C4097F"/>
    <w:pPr>
      <w:overflowPunct w:val="0"/>
      <w:spacing w:line="400" w:lineRule="exact"/>
      <w:ind w:firstLineChars="450" w:firstLine="450"/>
      <w:jc w:val="both"/>
    </w:pPr>
    <w:rPr>
      <w:rFonts w:ascii="標楷體" w:eastAsia="標楷體"/>
      <w:kern w:val="2"/>
      <w:sz w:val="24"/>
    </w:rPr>
  </w:style>
  <w:style w:type="paragraph" w:customStyle="1" w:styleId="210">
    <w:name w:val="二、2行黑體退1"/>
    <w:basedOn w:val="a"/>
    <w:rsid w:val="00C4097F"/>
    <w:pPr>
      <w:ind w:leftChars="80" w:left="192"/>
      <w:jc w:val="both"/>
    </w:pPr>
    <w:rPr>
      <w:rFonts w:eastAsia="標楷體" w:cs="新細明體"/>
      <w:b/>
      <w:spacing w:val="-4"/>
      <w:sz w:val="20"/>
    </w:rPr>
  </w:style>
  <w:style w:type="character" w:customStyle="1" w:styleId="afc">
    <w:name w:val="註解方塊文字 字元"/>
    <w:link w:val="afb"/>
    <w:uiPriority w:val="99"/>
    <w:locked/>
    <w:rsid w:val="00C4097F"/>
    <w:rPr>
      <w:rFonts w:ascii="Arial" w:hAnsi="Arial"/>
      <w:kern w:val="2"/>
      <w:sz w:val="18"/>
      <w:szCs w:val="18"/>
    </w:rPr>
  </w:style>
  <w:style w:type="character" w:customStyle="1" w:styleId="afffff6">
    <w:name w:val="本文 字元 字元 字元"/>
    <w:rsid w:val="00C4097F"/>
    <w:rPr>
      <w:rFonts w:ascii="標楷體" w:eastAsia="標楷體" w:cs="Times New Roman"/>
      <w:kern w:val="2"/>
      <w:sz w:val="32"/>
      <w:lang w:val="en-US" w:eastAsia="zh-TW" w:bidi="ar-SA"/>
    </w:rPr>
  </w:style>
  <w:style w:type="character" w:customStyle="1" w:styleId="af5">
    <w:name w:val="日期 字元"/>
    <w:link w:val="af4"/>
    <w:locked/>
    <w:rsid w:val="00C4097F"/>
    <w:rPr>
      <w:rFonts w:ascii="標楷體" w:eastAsia="標楷體"/>
      <w:kern w:val="2"/>
      <w:sz w:val="32"/>
    </w:rPr>
  </w:style>
  <w:style w:type="paragraph" w:customStyle="1" w:styleId="1f">
    <w:name w:val="段落樣式1"/>
    <w:basedOn w:val="a"/>
    <w:rsid w:val="00C4097F"/>
    <w:pPr>
      <w:kinsoku w:val="0"/>
      <w:wordWrap w:val="0"/>
      <w:autoSpaceDE w:val="0"/>
      <w:autoSpaceDN w:val="0"/>
      <w:ind w:leftChars="200" w:left="200" w:firstLineChars="200" w:firstLine="200"/>
      <w:jc w:val="both"/>
    </w:pPr>
    <w:rPr>
      <w:rFonts w:ascii="標楷體" w:eastAsia="標楷體"/>
      <w:kern w:val="0"/>
      <w:sz w:val="32"/>
    </w:rPr>
  </w:style>
  <w:style w:type="paragraph" w:customStyle="1" w:styleId="26">
    <w:name w:val="內文2"/>
    <w:basedOn w:val="a"/>
    <w:link w:val="27"/>
    <w:qFormat/>
    <w:rsid w:val="00C4097F"/>
    <w:pPr>
      <w:adjustRightInd w:val="0"/>
      <w:snapToGrid w:val="0"/>
      <w:spacing w:line="520" w:lineRule="exact"/>
      <w:ind w:leftChars="200" w:left="960" w:hangingChars="100" w:hanging="320"/>
      <w:jc w:val="both"/>
    </w:pPr>
    <w:rPr>
      <w:rFonts w:ascii="標楷體" w:eastAsia="標楷體" w:hAnsi="標楷體"/>
      <w:sz w:val="32"/>
      <w:lang w:val="x-none" w:eastAsia="x-none"/>
    </w:rPr>
  </w:style>
  <w:style w:type="character" w:customStyle="1" w:styleId="27">
    <w:name w:val="內文2 字元"/>
    <w:link w:val="26"/>
    <w:locked/>
    <w:rsid w:val="00C4097F"/>
    <w:rPr>
      <w:rFonts w:ascii="標楷體" w:eastAsia="標楷體" w:hAnsi="標楷體"/>
      <w:kern w:val="2"/>
      <w:sz w:val="32"/>
      <w:lang w:val="x-none" w:eastAsia="x-none"/>
    </w:rPr>
  </w:style>
  <w:style w:type="paragraph" w:customStyle="1" w:styleId="1f0">
    <w:name w:val="清單段落1"/>
    <w:basedOn w:val="a"/>
    <w:uiPriority w:val="99"/>
    <w:rsid w:val="00C4097F"/>
    <w:pPr>
      <w:ind w:leftChars="200" w:left="480"/>
    </w:pPr>
    <w:rPr>
      <w:rFonts w:ascii="Calibri" w:hAnsi="Calibri"/>
      <w:szCs w:val="22"/>
    </w:rPr>
  </w:style>
  <w:style w:type="paragraph" w:customStyle="1" w:styleId="afffff7">
    <w:name w:val="標題(一)"/>
    <w:basedOn w:val="a"/>
    <w:rsid w:val="00C4097F"/>
    <w:pPr>
      <w:tabs>
        <w:tab w:val="left" w:pos="360"/>
        <w:tab w:val="left" w:pos="720"/>
        <w:tab w:val="left" w:pos="1080"/>
        <w:tab w:val="left" w:pos="1440"/>
      </w:tabs>
      <w:autoSpaceDE w:val="0"/>
      <w:autoSpaceDN w:val="0"/>
      <w:adjustRightInd w:val="0"/>
      <w:snapToGrid w:val="0"/>
      <w:spacing w:line="600" w:lineRule="exact"/>
      <w:ind w:left="1305" w:hanging="454"/>
      <w:jc w:val="both"/>
      <w:textAlignment w:val="baseline"/>
    </w:pPr>
    <w:rPr>
      <w:rFonts w:eastAsia="標楷體"/>
      <w:spacing w:val="-4"/>
      <w:kern w:val="0"/>
      <w:sz w:val="28"/>
    </w:rPr>
  </w:style>
  <w:style w:type="paragraph" w:customStyle="1" w:styleId="1">
    <w:name w:val="樣式1."/>
    <w:basedOn w:val="a7"/>
    <w:link w:val="1f1"/>
    <w:qFormat/>
    <w:rsid w:val="00C4097F"/>
    <w:pPr>
      <w:numPr>
        <w:numId w:val="26"/>
      </w:numPr>
      <w:tabs>
        <w:tab w:val="left" w:pos="12480"/>
      </w:tabs>
      <w:snapToGrid w:val="0"/>
      <w:spacing w:before="120" w:line="520" w:lineRule="exact"/>
      <w:jc w:val="both"/>
    </w:pPr>
    <w:rPr>
      <w:rFonts w:ascii="Times New Roman" w:eastAsia="標楷體" w:hAnsi="Times New Roman"/>
      <w:sz w:val="32"/>
      <w:szCs w:val="32"/>
      <w:lang w:val="x-none" w:eastAsia="x-none"/>
    </w:rPr>
  </w:style>
  <w:style w:type="character" w:customStyle="1" w:styleId="1f1">
    <w:name w:val="樣式1. 字元"/>
    <w:link w:val="1"/>
    <w:rsid w:val="00C4097F"/>
    <w:rPr>
      <w:rFonts w:eastAsia="標楷體"/>
      <w:kern w:val="2"/>
      <w:sz w:val="32"/>
      <w:szCs w:val="32"/>
      <w:lang w:val="x-none" w:eastAsia="x-none"/>
    </w:rPr>
  </w:style>
  <w:style w:type="character" w:customStyle="1" w:styleId="35">
    <w:name w:val="本文縮排 3 字元"/>
    <w:link w:val="34"/>
    <w:uiPriority w:val="99"/>
    <w:rsid w:val="00C4097F"/>
    <w:rPr>
      <w:kern w:val="2"/>
      <w:sz w:val="16"/>
      <w:szCs w:val="24"/>
    </w:rPr>
  </w:style>
  <w:style w:type="paragraph" w:customStyle="1" w:styleId="afffff8">
    <w:name w:val="表單位"/>
    <w:basedOn w:val="affff1"/>
    <w:link w:val="afffff9"/>
    <w:qFormat/>
    <w:rsid w:val="00C4097F"/>
    <w:pPr>
      <w:keepNext/>
      <w:spacing w:line="280" w:lineRule="exact"/>
      <w:jc w:val="right"/>
    </w:pPr>
  </w:style>
  <w:style w:type="character" w:customStyle="1" w:styleId="afffff9">
    <w:name w:val="表單位 字元"/>
    <w:link w:val="afffff8"/>
    <w:rsid w:val="00C4097F"/>
    <w:rPr>
      <w:rFonts w:ascii="標楷體" w:eastAsia="標楷體" w:hAnsi="標楷體"/>
      <w:bCs/>
      <w:kern w:val="2"/>
    </w:rPr>
  </w:style>
  <w:style w:type="character" w:customStyle="1" w:styleId="25">
    <w:name w:val="本文縮排 2 字元"/>
    <w:link w:val="24"/>
    <w:rsid w:val="00C4097F"/>
    <w:rPr>
      <w:kern w:val="2"/>
      <w:sz w:val="24"/>
    </w:rPr>
  </w:style>
  <w:style w:type="paragraph" w:customStyle="1" w:styleId="TableParagraph">
    <w:name w:val="Table Paragraph"/>
    <w:basedOn w:val="a"/>
    <w:uiPriority w:val="1"/>
    <w:qFormat/>
    <w:rsid w:val="00C4097F"/>
    <w:rPr>
      <w:rFonts w:ascii="Calibri" w:hAnsi="Calibri"/>
      <w:kern w:val="0"/>
      <w:sz w:val="22"/>
      <w:szCs w:val="22"/>
      <w:lang w:eastAsia="en-US"/>
    </w:rPr>
  </w:style>
  <w:style w:type="table" w:customStyle="1" w:styleId="81">
    <w:name w:val="表格格線81"/>
    <w:basedOn w:val="a1"/>
    <w:next w:val="afff"/>
    <w:uiPriority w:val="39"/>
    <w:rsid w:val="00DA051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b">
    <w:name w:val="清單段落 字元"/>
    <w:basedOn w:val="a0"/>
    <w:link w:val="afffa"/>
    <w:uiPriority w:val="34"/>
    <w:rsid w:val="00DA051C"/>
    <w:rPr>
      <w:kern w:val="2"/>
      <w:sz w:val="24"/>
    </w:rPr>
  </w:style>
  <w:style w:type="table" w:customStyle="1" w:styleId="1f2">
    <w:name w:val="表格格線1"/>
    <w:basedOn w:val="a1"/>
    <w:next w:val="afff"/>
    <w:uiPriority w:val="39"/>
    <w:qFormat/>
    <w:rsid w:val="00C854F0"/>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
    <w:basedOn w:val="a1"/>
    <w:next w:val="afff"/>
    <w:uiPriority w:val="59"/>
    <w:rsid w:val="004C1DBC"/>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a">
    <w:name w:val="()"/>
    <w:basedOn w:val="a"/>
    <w:rsid w:val="00B559F8"/>
    <w:pPr>
      <w:ind w:left="1078" w:hanging="352"/>
      <w:jc w:val="both"/>
    </w:pPr>
    <w:rPr>
      <w:rFonts w:ascii="標楷體" w:eastAsia="標楷體" w:hAnsi="標楷體"/>
      <w:sz w:val="32"/>
      <w:szCs w:val="24"/>
    </w:rPr>
  </w:style>
  <w:style w:type="paragraph" w:customStyle="1" w:styleId="28">
    <w:name w:val="註2."/>
    <w:basedOn w:val="a"/>
    <w:qFormat/>
    <w:rsid w:val="00025DDA"/>
    <w:pPr>
      <w:adjustRightInd w:val="0"/>
      <w:snapToGrid w:val="0"/>
      <w:ind w:leftChars="150" w:left="250" w:hangingChars="100" w:hanging="100"/>
      <w:jc w:val="both"/>
    </w:pPr>
    <w:rPr>
      <w:rFonts w:ascii="標楷體" w:eastAsia="標楷體" w:hAnsi="標楷體" w:cs="標楷體"/>
      <w:sz w:val="18"/>
    </w:rPr>
  </w:style>
  <w:style w:type="paragraph" w:customStyle="1" w:styleId="afffffb">
    <w:name w:val="內文（一）"/>
    <w:basedOn w:val="a"/>
    <w:qFormat/>
    <w:rsid w:val="001344B4"/>
    <w:pPr>
      <w:adjustRightInd w:val="0"/>
      <w:snapToGrid w:val="0"/>
      <w:spacing w:line="480" w:lineRule="exact"/>
      <w:ind w:firstLineChars="200" w:firstLine="200"/>
      <w:jc w:val="both"/>
    </w:pPr>
    <w:rPr>
      <w:rFonts w:ascii="標楷體" w:eastAsia="標楷體" w:hAnsi="標楷體" w:cs="標楷體"/>
      <w:sz w:val="32"/>
      <w:szCs w:val="32"/>
    </w:rPr>
  </w:style>
  <w:style w:type="table" w:customStyle="1" w:styleId="29">
    <w:name w:val="表格格線2"/>
    <w:basedOn w:val="a1"/>
    <w:next w:val="afff"/>
    <w:uiPriority w:val="59"/>
    <w:qFormat/>
    <w:rsid w:val="004C1AF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格格線3"/>
    <w:basedOn w:val="a1"/>
    <w:next w:val="afff"/>
    <w:uiPriority w:val="59"/>
    <w:qFormat/>
    <w:rsid w:val="004C1AF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f"/>
    <w:uiPriority w:val="59"/>
    <w:rsid w:val="004C1AF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7">
    <w:name w:val="段落樣式3"/>
    <w:basedOn w:val="a"/>
    <w:qFormat/>
    <w:rsid w:val="009B53E2"/>
    <w:pPr>
      <w:tabs>
        <w:tab w:val="left" w:pos="567"/>
      </w:tabs>
      <w:overflowPunct w:val="0"/>
      <w:autoSpaceDE w:val="0"/>
      <w:autoSpaceDN w:val="0"/>
      <w:ind w:leftChars="400" w:left="400" w:firstLineChars="200" w:firstLine="200"/>
      <w:jc w:val="both"/>
    </w:pPr>
    <w:rPr>
      <w:rFonts w:ascii="標楷體" w:eastAsia="標楷體"/>
      <w:kern w:val="32"/>
      <w:sz w:val="32"/>
    </w:rPr>
  </w:style>
  <w:style w:type="table" w:customStyle="1" w:styleId="211">
    <w:name w:val="表格格線211"/>
    <w:basedOn w:val="a1"/>
    <w:next w:val="afff"/>
    <w:rsid w:val="00162DF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表格格線11"/>
    <w:basedOn w:val="a1"/>
    <w:next w:val="afff"/>
    <w:uiPriority w:val="39"/>
    <w:qFormat/>
    <w:rsid w:val="002916D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
    <w:basedOn w:val="a1"/>
    <w:next w:val="afff"/>
    <w:uiPriority w:val="59"/>
    <w:rsid w:val="00FC55F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表格格線12"/>
    <w:basedOn w:val="a1"/>
    <w:next w:val="afff"/>
    <w:uiPriority w:val="39"/>
    <w:qFormat/>
    <w:rsid w:val="00E86D5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next w:val="afff"/>
    <w:uiPriority w:val="39"/>
    <w:qFormat/>
    <w:rsid w:val="00E86D5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1"/>
    <w:next w:val="afff"/>
    <w:qFormat/>
    <w:rsid w:val="00E86D5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表格格線411"/>
    <w:basedOn w:val="a1"/>
    <w:next w:val="afff"/>
    <w:qFormat/>
    <w:rsid w:val="00E86D5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表格格線42"/>
    <w:basedOn w:val="a1"/>
    <w:next w:val="afff"/>
    <w:qFormat/>
    <w:rsid w:val="007170C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表格格線21"/>
    <w:basedOn w:val="a1"/>
    <w:next w:val="afff"/>
    <w:uiPriority w:val="59"/>
    <w:qFormat/>
    <w:rsid w:val="0090182C"/>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表格格線212"/>
    <w:basedOn w:val="a1"/>
    <w:next w:val="afff"/>
    <w:uiPriority w:val="59"/>
    <w:rsid w:val="00C0267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next w:val="afff"/>
    <w:uiPriority w:val="59"/>
    <w:rsid w:val="00E75DD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表格格線7"/>
    <w:basedOn w:val="a1"/>
    <w:next w:val="afff"/>
    <w:uiPriority w:val="59"/>
    <w:rsid w:val="004E57A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表格格線61"/>
    <w:basedOn w:val="a1"/>
    <w:next w:val="afff"/>
    <w:uiPriority w:val="39"/>
    <w:rsid w:val="00947785"/>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表格格線62"/>
    <w:basedOn w:val="a1"/>
    <w:next w:val="afff"/>
    <w:uiPriority w:val="39"/>
    <w:rsid w:val="00D15EE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表格格線8"/>
    <w:basedOn w:val="a1"/>
    <w:next w:val="afff"/>
    <w:uiPriority w:val="59"/>
    <w:qFormat/>
    <w:rsid w:val="008C3DEC"/>
    <w:pPr>
      <w:spacing w:line="680" w:lineRule="exac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表格格線43"/>
    <w:basedOn w:val="a1"/>
    <w:next w:val="afff"/>
    <w:qFormat/>
    <w:rsid w:val="00D301A8"/>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表格格線71"/>
    <w:basedOn w:val="a1"/>
    <w:next w:val="afff"/>
    <w:uiPriority w:val="59"/>
    <w:rsid w:val="005A09F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表格格線9"/>
    <w:basedOn w:val="a1"/>
    <w:next w:val="afff"/>
    <w:uiPriority w:val="39"/>
    <w:qFormat/>
    <w:rsid w:val="009128A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ff"/>
    <w:uiPriority w:val="59"/>
    <w:qFormat/>
    <w:rsid w:val="0019669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fff"/>
    <w:uiPriority w:val="59"/>
    <w:qFormat/>
    <w:rsid w:val="0019669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fff"/>
    <w:uiPriority w:val="59"/>
    <w:qFormat/>
    <w:rsid w:val="00765C30"/>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表格格線22"/>
    <w:basedOn w:val="a1"/>
    <w:next w:val="afff"/>
    <w:qFormat/>
    <w:rsid w:val="005A7E7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表格格線44"/>
    <w:basedOn w:val="a1"/>
    <w:next w:val="afff"/>
    <w:uiPriority w:val="39"/>
    <w:qFormat/>
    <w:rsid w:val="00C118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fff"/>
    <w:uiPriority w:val="59"/>
    <w:qFormat/>
    <w:rsid w:val="006A168F"/>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表格格線51"/>
    <w:basedOn w:val="a1"/>
    <w:next w:val="afff"/>
    <w:uiPriority w:val="59"/>
    <w:qFormat/>
    <w:rsid w:val="006A1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1"/>
    <w:next w:val="afff"/>
    <w:uiPriority w:val="59"/>
    <w:qFormat/>
    <w:rsid w:val="004E34D0"/>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f"/>
    <w:uiPriority w:val="59"/>
    <w:rsid w:val="0046023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fff"/>
    <w:uiPriority w:val="39"/>
    <w:qFormat/>
    <w:rsid w:val="003D7851"/>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表格格線82"/>
    <w:basedOn w:val="a1"/>
    <w:next w:val="afff"/>
    <w:uiPriority w:val="59"/>
    <w:qFormat/>
    <w:rsid w:val="0074562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表格格線311"/>
    <w:basedOn w:val="a1"/>
    <w:next w:val="afff"/>
    <w:uiPriority w:val="59"/>
    <w:qFormat/>
    <w:rsid w:val="0074562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next w:val="afff"/>
    <w:uiPriority w:val="59"/>
    <w:qFormat/>
    <w:rsid w:val="00B96E87"/>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a1"/>
    <w:next w:val="afff"/>
    <w:uiPriority w:val="39"/>
    <w:qFormat/>
    <w:rsid w:val="00A034C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格格線321"/>
    <w:basedOn w:val="a1"/>
    <w:next w:val="afff"/>
    <w:uiPriority w:val="59"/>
    <w:qFormat/>
    <w:rsid w:val="00FC608E"/>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next w:val="afff"/>
    <w:uiPriority w:val="39"/>
    <w:qFormat/>
    <w:rsid w:val="0087514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c">
    <w:name w:val="一/內"/>
    <w:basedOn w:val="a"/>
    <w:link w:val="afffffd"/>
    <w:qFormat/>
    <w:rsid w:val="009D1C17"/>
    <w:pPr>
      <w:widowControl/>
      <w:overflowPunct w:val="0"/>
      <w:adjustRightInd w:val="0"/>
      <w:snapToGrid w:val="0"/>
      <w:spacing w:line="540" w:lineRule="exact"/>
      <w:ind w:leftChars="268" w:left="643" w:firstLineChars="200" w:firstLine="640"/>
      <w:jc w:val="both"/>
      <w:outlineLvl w:val="0"/>
    </w:pPr>
    <w:rPr>
      <w:rFonts w:ascii="標楷體" w:eastAsia="標楷體" w:hAnsi="標楷體"/>
      <w:color w:val="000000"/>
      <w:sz w:val="32"/>
      <w:szCs w:val="32"/>
    </w:rPr>
  </w:style>
  <w:style w:type="character" w:customStyle="1" w:styleId="afffffd">
    <w:name w:val="一/內 字元"/>
    <w:link w:val="afffffc"/>
    <w:rsid w:val="009D1C17"/>
    <w:rPr>
      <w:rFonts w:ascii="標楷體" w:eastAsia="標楷體" w:hAnsi="標楷體"/>
      <w:color w:val="000000"/>
      <w:kern w:val="2"/>
      <w:sz w:val="32"/>
      <w:szCs w:val="32"/>
    </w:rPr>
  </w:style>
  <w:style w:type="table" w:customStyle="1" w:styleId="1100">
    <w:name w:val="表格格線110"/>
    <w:basedOn w:val="a1"/>
    <w:next w:val="afff"/>
    <w:uiPriority w:val="59"/>
    <w:qFormat/>
    <w:rsid w:val="004B79A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表格格線2121"/>
    <w:basedOn w:val="a1"/>
    <w:next w:val="afff"/>
    <w:uiPriority w:val="39"/>
    <w:rsid w:val="00137F40"/>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2"/>
    <w:basedOn w:val="a1"/>
    <w:next w:val="afff"/>
    <w:uiPriority w:val="59"/>
    <w:qFormat/>
    <w:rsid w:val="004514E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3"/>
    <w:basedOn w:val="a1"/>
    <w:next w:val="afff"/>
    <w:uiPriority w:val="59"/>
    <w:qFormat/>
    <w:rsid w:val="00BA7D5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e">
    <w:name w:val="Revision"/>
    <w:hidden/>
    <w:uiPriority w:val="99"/>
    <w:semiHidden/>
    <w:rsid w:val="009C753D"/>
    <w:rPr>
      <w:kern w:val="2"/>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826155">
      <w:bodyDiv w:val="1"/>
      <w:marLeft w:val="0"/>
      <w:marRight w:val="0"/>
      <w:marTop w:val="0"/>
      <w:marBottom w:val="0"/>
      <w:divBdr>
        <w:top w:val="none" w:sz="0" w:space="0" w:color="auto"/>
        <w:left w:val="none" w:sz="0" w:space="0" w:color="auto"/>
        <w:bottom w:val="none" w:sz="0" w:space="0" w:color="auto"/>
        <w:right w:val="none" w:sz="0" w:space="0" w:color="auto"/>
      </w:divBdr>
    </w:div>
    <w:div w:id="67003048">
      <w:bodyDiv w:val="1"/>
      <w:marLeft w:val="0"/>
      <w:marRight w:val="0"/>
      <w:marTop w:val="0"/>
      <w:marBottom w:val="0"/>
      <w:divBdr>
        <w:top w:val="none" w:sz="0" w:space="0" w:color="auto"/>
        <w:left w:val="none" w:sz="0" w:space="0" w:color="auto"/>
        <w:bottom w:val="none" w:sz="0" w:space="0" w:color="auto"/>
        <w:right w:val="none" w:sz="0" w:space="0" w:color="auto"/>
      </w:divBdr>
    </w:div>
    <w:div w:id="481775013">
      <w:bodyDiv w:val="1"/>
      <w:marLeft w:val="0"/>
      <w:marRight w:val="0"/>
      <w:marTop w:val="0"/>
      <w:marBottom w:val="0"/>
      <w:divBdr>
        <w:top w:val="none" w:sz="0" w:space="0" w:color="auto"/>
        <w:left w:val="none" w:sz="0" w:space="0" w:color="auto"/>
        <w:bottom w:val="none" w:sz="0" w:space="0" w:color="auto"/>
        <w:right w:val="none" w:sz="0" w:space="0" w:color="auto"/>
      </w:divBdr>
    </w:div>
    <w:div w:id="654844726">
      <w:bodyDiv w:val="1"/>
      <w:marLeft w:val="0"/>
      <w:marRight w:val="0"/>
      <w:marTop w:val="0"/>
      <w:marBottom w:val="0"/>
      <w:divBdr>
        <w:top w:val="none" w:sz="0" w:space="0" w:color="auto"/>
        <w:left w:val="none" w:sz="0" w:space="0" w:color="auto"/>
        <w:bottom w:val="none" w:sz="0" w:space="0" w:color="auto"/>
        <w:right w:val="none" w:sz="0" w:space="0" w:color="auto"/>
      </w:divBdr>
    </w:div>
    <w:div w:id="868876992">
      <w:bodyDiv w:val="1"/>
      <w:marLeft w:val="0"/>
      <w:marRight w:val="0"/>
      <w:marTop w:val="0"/>
      <w:marBottom w:val="0"/>
      <w:divBdr>
        <w:top w:val="none" w:sz="0" w:space="0" w:color="auto"/>
        <w:left w:val="none" w:sz="0" w:space="0" w:color="auto"/>
        <w:bottom w:val="none" w:sz="0" w:space="0" w:color="auto"/>
        <w:right w:val="none" w:sz="0" w:space="0" w:color="auto"/>
      </w:divBdr>
    </w:div>
    <w:div w:id="894584095">
      <w:bodyDiv w:val="1"/>
      <w:marLeft w:val="0"/>
      <w:marRight w:val="0"/>
      <w:marTop w:val="0"/>
      <w:marBottom w:val="0"/>
      <w:divBdr>
        <w:top w:val="none" w:sz="0" w:space="0" w:color="auto"/>
        <w:left w:val="none" w:sz="0" w:space="0" w:color="auto"/>
        <w:bottom w:val="none" w:sz="0" w:space="0" w:color="auto"/>
        <w:right w:val="none" w:sz="0" w:space="0" w:color="auto"/>
      </w:divBdr>
    </w:div>
    <w:div w:id="1105422859">
      <w:bodyDiv w:val="1"/>
      <w:marLeft w:val="0"/>
      <w:marRight w:val="0"/>
      <w:marTop w:val="0"/>
      <w:marBottom w:val="0"/>
      <w:divBdr>
        <w:top w:val="none" w:sz="0" w:space="0" w:color="auto"/>
        <w:left w:val="none" w:sz="0" w:space="0" w:color="auto"/>
        <w:bottom w:val="none" w:sz="0" w:space="0" w:color="auto"/>
        <w:right w:val="none" w:sz="0" w:space="0" w:color="auto"/>
      </w:divBdr>
    </w:div>
    <w:div w:id="1405492049">
      <w:bodyDiv w:val="1"/>
      <w:marLeft w:val="0"/>
      <w:marRight w:val="0"/>
      <w:marTop w:val="0"/>
      <w:marBottom w:val="0"/>
      <w:divBdr>
        <w:top w:val="none" w:sz="0" w:space="0" w:color="auto"/>
        <w:left w:val="none" w:sz="0" w:space="0" w:color="auto"/>
        <w:bottom w:val="none" w:sz="0" w:space="0" w:color="auto"/>
        <w:right w:val="none" w:sz="0" w:space="0" w:color="auto"/>
      </w:divBdr>
    </w:div>
    <w:div w:id="1498619162">
      <w:bodyDiv w:val="1"/>
      <w:marLeft w:val="0"/>
      <w:marRight w:val="0"/>
      <w:marTop w:val="0"/>
      <w:marBottom w:val="0"/>
      <w:divBdr>
        <w:top w:val="none" w:sz="0" w:space="0" w:color="auto"/>
        <w:left w:val="none" w:sz="0" w:space="0" w:color="auto"/>
        <w:bottom w:val="none" w:sz="0" w:space="0" w:color="auto"/>
        <w:right w:val="none" w:sz="0" w:space="0" w:color="auto"/>
      </w:divBdr>
    </w:div>
    <w:div w:id="1636988555">
      <w:bodyDiv w:val="1"/>
      <w:marLeft w:val="0"/>
      <w:marRight w:val="0"/>
      <w:marTop w:val="0"/>
      <w:marBottom w:val="0"/>
      <w:divBdr>
        <w:top w:val="none" w:sz="0" w:space="0" w:color="auto"/>
        <w:left w:val="none" w:sz="0" w:space="0" w:color="auto"/>
        <w:bottom w:val="none" w:sz="0" w:space="0" w:color="auto"/>
        <w:right w:val="none" w:sz="0" w:space="0" w:color="auto"/>
      </w:divBdr>
    </w:div>
    <w:div w:id="1737584318">
      <w:bodyDiv w:val="1"/>
      <w:marLeft w:val="0"/>
      <w:marRight w:val="0"/>
      <w:marTop w:val="0"/>
      <w:marBottom w:val="0"/>
      <w:divBdr>
        <w:top w:val="none" w:sz="0" w:space="0" w:color="auto"/>
        <w:left w:val="none" w:sz="0" w:space="0" w:color="auto"/>
        <w:bottom w:val="none" w:sz="0" w:space="0" w:color="auto"/>
        <w:right w:val="none" w:sz="0" w:space="0" w:color="auto"/>
      </w:divBdr>
    </w:div>
    <w:div w:id="1799109866">
      <w:bodyDiv w:val="1"/>
      <w:marLeft w:val="0"/>
      <w:marRight w:val="0"/>
      <w:marTop w:val="0"/>
      <w:marBottom w:val="0"/>
      <w:divBdr>
        <w:top w:val="none" w:sz="0" w:space="0" w:color="auto"/>
        <w:left w:val="none" w:sz="0" w:space="0" w:color="auto"/>
        <w:bottom w:val="none" w:sz="0" w:space="0" w:color="auto"/>
        <w:right w:val="none" w:sz="0" w:space="0" w:color="auto"/>
      </w:divBdr>
    </w:div>
    <w:div w:id="1932739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6.xml"/><Relationship Id="rId18" Type="http://schemas.openxmlformats.org/officeDocument/2006/relationships/image" Target="media/image2.png"/><Relationship Id="rId26" Type="http://schemas.openxmlformats.org/officeDocument/2006/relationships/diagramQuickStyle" Target="diagrams/quickStyle1.xml"/><Relationship Id="rId39" Type="http://schemas.openxmlformats.org/officeDocument/2006/relationships/image" Target="media/image8.png"/><Relationship Id="rId21" Type="http://schemas.openxmlformats.org/officeDocument/2006/relationships/chart" Target="charts/chart9.xml"/><Relationship Id="rId42" Type="http://schemas.openxmlformats.org/officeDocument/2006/relationships/image" Target="media/image7.svg"/><Relationship Id="rId47" Type="http://schemas.openxmlformats.org/officeDocument/2006/relationships/image" Target="media/image13.png"/><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wmf"/><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diagramData" Target="diagrams/data1.xml"/><Relationship Id="rId37" Type="http://schemas.openxmlformats.org/officeDocument/2006/relationships/image" Target="media/image7.png"/><Relationship Id="rId40" Type="http://schemas.openxmlformats.org/officeDocument/2006/relationships/image" Target="media/image9.svg"/><Relationship Id="rId45" Type="http://schemas.openxmlformats.org/officeDocument/2006/relationships/image" Target="media/image11.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da.gov.tw/" TargetMode="External"/><Relationship Id="rId23" Type="http://schemas.openxmlformats.org/officeDocument/2006/relationships/image" Target="media/image5.png"/><Relationship Id="rId28" Type="http://schemas.microsoft.com/office/2007/relationships/diagramDrawing" Target="diagrams/drawing1.xml"/><Relationship Id="rId36" Type="http://schemas.openxmlformats.org/officeDocument/2006/relationships/image" Target="media/image5.svg"/><Relationship Id="rId49" Type="http://schemas.openxmlformats.org/officeDocument/2006/relationships/image" Target="media/image15.jpeg"/><Relationship Id="rId10" Type="http://schemas.openxmlformats.org/officeDocument/2006/relationships/chart" Target="charts/chart3.xml"/><Relationship Id="rId19" Type="http://schemas.openxmlformats.org/officeDocument/2006/relationships/oleObject" Target="embeddings/Microsoft_Excel___.xls"/><Relationship Id="rId44" Type="http://schemas.openxmlformats.org/officeDocument/2006/relationships/diagramData" Target="diagrams/data2.xm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image" Target="media/image4.wmf"/><Relationship Id="rId27" Type="http://schemas.openxmlformats.org/officeDocument/2006/relationships/diagramColors" Target="diagrams/colors1.xml"/><Relationship Id="rId43" Type="http://schemas.openxmlformats.org/officeDocument/2006/relationships/image" Target="media/image10.jpeg"/><Relationship Id="rId48" Type="http://schemas.openxmlformats.org/officeDocument/2006/relationships/image" Target="media/image14.png"/><Relationship Id="rId8" Type="http://schemas.openxmlformats.org/officeDocument/2006/relationships/chart" Target="charts/chart1.xml"/><Relationship Id="rId51" Type="http://schemas.openxmlformats.org/officeDocument/2006/relationships/footer" Target="footer2.xml"/><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chart" Target="charts/chart8.xml"/><Relationship Id="rId25" Type="http://schemas.openxmlformats.org/officeDocument/2006/relationships/diagramLayout" Target="diagrams/layout1.xml"/><Relationship Id="rId38" Type="http://schemas.openxmlformats.org/officeDocument/2006/relationships/image" Target="media/image3.svg"/><Relationship Id="rId46" Type="http://schemas.openxmlformats.org/officeDocument/2006/relationships/image" Target="media/image12.png"/><Relationship Id="rId20" Type="http://schemas.openxmlformats.org/officeDocument/2006/relationships/image" Target="media/image3.png"/><Relationship Id="rId41" Type="http://schemas.openxmlformats.org/officeDocument/2006/relationships/image" Target="media/image9.png"/></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embeddings/oleObject1.bin"/></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___.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___1.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Excel____2.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package" Target="../embeddings/Microsoft_Excel____3.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wanchen\Desktop\&#25913;&#21892;&#25152;&#24471;&#20998;&#37197;&#23560;&#26696;&#35519;&#26597;\7.&#23560;&#35519;&#22577;&#21578;\&#32113;&#35336;&#36039;&#26009;\&#38988;1\&#27511;&#24180;&#21513;&#23612;&#20418;&#25976;&#21450;&#20116;&#31561;&#20998;.xlsx" TargetMode="External"/><Relationship Id="rId2" Type="http://schemas.microsoft.com/office/2011/relationships/chartColorStyle" Target="colors1.xml"/><Relationship Id="rId1" Type="http://schemas.microsoft.com/office/2011/relationships/chartStyle" Target="style1.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wanchen\Desktop\&#32113;&#35336;&#36039;&#26009;\&#38988;2\101-110GDP&#22283;&#20839;&#29983;&#29986;&#21450;&#35201;&#32032;&#25152;&#24471;.xlsx" TargetMode="External"/><Relationship Id="rId2" Type="http://schemas.microsoft.com/office/2011/relationships/chartColorStyle" Target="colors2.xml"/><Relationship Id="rId1" Type="http://schemas.microsoft.com/office/2011/relationships/chartStyle" Target="style2.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___4.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6.xml"/><Relationship Id="rId4" Type="http://schemas.openxmlformats.org/officeDocument/2006/relationships/package" Target="../embeddings/Microsoft_Excel____5.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880555555555556"/>
          <c:y val="0.21434307694692833"/>
          <c:w val="0.78337948381452316"/>
          <c:h val="0.60147144700327471"/>
        </c:manualLayout>
      </c:layout>
      <c:barChart>
        <c:barDir val="col"/>
        <c:grouping val="clustered"/>
        <c:varyColors val="0"/>
        <c:ser>
          <c:idx val="0"/>
          <c:order val="0"/>
          <c:tx>
            <c:strRef>
              <c:f>'102-111-超短收'!$B$1:$B$2</c:f>
              <c:strCache>
                <c:ptCount val="1"/>
                <c:pt idx="0">
                  <c:v>決算數與預算數比較增減數</c:v>
                </c:pt>
              </c:strCache>
            </c:strRef>
          </c:tx>
          <c:spPr>
            <a:pattFill prst="pct80">
              <a:fgClr>
                <a:schemeClr val="bg1"/>
              </a:fgClr>
              <a:bgClr>
                <a:schemeClr val="tx1"/>
              </a:bgClr>
            </a:pattFill>
            <a:ln w="9525" cap="flat" cmpd="sng" algn="ctr">
              <a:solidFill>
                <a:schemeClr val="tx1"/>
              </a:solidFill>
              <a:prstDash val="solid"/>
            </a:ln>
            <a:effectLst>
              <a:outerShdw blurRad="40000" dist="23000" dir="5400000" rotWithShape="0">
                <a:srgbClr val="000000">
                  <a:alpha val="35000"/>
                </a:srgbClr>
              </a:outerShdw>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B3D9-4670-8EF1-638017B923F5}"/>
                </c:ext>
              </c:extLst>
            </c:dLbl>
            <c:dLbl>
              <c:idx val="1"/>
              <c:delete val="1"/>
              <c:extLst>
                <c:ext xmlns:c15="http://schemas.microsoft.com/office/drawing/2012/chart" uri="{CE6537A1-D6FC-4f65-9D91-7224C49458BB}"/>
                <c:ext xmlns:c16="http://schemas.microsoft.com/office/drawing/2014/chart" uri="{C3380CC4-5D6E-409C-BE32-E72D297353CC}">
                  <c16:uniqueId val="{00000001-B3D9-4670-8EF1-638017B923F5}"/>
                </c:ext>
              </c:extLst>
            </c:dLbl>
            <c:dLbl>
              <c:idx val="2"/>
              <c:delete val="1"/>
              <c:extLst>
                <c:ext xmlns:c15="http://schemas.microsoft.com/office/drawing/2012/chart" uri="{CE6537A1-D6FC-4f65-9D91-7224C49458BB}"/>
                <c:ext xmlns:c16="http://schemas.microsoft.com/office/drawing/2014/chart" uri="{C3380CC4-5D6E-409C-BE32-E72D297353CC}">
                  <c16:uniqueId val="{00000002-B3D9-4670-8EF1-638017B923F5}"/>
                </c:ext>
              </c:extLst>
            </c:dLbl>
            <c:dLbl>
              <c:idx val="3"/>
              <c:delete val="1"/>
              <c:extLst>
                <c:ext xmlns:c15="http://schemas.microsoft.com/office/drawing/2012/chart" uri="{CE6537A1-D6FC-4f65-9D91-7224C49458BB}"/>
                <c:ext xmlns:c16="http://schemas.microsoft.com/office/drawing/2014/chart" uri="{C3380CC4-5D6E-409C-BE32-E72D297353CC}">
                  <c16:uniqueId val="{00000003-B3D9-4670-8EF1-638017B923F5}"/>
                </c:ext>
              </c:extLst>
            </c:dLbl>
            <c:dLbl>
              <c:idx val="4"/>
              <c:delete val="1"/>
              <c:extLst>
                <c:ext xmlns:c15="http://schemas.microsoft.com/office/drawing/2012/chart" uri="{CE6537A1-D6FC-4f65-9D91-7224C49458BB}"/>
                <c:ext xmlns:c16="http://schemas.microsoft.com/office/drawing/2014/chart" uri="{C3380CC4-5D6E-409C-BE32-E72D297353CC}">
                  <c16:uniqueId val="{00000004-B3D9-4670-8EF1-638017B923F5}"/>
                </c:ext>
              </c:extLst>
            </c:dLbl>
            <c:dLbl>
              <c:idx val="5"/>
              <c:delete val="1"/>
              <c:extLst>
                <c:ext xmlns:c15="http://schemas.microsoft.com/office/drawing/2012/chart" uri="{CE6537A1-D6FC-4f65-9D91-7224C49458BB}"/>
                <c:ext xmlns:c16="http://schemas.microsoft.com/office/drawing/2014/chart" uri="{C3380CC4-5D6E-409C-BE32-E72D297353CC}">
                  <c16:uniqueId val="{00000005-B3D9-4670-8EF1-638017B923F5}"/>
                </c:ext>
              </c:extLst>
            </c:dLbl>
            <c:dLbl>
              <c:idx val="6"/>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3D9-4670-8EF1-638017B923F5}"/>
                </c:ext>
              </c:extLst>
            </c:dLbl>
            <c:dLbl>
              <c:idx val="7"/>
              <c:delete val="1"/>
              <c:extLst>
                <c:ext xmlns:c15="http://schemas.microsoft.com/office/drawing/2012/chart" uri="{CE6537A1-D6FC-4f65-9D91-7224C49458BB}"/>
                <c:ext xmlns:c16="http://schemas.microsoft.com/office/drawing/2014/chart" uri="{C3380CC4-5D6E-409C-BE32-E72D297353CC}">
                  <c16:uniqueId val="{00000007-B3D9-4670-8EF1-638017B923F5}"/>
                </c:ext>
              </c:extLst>
            </c:dLbl>
            <c:dLbl>
              <c:idx val="8"/>
              <c:delete val="1"/>
              <c:extLst>
                <c:ext xmlns:c15="http://schemas.microsoft.com/office/drawing/2012/chart" uri="{CE6537A1-D6FC-4f65-9D91-7224C49458BB}"/>
                <c:ext xmlns:c16="http://schemas.microsoft.com/office/drawing/2014/chart" uri="{C3380CC4-5D6E-409C-BE32-E72D297353CC}">
                  <c16:uniqueId val="{00000008-B3D9-4670-8EF1-638017B923F5}"/>
                </c:ext>
              </c:extLst>
            </c:dLbl>
            <c:dLbl>
              <c:idx val="9"/>
              <c:layout>
                <c:manualLayout>
                  <c:x val="3.1274467802218904E-3"/>
                  <c:y val="0.4813206159337280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3D9-4670-8EF1-638017B923F5}"/>
                </c:ext>
              </c:extLst>
            </c:dLbl>
            <c:spPr>
              <a:noFill/>
              <a:ln>
                <a:noFill/>
              </a:ln>
              <a:effectLst/>
            </c:spPr>
            <c:txPr>
              <a:bodyPr/>
              <a:lstStyle/>
              <a:p>
                <a:pPr>
                  <a:defRPr sz="800"/>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'102-111-超短收'!$A$3:$A$12</c:f>
              <c:numCache>
                <c:formatCode>General</c:formatCode>
                <c:ptCount val="10"/>
                <c:pt idx="0">
                  <c:v>102</c:v>
                </c:pt>
                <c:pt idx="1">
                  <c:v>103</c:v>
                </c:pt>
                <c:pt idx="2">
                  <c:v>104</c:v>
                </c:pt>
                <c:pt idx="3">
                  <c:v>105</c:v>
                </c:pt>
                <c:pt idx="4">
                  <c:v>106</c:v>
                </c:pt>
                <c:pt idx="5">
                  <c:v>107</c:v>
                </c:pt>
                <c:pt idx="6">
                  <c:v>108</c:v>
                </c:pt>
                <c:pt idx="7">
                  <c:v>109</c:v>
                </c:pt>
                <c:pt idx="8">
                  <c:v>110</c:v>
                </c:pt>
                <c:pt idx="9">
                  <c:v>111</c:v>
                </c:pt>
              </c:numCache>
            </c:numRef>
          </c:cat>
          <c:val>
            <c:numRef>
              <c:f>'102-111-超短收'!$B$3:$B$12</c:f>
              <c:numCache>
                <c:formatCode>#,##0</c:formatCode>
                <c:ptCount val="10"/>
                <c:pt idx="0">
                  <c:v>-622</c:v>
                </c:pt>
                <c:pt idx="1">
                  <c:v>720</c:v>
                </c:pt>
                <c:pt idx="2">
                  <c:v>1457</c:v>
                </c:pt>
                <c:pt idx="3">
                  <c:v>938</c:v>
                </c:pt>
                <c:pt idx="4">
                  <c:v>535</c:v>
                </c:pt>
                <c:pt idx="5">
                  <c:v>617</c:v>
                </c:pt>
                <c:pt idx="6">
                  <c:v>390</c:v>
                </c:pt>
                <c:pt idx="7">
                  <c:v>-741</c:v>
                </c:pt>
                <c:pt idx="8">
                  <c:v>3252</c:v>
                </c:pt>
                <c:pt idx="9">
                  <c:v>4002</c:v>
                </c:pt>
              </c:numCache>
            </c:numRef>
          </c:val>
          <c:extLst>
            <c:ext xmlns:c16="http://schemas.microsoft.com/office/drawing/2014/chart" uri="{C3380CC4-5D6E-409C-BE32-E72D297353CC}">
              <c16:uniqueId val="{0000000A-B3D9-4670-8EF1-638017B923F5}"/>
            </c:ext>
          </c:extLst>
        </c:ser>
        <c:dLbls>
          <c:showLegendKey val="0"/>
          <c:showVal val="0"/>
          <c:showCatName val="0"/>
          <c:showSerName val="0"/>
          <c:showPercent val="0"/>
          <c:showBubbleSize val="0"/>
        </c:dLbls>
        <c:gapWidth val="150"/>
        <c:axId val="327776256"/>
        <c:axId val="176131456"/>
      </c:barChart>
      <c:lineChart>
        <c:grouping val="standard"/>
        <c:varyColors val="0"/>
        <c:ser>
          <c:idx val="1"/>
          <c:order val="1"/>
          <c:tx>
            <c:strRef>
              <c:f>'102-111-超短收'!$C$1:$C$2</c:f>
              <c:strCache>
                <c:ptCount val="1"/>
                <c:pt idx="0">
                  <c:v>％</c:v>
                </c:pt>
              </c:strCache>
            </c:strRef>
          </c:tx>
          <c:spPr>
            <a:ln w="25400" cap="flat" cmpd="sng" algn="ctr">
              <a:solidFill>
                <a:schemeClr val="tx1"/>
              </a:solidFill>
              <a:prstDash val="solid"/>
            </a:ln>
            <a:effectLst/>
          </c:spPr>
          <c:marker>
            <c:symbol val="square"/>
            <c:size val="5"/>
            <c:spPr>
              <a:solidFill>
                <a:schemeClr val="lt1"/>
              </a:solidFill>
              <a:ln w="25400" cap="flat" cmpd="sng" algn="ctr">
                <a:solidFill>
                  <a:schemeClr val="tx1"/>
                </a:solidFill>
                <a:prstDash val="solid"/>
              </a:ln>
              <a:effectLst/>
            </c:spPr>
          </c:marker>
          <c:dLbls>
            <c:dLbl>
              <c:idx val="0"/>
              <c:layout>
                <c:manualLayout>
                  <c:x val="2.3442062706514378E-2"/>
                  <c:y val="-3.9371112301620798E-2"/>
                </c:manualLayout>
              </c:layout>
              <c:tx>
                <c:rich>
                  <a:bodyPr/>
                  <a:lstStyle/>
                  <a:p>
                    <a:r>
                      <a:rPr lang="en-US" altLang="en-US" sz="800"/>
                      <a:t>-4.86</a:t>
                    </a:r>
                    <a:r>
                      <a:rPr lang="zh-TW" altLang="en-US" sz="800"/>
                      <a:t>％</a:t>
                    </a:r>
                    <a:endParaRPr lang="en-US" altLang="en-US" sz="800"/>
                  </a:p>
                </c:rich>
              </c:tx>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3D9-4670-8EF1-638017B923F5}"/>
                </c:ext>
              </c:extLst>
            </c:dLbl>
            <c:dLbl>
              <c:idx val="1"/>
              <c:delete val="1"/>
              <c:extLst>
                <c:ext xmlns:c15="http://schemas.microsoft.com/office/drawing/2012/chart" uri="{CE6537A1-D6FC-4f65-9D91-7224C49458BB}"/>
                <c:ext xmlns:c16="http://schemas.microsoft.com/office/drawing/2014/chart" uri="{C3380CC4-5D6E-409C-BE32-E72D297353CC}">
                  <c16:uniqueId val="{0000000C-B3D9-4670-8EF1-638017B923F5}"/>
                </c:ext>
              </c:extLst>
            </c:dLbl>
            <c:dLbl>
              <c:idx val="2"/>
              <c:delete val="1"/>
              <c:extLst>
                <c:ext xmlns:c15="http://schemas.microsoft.com/office/drawing/2012/chart" uri="{CE6537A1-D6FC-4f65-9D91-7224C49458BB}"/>
                <c:ext xmlns:c16="http://schemas.microsoft.com/office/drawing/2014/chart" uri="{C3380CC4-5D6E-409C-BE32-E72D297353CC}">
                  <c16:uniqueId val="{0000000D-B3D9-4670-8EF1-638017B923F5}"/>
                </c:ext>
              </c:extLst>
            </c:dLbl>
            <c:dLbl>
              <c:idx val="3"/>
              <c:delete val="1"/>
              <c:extLst>
                <c:ext xmlns:c15="http://schemas.microsoft.com/office/drawing/2012/chart" uri="{CE6537A1-D6FC-4f65-9D91-7224C49458BB}"/>
                <c:ext xmlns:c16="http://schemas.microsoft.com/office/drawing/2014/chart" uri="{C3380CC4-5D6E-409C-BE32-E72D297353CC}">
                  <c16:uniqueId val="{0000000E-B3D9-4670-8EF1-638017B923F5}"/>
                </c:ext>
              </c:extLst>
            </c:dLbl>
            <c:dLbl>
              <c:idx val="4"/>
              <c:delete val="1"/>
              <c:extLst>
                <c:ext xmlns:c15="http://schemas.microsoft.com/office/drawing/2012/chart" uri="{CE6537A1-D6FC-4f65-9D91-7224C49458BB}"/>
                <c:ext xmlns:c16="http://schemas.microsoft.com/office/drawing/2014/chart" uri="{C3380CC4-5D6E-409C-BE32-E72D297353CC}">
                  <c16:uniqueId val="{0000000F-B3D9-4670-8EF1-638017B923F5}"/>
                </c:ext>
              </c:extLst>
            </c:dLbl>
            <c:dLbl>
              <c:idx val="5"/>
              <c:delete val="1"/>
              <c:extLst>
                <c:ext xmlns:c15="http://schemas.microsoft.com/office/drawing/2012/chart" uri="{CE6537A1-D6FC-4f65-9D91-7224C49458BB}"/>
                <c:ext xmlns:c16="http://schemas.microsoft.com/office/drawing/2014/chart" uri="{C3380CC4-5D6E-409C-BE32-E72D297353CC}">
                  <c16:uniqueId val="{00000010-B3D9-4670-8EF1-638017B923F5}"/>
                </c:ext>
              </c:extLst>
            </c:dLbl>
            <c:dLbl>
              <c:idx val="6"/>
              <c:delete val="1"/>
              <c:extLst>
                <c:ext xmlns:c15="http://schemas.microsoft.com/office/drawing/2012/chart" uri="{CE6537A1-D6FC-4f65-9D91-7224C49458BB}"/>
                <c:ext xmlns:c16="http://schemas.microsoft.com/office/drawing/2014/chart" uri="{C3380CC4-5D6E-409C-BE32-E72D297353CC}">
                  <c16:uniqueId val="{00000011-B3D9-4670-8EF1-638017B923F5}"/>
                </c:ext>
              </c:extLst>
            </c:dLbl>
            <c:dLbl>
              <c:idx val="7"/>
              <c:delete val="1"/>
              <c:extLst>
                <c:ext xmlns:c15="http://schemas.microsoft.com/office/drawing/2012/chart" uri="{CE6537A1-D6FC-4f65-9D91-7224C49458BB}"/>
                <c:ext xmlns:c16="http://schemas.microsoft.com/office/drawing/2014/chart" uri="{C3380CC4-5D6E-409C-BE32-E72D297353CC}">
                  <c16:uniqueId val="{00000012-B3D9-4670-8EF1-638017B923F5}"/>
                </c:ext>
              </c:extLst>
            </c:dLbl>
            <c:dLbl>
              <c:idx val="8"/>
              <c:layout>
                <c:manualLayout>
                  <c:x val="-7.8173858661663542E-2"/>
                  <c:y val="-3.5003281557646031E-2"/>
                </c:manualLayout>
              </c:layout>
              <c:tx>
                <c:rich>
                  <a:bodyPr/>
                  <a:lstStyle/>
                  <a:p>
                    <a:r>
                      <a:rPr lang="en-US" altLang="zh-TW" sz="800"/>
                      <a:t>19.37</a:t>
                    </a:r>
                    <a:r>
                      <a:rPr lang="zh-TW" altLang="en-US" sz="800"/>
                      <a:t>％</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B3D9-4670-8EF1-638017B923F5}"/>
                </c:ext>
              </c:extLst>
            </c:dLbl>
            <c:dLbl>
              <c:idx val="9"/>
              <c:layout>
                <c:manualLayout>
                  <c:x val="-7.3494917904612864E-2"/>
                  <c:y val="-3.9387308533916851E-2"/>
                </c:manualLayout>
              </c:layout>
              <c:tx>
                <c:rich>
                  <a:bodyPr/>
                  <a:lstStyle/>
                  <a:p>
                    <a:r>
                      <a:rPr lang="en-US" altLang="en-US" sz="800"/>
                      <a:t>21.02</a:t>
                    </a:r>
                    <a:r>
                      <a:rPr lang="zh-TW" altLang="en-US" sz="800"/>
                      <a:t>％</a:t>
                    </a:r>
                    <a:endParaRPr lang="en-US" altLang="en-US" sz="800"/>
                  </a:p>
                </c:rich>
              </c:tx>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B3D9-4670-8EF1-638017B923F5}"/>
                </c:ext>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'102-111-超短收'!$A$3:$A$12</c:f>
              <c:numCache>
                <c:formatCode>General</c:formatCode>
                <c:ptCount val="10"/>
                <c:pt idx="0">
                  <c:v>102</c:v>
                </c:pt>
                <c:pt idx="1">
                  <c:v>103</c:v>
                </c:pt>
                <c:pt idx="2">
                  <c:v>104</c:v>
                </c:pt>
                <c:pt idx="3">
                  <c:v>105</c:v>
                </c:pt>
                <c:pt idx="4">
                  <c:v>106</c:v>
                </c:pt>
                <c:pt idx="5">
                  <c:v>107</c:v>
                </c:pt>
                <c:pt idx="6">
                  <c:v>108</c:v>
                </c:pt>
                <c:pt idx="7">
                  <c:v>109</c:v>
                </c:pt>
                <c:pt idx="8">
                  <c:v>110</c:v>
                </c:pt>
                <c:pt idx="9">
                  <c:v>111</c:v>
                </c:pt>
              </c:numCache>
            </c:numRef>
          </c:cat>
          <c:val>
            <c:numRef>
              <c:f>'102-111-超短收'!$C$3:$C$12</c:f>
              <c:numCache>
                <c:formatCode>#,##0.00</c:formatCode>
                <c:ptCount val="10"/>
                <c:pt idx="0">
                  <c:v>-4.8600000000000003</c:v>
                </c:pt>
                <c:pt idx="1">
                  <c:v>5.66</c:v>
                </c:pt>
                <c:pt idx="2">
                  <c:v>11.04</c:v>
                </c:pt>
                <c:pt idx="3">
                  <c:v>6.51</c:v>
                </c:pt>
                <c:pt idx="4">
                  <c:v>3.64</c:v>
                </c:pt>
                <c:pt idx="5">
                  <c:v>3.91</c:v>
                </c:pt>
                <c:pt idx="6">
                  <c:v>2.36</c:v>
                </c:pt>
                <c:pt idx="7">
                  <c:v>-4.41</c:v>
                </c:pt>
                <c:pt idx="8">
                  <c:v>19.37</c:v>
                </c:pt>
                <c:pt idx="9">
                  <c:v>21.02</c:v>
                </c:pt>
              </c:numCache>
            </c:numRef>
          </c:val>
          <c:smooth val="0"/>
          <c:extLst>
            <c:ext xmlns:c16="http://schemas.microsoft.com/office/drawing/2014/chart" uri="{C3380CC4-5D6E-409C-BE32-E72D297353CC}">
              <c16:uniqueId val="{00000015-B3D9-4670-8EF1-638017B923F5}"/>
            </c:ext>
          </c:extLst>
        </c:ser>
        <c:dLbls>
          <c:showLegendKey val="0"/>
          <c:showVal val="0"/>
          <c:showCatName val="0"/>
          <c:showSerName val="0"/>
          <c:showPercent val="0"/>
          <c:showBubbleSize val="0"/>
        </c:dLbls>
        <c:marker val="1"/>
        <c:smooth val="0"/>
        <c:axId val="345151488"/>
        <c:axId val="306519360"/>
      </c:lineChart>
      <c:catAx>
        <c:axId val="32777625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sz="800"/>
            </a:pPr>
            <a:endParaRPr lang="zh-TW"/>
          </a:p>
        </c:txPr>
        <c:crossAx val="176131456"/>
        <c:crosses val="autoZero"/>
        <c:auto val="1"/>
        <c:lblAlgn val="ctr"/>
        <c:lblOffset val="100"/>
        <c:noMultiLvlLbl val="0"/>
      </c:catAx>
      <c:valAx>
        <c:axId val="176131456"/>
        <c:scaling>
          <c:orientation val="minMax"/>
          <c:max val="5000"/>
          <c:min val="-1000"/>
        </c:scaling>
        <c:delete val="0"/>
        <c:axPos val="l"/>
        <c:majorGridlines>
          <c:spPr>
            <a:ln w="9525" cap="flat" cmpd="sng" algn="ctr">
              <a:solidFill>
                <a:schemeClr val="bg1">
                  <a:lumMod val="75000"/>
                </a:schemeClr>
              </a:solidFill>
              <a:round/>
            </a:ln>
            <a:effectLst/>
          </c:spPr>
        </c:majorGridlines>
        <c:numFmt formatCode="#,##0" sourceLinked="0"/>
        <c:majorTickMark val="none"/>
        <c:minorTickMark val="none"/>
        <c:tickLblPos val="nextTo"/>
        <c:spPr>
          <a:noFill/>
          <a:ln>
            <a:noFill/>
          </a:ln>
          <a:effectLst/>
        </c:spPr>
        <c:txPr>
          <a:bodyPr rot="-60000000" vert="horz"/>
          <a:lstStyle/>
          <a:p>
            <a:pPr>
              <a:defRPr/>
            </a:pPr>
            <a:endParaRPr lang="zh-TW"/>
          </a:p>
        </c:txPr>
        <c:crossAx val="327776256"/>
        <c:crosses val="autoZero"/>
        <c:crossBetween val="between"/>
        <c:majorUnit val="1000"/>
      </c:valAx>
      <c:valAx>
        <c:axId val="306519360"/>
        <c:scaling>
          <c:orientation val="minMax"/>
          <c:min val="-5"/>
        </c:scaling>
        <c:delete val="0"/>
        <c:axPos val="r"/>
        <c:numFmt formatCode="#,##0" sourceLinked="0"/>
        <c:majorTickMark val="out"/>
        <c:minorTickMark val="none"/>
        <c:tickLblPos val="nextTo"/>
        <c:spPr>
          <a:noFill/>
          <a:ln>
            <a:noFill/>
          </a:ln>
        </c:spPr>
        <c:crossAx val="345151488"/>
        <c:crosses val="max"/>
        <c:crossBetween val="between"/>
        <c:majorUnit val="5"/>
      </c:valAx>
      <c:catAx>
        <c:axId val="345151488"/>
        <c:scaling>
          <c:orientation val="minMax"/>
        </c:scaling>
        <c:delete val="1"/>
        <c:axPos val="b"/>
        <c:numFmt formatCode="General" sourceLinked="1"/>
        <c:majorTickMark val="out"/>
        <c:minorTickMark val="none"/>
        <c:tickLblPos val="nextTo"/>
        <c:crossAx val="306519360"/>
        <c:crosses val="autoZero"/>
        <c:auto val="1"/>
        <c:lblAlgn val="ctr"/>
        <c:lblOffset val="100"/>
        <c:noMultiLvlLbl val="0"/>
      </c:catAx>
      <c:spPr>
        <a:noFill/>
        <a:ln w="25400">
          <a:noFill/>
        </a:ln>
        <a:effectLst/>
      </c:spPr>
    </c:plotArea>
    <c:legend>
      <c:legendPos val="t"/>
      <c:layout>
        <c:manualLayout>
          <c:xMode val="edge"/>
          <c:yMode val="edge"/>
          <c:x val="0.21915375500075462"/>
          <c:y val="0.12401497286039856"/>
          <c:w val="0.61910997954765534"/>
          <c:h val="6.5235028623459146E-2"/>
        </c:manualLayout>
      </c:layout>
      <c:overlay val="0"/>
      <c:txPr>
        <a:bodyPr/>
        <a:lstStyle/>
        <a:p>
          <a:pPr>
            <a:defRPr sz="900"/>
          </a:pPr>
          <a:endParaRPr lang="zh-TW"/>
        </a:p>
      </c:txPr>
    </c:legend>
    <c:plotVisOnly val="1"/>
    <c:dispBlanksAs val="gap"/>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4726368159203981E-2"/>
          <c:y val="0.14444747673586258"/>
          <c:w val="0.89054726368159209"/>
          <c:h val="0.74100484572624536"/>
        </c:manualLayout>
      </c:layout>
      <c:lineChart>
        <c:grouping val="standard"/>
        <c:varyColors val="0"/>
        <c:ser>
          <c:idx val="0"/>
          <c:order val="0"/>
          <c:tx>
            <c:strRef>
              <c:f>工作表1!$B$1</c:f>
              <c:strCache>
                <c:ptCount val="1"/>
                <c:pt idx="0">
                  <c:v>106年底</c:v>
                </c:pt>
              </c:strCache>
            </c:strRef>
          </c:tx>
          <c:spPr>
            <a:ln w="15875" cap="rnd">
              <a:solidFill>
                <a:srgbClr val="333333"/>
              </a:solidFill>
              <a:prstDash val="sysDash"/>
              <a:round/>
            </a:ln>
            <a:effectLst/>
          </c:spPr>
          <c:marker>
            <c:symbol val="triangle"/>
            <c:size val="6"/>
            <c:spPr>
              <a:solidFill>
                <a:srgbClr val="333333"/>
              </a:solidFill>
              <a:ln w="9525">
                <a:noFill/>
              </a:ln>
              <a:effectLst/>
            </c:spPr>
          </c:marker>
          <c:dLbls>
            <c:dLbl>
              <c:idx val="0"/>
              <c:tx>
                <c:rich>
                  <a:bodyPr/>
                  <a:lstStyle/>
                  <a:p>
                    <a:r>
                      <a:rPr lang="en-US" altLang="en-US"/>
                      <a:t>95.40</a:t>
                    </a:r>
                  </a:p>
                </c:rich>
              </c:tx>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DFC-43FB-BD01-D0A66081FC3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333333"/>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20~24歲</c:v>
                </c:pt>
                <c:pt idx="1">
                  <c:v>25~29歲</c:v>
                </c:pt>
                <c:pt idx="2">
                  <c:v>30~34歲</c:v>
                </c:pt>
                <c:pt idx="3">
                  <c:v>35~39歲</c:v>
                </c:pt>
                <c:pt idx="4">
                  <c:v>40~44歲</c:v>
                </c:pt>
              </c:strCache>
            </c:strRef>
          </c:cat>
          <c:val>
            <c:numRef>
              <c:f>工作表1!$B$2:$B$6</c:f>
              <c:numCache>
                <c:formatCode>General</c:formatCode>
                <c:ptCount val="5"/>
                <c:pt idx="0">
                  <c:v>95.4</c:v>
                </c:pt>
                <c:pt idx="1">
                  <c:v>82.64</c:v>
                </c:pt>
                <c:pt idx="2">
                  <c:v>55.23</c:v>
                </c:pt>
                <c:pt idx="3">
                  <c:v>34.85</c:v>
                </c:pt>
                <c:pt idx="4">
                  <c:v>26.26</c:v>
                </c:pt>
              </c:numCache>
            </c:numRef>
          </c:val>
          <c:smooth val="0"/>
          <c:extLst>
            <c:ext xmlns:c16="http://schemas.microsoft.com/office/drawing/2014/chart" uri="{C3380CC4-5D6E-409C-BE32-E72D297353CC}">
              <c16:uniqueId val="{00000001-DDFC-43FB-BD01-D0A66081FC39}"/>
            </c:ext>
          </c:extLst>
        </c:ser>
        <c:ser>
          <c:idx val="1"/>
          <c:order val="1"/>
          <c:tx>
            <c:strRef>
              <c:f>工作表1!$C$1</c:f>
              <c:strCache>
                <c:ptCount val="1"/>
                <c:pt idx="0">
                  <c:v>111年底</c:v>
                </c:pt>
              </c:strCache>
            </c:strRef>
          </c:tx>
          <c:spPr>
            <a:ln w="19050" cap="rnd">
              <a:solidFill>
                <a:schemeClr val="tx1"/>
              </a:solidFill>
              <a:round/>
            </a:ln>
            <a:effectLst/>
          </c:spPr>
          <c:marker>
            <c:symbol val="square"/>
            <c:size val="5"/>
            <c:spPr>
              <a:solidFill>
                <a:schemeClr val="tx1"/>
              </a:solidFill>
              <a:ln w="9525">
                <a:noFill/>
              </a:ln>
              <a:effectLst/>
            </c:spPr>
          </c:marker>
          <c:dLbls>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20~24歲</c:v>
                </c:pt>
                <c:pt idx="1">
                  <c:v>25~29歲</c:v>
                </c:pt>
                <c:pt idx="2">
                  <c:v>30~34歲</c:v>
                </c:pt>
                <c:pt idx="3">
                  <c:v>35~39歲</c:v>
                </c:pt>
                <c:pt idx="4">
                  <c:v>40~44歲</c:v>
                </c:pt>
              </c:strCache>
            </c:strRef>
          </c:cat>
          <c:val>
            <c:numRef>
              <c:f>工作表1!$C$2:$C$6</c:f>
              <c:numCache>
                <c:formatCode>General</c:formatCode>
                <c:ptCount val="5"/>
                <c:pt idx="0">
                  <c:v>96.05</c:v>
                </c:pt>
                <c:pt idx="1">
                  <c:v>86.03</c:v>
                </c:pt>
                <c:pt idx="2">
                  <c:v>64.540000000000006</c:v>
                </c:pt>
                <c:pt idx="3">
                  <c:v>41.44</c:v>
                </c:pt>
                <c:pt idx="4">
                  <c:v>30.6</c:v>
                </c:pt>
              </c:numCache>
            </c:numRef>
          </c:val>
          <c:smooth val="0"/>
          <c:extLst>
            <c:ext xmlns:c16="http://schemas.microsoft.com/office/drawing/2014/chart" uri="{C3380CC4-5D6E-409C-BE32-E72D297353CC}">
              <c16:uniqueId val="{00000002-DDFC-43FB-BD01-D0A66081FC39}"/>
            </c:ext>
          </c:extLst>
        </c:ser>
        <c:dLbls>
          <c:showLegendKey val="0"/>
          <c:showVal val="0"/>
          <c:showCatName val="0"/>
          <c:showSerName val="0"/>
          <c:showPercent val="0"/>
          <c:showBubbleSize val="0"/>
        </c:dLbls>
        <c:marker val="1"/>
        <c:smooth val="0"/>
        <c:axId val="182824448"/>
        <c:axId val="182702592"/>
      </c:lineChart>
      <c:catAx>
        <c:axId val="182824448"/>
        <c:scaling>
          <c:orientation val="minMax"/>
        </c:scaling>
        <c:delete val="0"/>
        <c:axPos val="b"/>
        <c:numFmt formatCode="General" sourceLinked="1"/>
        <c:majorTickMark val="none"/>
        <c:minorTickMark val="none"/>
        <c:tickLblPos val="nextTo"/>
        <c:spPr>
          <a:noFill/>
          <a:ln w="9525" cap="flat" cmpd="sng" algn="ctr">
            <a:solidFill>
              <a:srgbClr val="5F5F5F"/>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2702592"/>
        <c:crosses val="autoZero"/>
        <c:auto val="1"/>
        <c:lblAlgn val="ctr"/>
        <c:lblOffset val="100"/>
        <c:noMultiLvlLbl val="0"/>
      </c:catAx>
      <c:valAx>
        <c:axId val="182702592"/>
        <c:scaling>
          <c:orientation val="minMax"/>
          <c:max val="120"/>
        </c:scaling>
        <c:delete val="1"/>
        <c:axPos val="l"/>
        <c:numFmt formatCode="General" sourceLinked="1"/>
        <c:majorTickMark val="out"/>
        <c:minorTickMark val="none"/>
        <c:tickLblPos val="nextTo"/>
        <c:crossAx val="182824448"/>
        <c:crosses val="autoZero"/>
        <c:crossBetween val="between"/>
      </c:valAx>
      <c:spPr>
        <a:noFill/>
        <a:ln>
          <a:solidFill>
            <a:srgbClr val="5F5F5F"/>
          </a:solid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rgbClr val="FFFFFF"/>
    </a:solidFill>
    <a:ln w="9525" cap="flat" cmpd="sng" algn="ctr">
      <a:noFill/>
      <a:round/>
    </a:ln>
    <a:effectLst/>
  </c:spPr>
  <c:txPr>
    <a:bodyPr/>
    <a:lstStyle/>
    <a:p>
      <a:pPr>
        <a:defRPr/>
      </a:pPr>
      <a:endParaRPr lang="zh-TW"/>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4726368159203981E-2"/>
          <c:y val="0.14444747673586258"/>
          <c:w val="0.89054726368159209"/>
          <c:h val="0.74688546907232012"/>
        </c:manualLayout>
      </c:layout>
      <c:lineChart>
        <c:grouping val="standard"/>
        <c:varyColors val="0"/>
        <c:ser>
          <c:idx val="0"/>
          <c:order val="0"/>
          <c:tx>
            <c:strRef>
              <c:f>工作表1!$B$1</c:f>
              <c:strCache>
                <c:ptCount val="1"/>
                <c:pt idx="0">
                  <c:v>106年底</c:v>
                </c:pt>
              </c:strCache>
            </c:strRef>
          </c:tx>
          <c:spPr>
            <a:ln w="15875" cap="rnd">
              <a:solidFill>
                <a:srgbClr val="333333"/>
              </a:solidFill>
              <a:prstDash val="sysDash"/>
              <a:round/>
            </a:ln>
            <a:effectLst/>
          </c:spPr>
          <c:marker>
            <c:symbol val="triangle"/>
            <c:size val="6"/>
            <c:spPr>
              <a:solidFill>
                <a:srgbClr val="333333"/>
              </a:solidFill>
              <a:ln w="9525">
                <a:noFill/>
              </a:ln>
              <a:effectLst/>
            </c:spPr>
          </c:marker>
          <c:dLbls>
            <c:dLbl>
              <c:idx val="4"/>
              <c:layout>
                <c:manualLayout>
                  <c:x val="-4.5496533082618404E-2"/>
                  <c:y val="6.49128209164974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9A7-4937-9903-CC8D89B67D7E}"/>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333333"/>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工作表1!$A$2:$A$6</c:f>
              <c:strCache>
                <c:ptCount val="5"/>
                <c:pt idx="0">
                  <c:v>20~24歲</c:v>
                </c:pt>
                <c:pt idx="1">
                  <c:v>25~29歲</c:v>
                </c:pt>
                <c:pt idx="2">
                  <c:v>30~34歲</c:v>
                </c:pt>
                <c:pt idx="3">
                  <c:v>35~39歲</c:v>
                </c:pt>
                <c:pt idx="4">
                  <c:v>40~44歲</c:v>
                </c:pt>
              </c:strCache>
            </c:strRef>
          </c:cat>
          <c:val>
            <c:numRef>
              <c:f>工作表1!$B$2:$B$6</c:f>
              <c:numCache>
                <c:formatCode>General</c:formatCode>
                <c:ptCount val="5"/>
                <c:pt idx="0">
                  <c:v>3.26</c:v>
                </c:pt>
                <c:pt idx="1">
                  <c:v>10.220000000000001</c:v>
                </c:pt>
                <c:pt idx="2">
                  <c:v>20.43</c:v>
                </c:pt>
                <c:pt idx="3">
                  <c:v>21.44</c:v>
                </c:pt>
                <c:pt idx="4">
                  <c:v>19</c:v>
                </c:pt>
              </c:numCache>
            </c:numRef>
          </c:val>
          <c:smooth val="0"/>
          <c:extLst>
            <c:ext xmlns:c16="http://schemas.microsoft.com/office/drawing/2014/chart" uri="{C3380CC4-5D6E-409C-BE32-E72D297353CC}">
              <c16:uniqueId val="{00000001-F9A7-4937-9903-CC8D89B67D7E}"/>
            </c:ext>
          </c:extLst>
        </c:ser>
        <c:ser>
          <c:idx val="1"/>
          <c:order val="1"/>
          <c:tx>
            <c:strRef>
              <c:f>工作表1!$C$1</c:f>
              <c:strCache>
                <c:ptCount val="1"/>
                <c:pt idx="0">
                  <c:v>111年底</c:v>
                </c:pt>
              </c:strCache>
            </c:strRef>
          </c:tx>
          <c:spPr>
            <a:ln w="19050" cap="rnd">
              <a:solidFill>
                <a:schemeClr val="tx1"/>
              </a:solidFill>
              <a:round/>
            </a:ln>
            <a:effectLst/>
          </c:spPr>
          <c:marker>
            <c:symbol val="square"/>
            <c:size val="5"/>
            <c:spPr>
              <a:solidFill>
                <a:schemeClr val="tx1"/>
              </a:solidFill>
              <a:ln w="9525">
                <a:noFill/>
              </a:ln>
              <a:effectLst/>
            </c:spPr>
          </c:marker>
          <c:dLbls>
            <c:dLbl>
              <c:idx val="4"/>
              <c:layout>
                <c:manualLayout>
                  <c:x val="-4.5372350844204087E-2"/>
                  <c:y val="-6.25396825396825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9A7-4937-9903-CC8D89B67D7E}"/>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20~24歲</c:v>
                </c:pt>
                <c:pt idx="1">
                  <c:v>25~29歲</c:v>
                </c:pt>
                <c:pt idx="2">
                  <c:v>30~34歲</c:v>
                </c:pt>
                <c:pt idx="3">
                  <c:v>35~39歲</c:v>
                </c:pt>
                <c:pt idx="4">
                  <c:v>40~44歲</c:v>
                </c:pt>
              </c:strCache>
            </c:strRef>
          </c:cat>
          <c:val>
            <c:numRef>
              <c:f>工作表1!$C$2:$C$6</c:f>
              <c:numCache>
                <c:formatCode>General</c:formatCode>
                <c:ptCount val="5"/>
                <c:pt idx="0">
                  <c:v>2.8</c:v>
                </c:pt>
                <c:pt idx="1">
                  <c:v>8.41</c:v>
                </c:pt>
                <c:pt idx="2">
                  <c:v>17.54</c:v>
                </c:pt>
                <c:pt idx="3">
                  <c:v>21.11</c:v>
                </c:pt>
                <c:pt idx="4">
                  <c:v>20.41</c:v>
                </c:pt>
              </c:numCache>
            </c:numRef>
          </c:val>
          <c:smooth val="0"/>
          <c:extLst>
            <c:ext xmlns:c16="http://schemas.microsoft.com/office/drawing/2014/chart" uri="{C3380CC4-5D6E-409C-BE32-E72D297353CC}">
              <c16:uniqueId val="{00000003-F9A7-4937-9903-CC8D89B67D7E}"/>
            </c:ext>
          </c:extLst>
        </c:ser>
        <c:dLbls>
          <c:showLegendKey val="0"/>
          <c:showVal val="0"/>
          <c:showCatName val="0"/>
          <c:showSerName val="0"/>
          <c:showPercent val="0"/>
          <c:showBubbleSize val="0"/>
        </c:dLbls>
        <c:marker val="1"/>
        <c:smooth val="0"/>
        <c:axId val="182755328"/>
        <c:axId val="182698560"/>
      </c:lineChart>
      <c:catAx>
        <c:axId val="182755328"/>
        <c:scaling>
          <c:orientation val="minMax"/>
        </c:scaling>
        <c:delete val="0"/>
        <c:axPos val="b"/>
        <c:numFmt formatCode="General" sourceLinked="1"/>
        <c:majorTickMark val="none"/>
        <c:minorTickMark val="none"/>
        <c:tickLblPos val="low"/>
        <c:spPr>
          <a:noFill/>
          <a:ln w="9525" cap="flat" cmpd="sng" algn="ctr">
            <a:no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2698560"/>
        <c:crosses val="autoZero"/>
        <c:auto val="1"/>
        <c:lblAlgn val="ctr"/>
        <c:lblOffset val="100"/>
        <c:noMultiLvlLbl val="0"/>
      </c:catAx>
      <c:valAx>
        <c:axId val="182698560"/>
        <c:scaling>
          <c:orientation val="minMax"/>
          <c:max val="35"/>
          <c:min val="-5"/>
        </c:scaling>
        <c:delete val="1"/>
        <c:axPos val="l"/>
        <c:numFmt formatCode="General" sourceLinked="1"/>
        <c:majorTickMark val="out"/>
        <c:minorTickMark val="none"/>
        <c:tickLblPos val="nextTo"/>
        <c:crossAx val="182755328"/>
        <c:crosses val="autoZero"/>
        <c:crossBetween val="between"/>
      </c:valAx>
      <c:spPr>
        <a:noFill/>
        <a:ln>
          <a:solidFill>
            <a:srgbClr val="5F5F5F"/>
          </a:solid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rgbClr val="FFFFFF"/>
    </a:solidFill>
    <a:ln w="9525" cap="flat" cmpd="sng" algn="ctr">
      <a:noFill/>
      <a:round/>
    </a:ln>
    <a:effectLst/>
  </c:spPr>
  <c:txPr>
    <a:bodyPr/>
    <a:lstStyle/>
    <a:p>
      <a:pPr>
        <a:defRPr/>
      </a:pPr>
      <a:endParaRPr lang="zh-TW"/>
    </a:p>
  </c:tx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4726368159203981E-2"/>
          <c:y val="2.2157823492402438E-2"/>
          <c:w val="0.89054726368159209"/>
          <c:h val="0.8356915433996901"/>
        </c:manualLayout>
      </c:layout>
      <c:lineChart>
        <c:grouping val="standard"/>
        <c:varyColors val="0"/>
        <c:ser>
          <c:idx val="0"/>
          <c:order val="0"/>
          <c:tx>
            <c:strRef>
              <c:f>工作表1!$B$1</c:f>
              <c:strCache>
                <c:ptCount val="1"/>
                <c:pt idx="0">
                  <c:v>106年底</c:v>
                </c:pt>
              </c:strCache>
            </c:strRef>
          </c:tx>
          <c:spPr>
            <a:ln w="15875" cap="rnd">
              <a:solidFill>
                <a:srgbClr val="333333"/>
              </a:solidFill>
              <a:prstDash val="sysDash"/>
              <a:round/>
            </a:ln>
            <a:effectLst/>
          </c:spPr>
          <c:marker>
            <c:symbol val="triangle"/>
            <c:size val="6"/>
            <c:spPr>
              <a:solidFill>
                <a:srgbClr val="333333"/>
              </a:solidFill>
              <a:ln w="9525">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333333"/>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20~24歲</c:v>
                </c:pt>
                <c:pt idx="1">
                  <c:v>25~29歲</c:v>
                </c:pt>
                <c:pt idx="2">
                  <c:v>30~34歲</c:v>
                </c:pt>
                <c:pt idx="3">
                  <c:v>35~39歲</c:v>
                </c:pt>
                <c:pt idx="4">
                  <c:v>40~44歲</c:v>
                </c:pt>
              </c:strCache>
            </c:strRef>
          </c:cat>
          <c:val>
            <c:numRef>
              <c:f>工作表1!$B$2:$B$6</c:f>
              <c:numCache>
                <c:formatCode>General</c:formatCode>
                <c:ptCount val="5"/>
                <c:pt idx="0">
                  <c:v>1.1399999999999999</c:v>
                </c:pt>
                <c:pt idx="1">
                  <c:v>5.83</c:v>
                </c:pt>
                <c:pt idx="2">
                  <c:v>19.61</c:v>
                </c:pt>
                <c:pt idx="3">
                  <c:v>34.229999999999997</c:v>
                </c:pt>
                <c:pt idx="4">
                  <c:v>40.21</c:v>
                </c:pt>
              </c:numCache>
            </c:numRef>
          </c:val>
          <c:smooth val="0"/>
          <c:extLst>
            <c:ext xmlns:c16="http://schemas.microsoft.com/office/drawing/2014/chart" uri="{C3380CC4-5D6E-409C-BE32-E72D297353CC}">
              <c16:uniqueId val="{00000000-4F56-4292-BD08-CA9267743968}"/>
            </c:ext>
          </c:extLst>
        </c:ser>
        <c:ser>
          <c:idx val="1"/>
          <c:order val="1"/>
          <c:tx>
            <c:strRef>
              <c:f>工作表1!$C$1</c:f>
              <c:strCache>
                <c:ptCount val="1"/>
                <c:pt idx="0">
                  <c:v>111年底</c:v>
                </c:pt>
              </c:strCache>
            </c:strRef>
          </c:tx>
          <c:spPr>
            <a:ln w="19050" cap="rnd">
              <a:solidFill>
                <a:srgbClr val="333333"/>
              </a:solidFill>
              <a:round/>
            </a:ln>
            <a:effectLst/>
          </c:spPr>
          <c:marker>
            <c:symbol val="square"/>
            <c:size val="5"/>
            <c:spPr>
              <a:solidFill>
                <a:schemeClr val="tx1"/>
              </a:solidFill>
              <a:ln w="9525">
                <a:noFill/>
              </a:ln>
              <a:effectLst/>
            </c:spPr>
          </c:marker>
          <c:dLbls>
            <c:dLbl>
              <c:idx val="0"/>
              <c:layout>
                <c:manualLayout>
                  <c:x val="-8.7164179104477629E-2"/>
                  <c:y val="7.77426992896606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F56-4292-BD08-CA9267743968}"/>
                </c:ext>
              </c:extLst>
            </c:dLbl>
            <c:dLbl>
              <c:idx val="1"/>
              <c:layout>
                <c:manualLayout>
                  <c:x val="-8.7164179104477615E-2"/>
                  <c:y val="7.77426992896606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F56-4292-BD08-CA9267743968}"/>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20~24歲</c:v>
                </c:pt>
                <c:pt idx="1">
                  <c:v>25~29歲</c:v>
                </c:pt>
                <c:pt idx="2">
                  <c:v>30~34歲</c:v>
                </c:pt>
                <c:pt idx="3">
                  <c:v>35~39歲</c:v>
                </c:pt>
                <c:pt idx="4">
                  <c:v>40~44歲</c:v>
                </c:pt>
              </c:strCache>
            </c:strRef>
          </c:cat>
          <c:val>
            <c:numRef>
              <c:f>工作表1!$C$2:$C$6</c:f>
              <c:numCache>
                <c:formatCode>General</c:formatCode>
                <c:ptCount val="5"/>
                <c:pt idx="0">
                  <c:v>0.94</c:v>
                </c:pt>
                <c:pt idx="1">
                  <c:v>4.4400000000000004</c:v>
                </c:pt>
                <c:pt idx="2">
                  <c:v>14.36</c:v>
                </c:pt>
                <c:pt idx="3">
                  <c:v>29.37</c:v>
                </c:pt>
                <c:pt idx="4">
                  <c:v>37.54</c:v>
                </c:pt>
              </c:numCache>
            </c:numRef>
          </c:val>
          <c:smooth val="0"/>
          <c:extLst>
            <c:ext xmlns:c16="http://schemas.microsoft.com/office/drawing/2014/chart" uri="{C3380CC4-5D6E-409C-BE32-E72D297353CC}">
              <c16:uniqueId val="{00000003-4F56-4292-BD08-CA9267743968}"/>
            </c:ext>
          </c:extLst>
        </c:ser>
        <c:dLbls>
          <c:showLegendKey val="0"/>
          <c:showVal val="0"/>
          <c:showCatName val="0"/>
          <c:showSerName val="0"/>
          <c:showPercent val="0"/>
          <c:showBubbleSize val="0"/>
        </c:dLbls>
        <c:marker val="1"/>
        <c:smooth val="0"/>
        <c:axId val="182756352"/>
        <c:axId val="165675008"/>
      </c:lineChart>
      <c:catAx>
        <c:axId val="182756352"/>
        <c:scaling>
          <c:orientation val="minMax"/>
        </c:scaling>
        <c:delete val="0"/>
        <c:axPos val="b"/>
        <c:numFmt formatCode="General" sourceLinked="1"/>
        <c:majorTickMark val="none"/>
        <c:minorTickMark val="none"/>
        <c:tickLblPos val="low"/>
        <c:spPr>
          <a:noFill/>
          <a:ln w="9525" cap="flat" cmpd="sng" algn="ctr">
            <a:no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5675008"/>
        <c:crosses val="autoZero"/>
        <c:auto val="1"/>
        <c:lblAlgn val="ctr"/>
        <c:lblOffset val="100"/>
        <c:noMultiLvlLbl val="0"/>
      </c:catAx>
      <c:valAx>
        <c:axId val="165675008"/>
        <c:scaling>
          <c:orientation val="minMax"/>
          <c:max val="60"/>
          <c:min val="-10"/>
        </c:scaling>
        <c:delete val="1"/>
        <c:axPos val="l"/>
        <c:numFmt formatCode="General" sourceLinked="1"/>
        <c:majorTickMark val="out"/>
        <c:minorTickMark val="none"/>
        <c:tickLblPos val="nextTo"/>
        <c:crossAx val="182756352"/>
        <c:crosses val="autoZero"/>
        <c:crossBetween val="between"/>
      </c:valAx>
      <c:spPr>
        <a:noFill/>
        <a:ln>
          <a:solidFill>
            <a:srgbClr val="5F5F5F"/>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rgbClr val="FFFFFF"/>
    </a:solidFill>
    <a:ln w="9525" cap="flat" cmpd="sng" algn="ctr">
      <a:noFill/>
      <a:round/>
    </a:ln>
    <a:effectLst/>
  </c:spPr>
  <c:txPr>
    <a:bodyPr/>
    <a:lstStyle/>
    <a:p>
      <a:pPr>
        <a:defRPr/>
      </a:pPr>
      <a:endParaRPr lang="zh-TW"/>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4726368159203981E-2"/>
          <c:y val="2.2157823492402438E-2"/>
          <c:w val="0.89054726368159209"/>
          <c:h val="0.8356915433996901"/>
        </c:manualLayout>
      </c:layout>
      <c:lineChart>
        <c:grouping val="standard"/>
        <c:varyColors val="0"/>
        <c:ser>
          <c:idx val="0"/>
          <c:order val="0"/>
          <c:tx>
            <c:strRef>
              <c:f>工作表1!$B$1</c:f>
              <c:strCache>
                <c:ptCount val="1"/>
                <c:pt idx="0">
                  <c:v>106年底</c:v>
                </c:pt>
              </c:strCache>
            </c:strRef>
          </c:tx>
          <c:spPr>
            <a:ln w="15875" cap="rnd">
              <a:solidFill>
                <a:srgbClr val="333333"/>
              </a:solidFill>
              <a:prstDash val="sysDash"/>
              <a:round/>
            </a:ln>
            <a:effectLst/>
          </c:spPr>
          <c:marker>
            <c:symbol val="triangle"/>
            <c:size val="6"/>
            <c:spPr>
              <a:solidFill>
                <a:srgbClr val="333333"/>
              </a:solidFill>
              <a:ln w="9525">
                <a:noFill/>
              </a:ln>
              <a:effectLst/>
            </c:spPr>
          </c:marker>
          <c:dLbls>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333333"/>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20~24歲</c:v>
                </c:pt>
                <c:pt idx="1">
                  <c:v>25~29歲</c:v>
                </c:pt>
                <c:pt idx="2">
                  <c:v>30~34歲</c:v>
                </c:pt>
                <c:pt idx="3">
                  <c:v>35~39歲</c:v>
                </c:pt>
                <c:pt idx="4">
                  <c:v>40~44歲</c:v>
                </c:pt>
              </c:strCache>
            </c:strRef>
          </c:cat>
          <c:val>
            <c:numRef>
              <c:f>工作表1!$B$2:$B$6</c:f>
              <c:numCache>
                <c:formatCode>General</c:formatCode>
                <c:ptCount val="5"/>
                <c:pt idx="0">
                  <c:v>0.2</c:v>
                </c:pt>
                <c:pt idx="1">
                  <c:v>1.3</c:v>
                </c:pt>
                <c:pt idx="2">
                  <c:v>4.72</c:v>
                </c:pt>
                <c:pt idx="3">
                  <c:v>9.48</c:v>
                </c:pt>
                <c:pt idx="4">
                  <c:v>14.52</c:v>
                </c:pt>
              </c:numCache>
            </c:numRef>
          </c:val>
          <c:smooth val="0"/>
          <c:extLst>
            <c:ext xmlns:c16="http://schemas.microsoft.com/office/drawing/2014/chart" uri="{C3380CC4-5D6E-409C-BE32-E72D297353CC}">
              <c16:uniqueId val="{00000000-11ED-4EF7-970E-11F2A08D61C5}"/>
            </c:ext>
          </c:extLst>
        </c:ser>
        <c:ser>
          <c:idx val="1"/>
          <c:order val="1"/>
          <c:tx>
            <c:strRef>
              <c:f>工作表1!$C$1</c:f>
              <c:strCache>
                <c:ptCount val="1"/>
                <c:pt idx="0">
                  <c:v>111年底</c:v>
                </c:pt>
              </c:strCache>
            </c:strRef>
          </c:tx>
          <c:spPr>
            <a:ln w="19050" cap="rnd">
              <a:solidFill>
                <a:schemeClr val="tx1"/>
              </a:solidFill>
              <a:round/>
            </a:ln>
            <a:effectLst/>
          </c:spPr>
          <c:marker>
            <c:symbol val="square"/>
            <c:size val="5"/>
            <c:spPr>
              <a:solidFill>
                <a:schemeClr val="tx1"/>
              </a:solidFill>
              <a:ln w="9525">
                <a:noFill/>
              </a:ln>
              <a:effectLst/>
            </c:spPr>
          </c:marker>
          <c:dLbls>
            <c:numFmt formatCode="#,##0.00_);[Red]\(#,##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工作表1!$A$2:$A$6</c:f>
              <c:strCache>
                <c:ptCount val="5"/>
                <c:pt idx="0">
                  <c:v>20~24歲</c:v>
                </c:pt>
                <c:pt idx="1">
                  <c:v>25~29歲</c:v>
                </c:pt>
                <c:pt idx="2">
                  <c:v>30~34歲</c:v>
                </c:pt>
                <c:pt idx="3">
                  <c:v>35~39歲</c:v>
                </c:pt>
                <c:pt idx="4">
                  <c:v>40~44歲</c:v>
                </c:pt>
              </c:strCache>
            </c:strRef>
          </c:cat>
          <c:val>
            <c:numRef>
              <c:f>工作表1!$C$2:$C$6</c:f>
              <c:numCache>
                <c:formatCode>General</c:formatCode>
                <c:ptCount val="5"/>
                <c:pt idx="0">
                  <c:v>0.2</c:v>
                </c:pt>
                <c:pt idx="1">
                  <c:v>1.1200000000000001</c:v>
                </c:pt>
                <c:pt idx="2">
                  <c:v>3.56</c:v>
                </c:pt>
                <c:pt idx="3">
                  <c:v>8.08</c:v>
                </c:pt>
                <c:pt idx="4">
                  <c:v>11.45</c:v>
                </c:pt>
              </c:numCache>
            </c:numRef>
          </c:val>
          <c:smooth val="0"/>
          <c:extLst>
            <c:ext xmlns:c16="http://schemas.microsoft.com/office/drawing/2014/chart" uri="{C3380CC4-5D6E-409C-BE32-E72D297353CC}">
              <c16:uniqueId val="{00000001-11ED-4EF7-970E-11F2A08D61C5}"/>
            </c:ext>
          </c:extLst>
        </c:ser>
        <c:dLbls>
          <c:showLegendKey val="0"/>
          <c:showVal val="0"/>
          <c:showCatName val="0"/>
          <c:showSerName val="0"/>
          <c:showPercent val="0"/>
          <c:showBubbleSize val="0"/>
        </c:dLbls>
        <c:marker val="1"/>
        <c:smooth val="0"/>
        <c:axId val="182757376"/>
        <c:axId val="165676736"/>
      </c:lineChart>
      <c:catAx>
        <c:axId val="182757376"/>
        <c:scaling>
          <c:orientation val="minMax"/>
        </c:scaling>
        <c:delete val="0"/>
        <c:axPos val="b"/>
        <c:numFmt formatCode="General" sourceLinked="1"/>
        <c:majorTickMark val="none"/>
        <c:minorTickMark val="none"/>
        <c:tickLblPos val="low"/>
        <c:spPr>
          <a:noFill/>
          <a:ln w="9525" cap="flat" cmpd="sng" algn="ctr">
            <a:no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5676736"/>
        <c:crosses val="autoZero"/>
        <c:auto val="1"/>
        <c:lblAlgn val="ctr"/>
        <c:lblOffset val="100"/>
        <c:noMultiLvlLbl val="0"/>
      </c:catAx>
      <c:valAx>
        <c:axId val="165676736"/>
        <c:scaling>
          <c:orientation val="minMax"/>
          <c:max val="30"/>
          <c:min val="-10"/>
        </c:scaling>
        <c:delete val="1"/>
        <c:axPos val="l"/>
        <c:numFmt formatCode="General" sourceLinked="1"/>
        <c:majorTickMark val="out"/>
        <c:minorTickMark val="none"/>
        <c:tickLblPos val="nextTo"/>
        <c:crossAx val="182757376"/>
        <c:crosses val="autoZero"/>
        <c:crossBetween val="between"/>
      </c:valAx>
      <c:spPr>
        <a:noFill/>
        <a:ln>
          <a:solidFill>
            <a:srgbClr val="5F5F5F"/>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rgbClr val="FFFFFF"/>
    </a:solidFill>
    <a:ln w="9525" cap="flat" cmpd="sng" algn="ctr">
      <a:noFill/>
      <a:round/>
    </a:ln>
    <a:effectLst/>
  </c:spPr>
  <c:txPr>
    <a:bodyPr/>
    <a:lstStyle/>
    <a:p>
      <a:pPr>
        <a:defRPr/>
      </a:pPr>
      <a:endParaRPr lang="zh-TW"/>
    </a:p>
  </c:tx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53107984552192"/>
          <c:y val="0.1906796125573271"/>
          <c:w val="0.78320937785723055"/>
          <c:h val="0.6783207704019204"/>
        </c:manualLayout>
      </c:layout>
      <c:lineChart>
        <c:grouping val="stacked"/>
        <c:varyColors val="0"/>
        <c:ser>
          <c:idx val="1"/>
          <c:order val="1"/>
          <c:tx>
            <c:strRef>
              <c:f>工作表1!$C$2</c:f>
              <c:strCache>
                <c:ptCount val="1"/>
                <c:pt idx="0">
                  <c:v>吉尼係數（左標）</c:v>
                </c:pt>
              </c:strCache>
            </c:strRef>
          </c:tx>
          <c:spPr>
            <a:ln w="28575" cap="rnd">
              <a:solidFill>
                <a:schemeClr val="bg1">
                  <a:lumMod val="50000"/>
                </a:schemeClr>
              </a:solidFill>
              <a:prstDash val="sysDash"/>
              <a:round/>
            </a:ln>
            <a:effectLst/>
          </c:spPr>
          <c:marker>
            <c:symbol val="circle"/>
            <c:size val="5"/>
            <c:spPr>
              <a:solidFill>
                <a:schemeClr val="bg1">
                  <a:lumMod val="50000"/>
                </a:schemeClr>
              </a:solidFill>
              <a:ln w="9525">
                <a:solidFill>
                  <a:schemeClr val="bg1">
                    <a:lumMod val="50000"/>
                  </a:schemeClr>
                </a:solidFill>
              </a:ln>
              <a:effectLst/>
            </c:spPr>
          </c:marker>
          <c:dLbls>
            <c:dLbl>
              <c:idx val="0"/>
              <c:layout>
                <c:manualLayout>
                  <c:x val="-1.1554015020219553E-2"/>
                  <c:y val="-4.12654745529573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48F-4CC9-AC55-81DFEA388DCF}"/>
                </c:ext>
              </c:extLst>
            </c:dLbl>
            <c:dLbl>
              <c:idx val="1"/>
              <c:delete val="1"/>
              <c:extLst>
                <c:ext xmlns:c15="http://schemas.microsoft.com/office/drawing/2012/chart" uri="{CE6537A1-D6FC-4f65-9D91-7224C49458BB}"/>
                <c:ext xmlns:c16="http://schemas.microsoft.com/office/drawing/2014/chart" uri="{C3380CC4-5D6E-409C-BE32-E72D297353CC}">
                  <c16:uniqueId val="{00000001-448F-4CC9-AC55-81DFEA388DCF}"/>
                </c:ext>
              </c:extLst>
            </c:dLbl>
            <c:dLbl>
              <c:idx val="2"/>
              <c:delete val="1"/>
              <c:extLst>
                <c:ext xmlns:c15="http://schemas.microsoft.com/office/drawing/2012/chart" uri="{CE6537A1-D6FC-4f65-9D91-7224C49458BB}"/>
                <c:ext xmlns:c16="http://schemas.microsoft.com/office/drawing/2014/chart" uri="{C3380CC4-5D6E-409C-BE32-E72D297353CC}">
                  <c16:uniqueId val="{00000002-448F-4CC9-AC55-81DFEA388DCF}"/>
                </c:ext>
              </c:extLst>
            </c:dLbl>
            <c:dLbl>
              <c:idx val="3"/>
              <c:delete val="1"/>
              <c:extLst>
                <c:ext xmlns:c15="http://schemas.microsoft.com/office/drawing/2012/chart" uri="{CE6537A1-D6FC-4f65-9D91-7224C49458BB}"/>
                <c:ext xmlns:c16="http://schemas.microsoft.com/office/drawing/2014/chart" uri="{C3380CC4-5D6E-409C-BE32-E72D297353CC}">
                  <c16:uniqueId val="{00000003-448F-4CC9-AC55-81DFEA388DCF}"/>
                </c:ext>
              </c:extLst>
            </c:dLbl>
            <c:dLbl>
              <c:idx val="4"/>
              <c:delete val="1"/>
              <c:extLst>
                <c:ext xmlns:c15="http://schemas.microsoft.com/office/drawing/2012/chart" uri="{CE6537A1-D6FC-4f65-9D91-7224C49458BB}"/>
                <c:ext xmlns:c16="http://schemas.microsoft.com/office/drawing/2014/chart" uri="{C3380CC4-5D6E-409C-BE32-E72D297353CC}">
                  <c16:uniqueId val="{00000004-448F-4CC9-AC55-81DFEA388DCF}"/>
                </c:ext>
              </c:extLst>
            </c:dLbl>
            <c:dLbl>
              <c:idx val="5"/>
              <c:layout>
                <c:manualLayout>
                  <c:x val="-2.8885037550548817E-2"/>
                  <c:y val="7.33608436497019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48F-4CC9-AC55-81DFEA388DCF}"/>
                </c:ext>
              </c:extLst>
            </c:dLbl>
            <c:dLbl>
              <c:idx val="6"/>
              <c:delete val="1"/>
              <c:extLst>
                <c:ext xmlns:c15="http://schemas.microsoft.com/office/drawing/2012/chart" uri="{CE6537A1-D6FC-4f65-9D91-7224C49458BB}"/>
                <c:ext xmlns:c16="http://schemas.microsoft.com/office/drawing/2014/chart" uri="{C3380CC4-5D6E-409C-BE32-E72D297353CC}">
                  <c16:uniqueId val="{00000006-448F-4CC9-AC55-81DFEA388DCF}"/>
                </c:ext>
              </c:extLst>
            </c:dLbl>
            <c:dLbl>
              <c:idx val="7"/>
              <c:delete val="1"/>
              <c:extLst>
                <c:ext xmlns:c15="http://schemas.microsoft.com/office/drawing/2012/chart" uri="{CE6537A1-D6FC-4f65-9D91-7224C49458BB}"/>
                <c:ext xmlns:c16="http://schemas.microsoft.com/office/drawing/2014/chart" uri="{C3380CC4-5D6E-409C-BE32-E72D297353CC}">
                  <c16:uniqueId val="{00000007-448F-4CC9-AC55-81DFEA388DCF}"/>
                </c:ext>
              </c:extLst>
            </c:dLbl>
            <c:dLbl>
              <c:idx val="8"/>
              <c:delete val="1"/>
              <c:extLst>
                <c:ext xmlns:c15="http://schemas.microsoft.com/office/drawing/2012/chart" uri="{CE6537A1-D6FC-4f65-9D91-7224C49458BB}"/>
                <c:ext xmlns:c16="http://schemas.microsoft.com/office/drawing/2014/chart" uri="{C3380CC4-5D6E-409C-BE32-E72D297353CC}">
                  <c16:uniqueId val="{00000008-448F-4CC9-AC55-81DFEA388DCF}"/>
                </c:ext>
              </c:extLst>
            </c:dLbl>
            <c:dLbl>
              <c:idx val="9"/>
              <c:layout>
                <c:manualLayout>
                  <c:x val="-6.6435586366262386E-2"/>
                  <c:y val="7.12150082663154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48F-4CC9-AC55-81DFEA388DCF}"/>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工作表1!$A$14:$A$23</c:f>
              <c:strCache>
                <c:ptCount val="10"/>
                <c:pt idx="0">
                  <c:v>101</c:v>
                </c:pt>
                <c:pt idx="1">
                  <c:v>102</c:v>
                </c:pt>
                <c:pt idx="2">
                  <c:v>103</c:v>
                </c:pt>
                <c:pt idx="3">
                  <c:v>104</c:v>
                </c:pt>
                <c:pt idx="4">
                  <c:v>105</c:v>
                </c:pt>
                <c:pt idx="5">
                  <c:v>106</c:v>
                </c:pt>
                <c:pt idx="6">
                  <c:v>107</c:v>
                </c:pt>
                <c:pt idx="7">
                  <c:v>108</c:v>
                </c:pt>
                <c:pt idx="8">
                  <c:v>109</c:v>
                </c:pt>
                <c:pt idx="9">
                  <c:v>110</c:v>
                </c:pt>
              </c:strCache>
            </c:strRef>
          </c:cat>
          <c:val>
            <c:numRef>
              <c:f>工作表1!$C$14:$C$23</c:f>
              <c:numCache>
                <c:formatCode>General</c:formatCode>
                <c:ptCount val="10"/>
                <c:pt idx="0">
                  <c:v>0.33800000000000002</c:v>
                </c:pt>
                <c:pt idx="1">
                  <c:v>0.33600000000000002</c:v>
                </c:pt>
                <c:pt idx="2">
                  <c:v>0.33600000000000002</c:v>
                </c:pt>
                <c:pt idx="3">
                  <c:v>0.33800000000000002</c:v>
                </c:pt>
                <c:pt idx="4">
                  <c:v>0.33600000000000002</c:v>
                </c:pt>
                <c:pt idx="5">
                  <c:v>0.33700000000000002</c:v>
                </c:pt>
                <c:pt idx="6">
                  <c:v>0.33800000000000002</c:v>
                </c:pt>
                <c:pt idx="7">
                  <c:v>0.33900000000000002</c:v>
                </c:pt>
                <c:pt idx="8">
                  <c:v>0.34</c:v>
                </c:pt>
                <c:pt idx="9">
                  <c:v>0.34100000000000003</c:v>
                </c:pt>
              </c:numCache>
            </c:numRef>
          </c:val>
          <c:smooth val="0"/>
          <c:extLst>
            <c:ext xmlns:c16="http://schemas.microsoft.com/office/drawing/2014/chart" uri="{C3380CC4-5D6E-409C-BE32-E72D297353CC}">
              <c16:uniqueId val="{0000000A-448F-4CC9-AC55-81DFEA388DCF}"/>
            </c:ext>
          </c:extLst>
        </c:ser>
        <c:dLbls>
          <c:showLegendKey val="0"/>
          <c:showVal val="0"/>
          <c:showCatName val="0"/>
          <c:showSerName val="0"/>
          <c:showPercent val="0"/>
          <c:showBubbleSize val="0"/>
        </c:dLbls>
        <c:marker val="1"/>
        <c:smooth val="0"/>
        <c:axId val="911926928"/>
        <c:axId val="771099648"/>
      </c:lineChart>
      <c:lineChart>
        <c:grouping val="stacked"/>
        <c:varyColors val="0"/>
        <c:ser>
          <c:idx val="0"/>
          <c:order val="0"/>
          <c:tx>
            <c:strRef>
              <c:f>工作表1!$B$2</c:f>
              <c:strCache>
                <c:ptCount val="1"/>
                <c:pt idx="0">
                  <c:v>第五分位組為第一分位組之倍數（右標）</c:v>
                </c:pt>
              </c:strCache>
            </c:strRef>
          </c:tx>
          <c:spPr>
            <a:ln w="28575" cap="rnd">
              <a:solidFill>
                <a:schemeClr val="tx1"/>
              </a:solidFill>
              <a:round/>
            </a:ln>
            <a:effectLst/>
          </c:spPr>
          <c:marker>
            <c:symbol val="square"/>
            <c:size val="5"/>
            <c:spPr>
              <a:solidFill>
                <a:schemeClr val="tx1"/>
              </a:solidFill>
              <a:ln w="9525">
                <a:solidFill>
                  <a:schemeClr val="tx1"/>
                </a:solidFill>
              </a:ln>
              <a:effectLst/>
            </c:spPr>
          </c:marker>
          <c:dLbls>
            <c:dLbl>
              <c:idx val="0"/>
              <c:layout>
                <c:manualLayout>
                  <c:x val="-1.2041778530544094E-2"/>
                  <c:y val="-4.12654269280170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48F-4CC9-AC55-81DFEA388DCF}"/>
                </c:ext>
              </c:extLst>
            </c:dLbl>
            <c:dLbl>
              <c:idx val="1"/>
              <c:delete val="1"/>
              <c:extLst>
                <c:ext xmlns:c15="http://schemas.microsoft.com/office/drawing/2012/chart" uri="{CE6537A1-D6FC-4f65-9D91-7224C49458BB}"/>
                <c:ext xmlns:c16="http://schemas.microsoft.com/office/drawing/2014/chart" uri="{C3380CC4-5D6E-409C-BE32-E72D297353CC}">
                  <c16:uniqueId val="{0000000C-448F-4CC9-AC55-81DFEA388DCF}"/>
                </c:ext>
              </c:extLst>
            </c:dLbl>
            <c:dLbl>
              <c:idx val="2"/>
              <c:delete val="1"/>
              <c:extLst>
                <c:ext xmlns:c15="http://schemas.microsoft.com/office/drawing/2012/chart" uri="{CE6537A1-D6FC-4f65-9D91-7224C49458BB}"/>
                <c:ext xmlns:c16="http://schemas.microsoft.com/office/drawing/2014/chart" uri="{C3380CC4-5D6E-409C-BE32-E72D297353CC}">
                  <c16:uniqueId val="{0000000D-448F-4CC9-AC55-81DFEA388DCF}"/>
                </c:ext>
              </c:extLst>
            </c:dLbl>
            <c:dLbl>
              <c:idx val="3"/>
              <c:delete val="1"/>
              <c:extLst>
                <c:ext xmlns:c15="http://schemas.microsoft.com/office/drawing/2012/chart" uri="{CE6537A1-D6FC-4f65-9D91-7224C49458BB}"/>
                <c:ext xmlns:c16="http://schemas.microsoft.com/office/drawing/2014/chart" uri="{C3380CC4-5D6E-409C-BE32-E72D297353CC}">
                  <c16:uniqueId val="{0000000E-448F-4CC9-AC55-81DFEA388DCF}"/>
                </c:ext>
              </c:extLst>
            </c:dLbl>
            <c:dLbl>
              <c:idx val="4"/>
              <c:delete val="1"/>
              <c:extLst>
                <c:ext xmlns:c15="http://schemas.microsoft.com/office/drawing/2012/chart" uri="{CE6537A1-D6FC-4f65-9D91-7224C49458BB}"/>
                <c:ext xmlns:c16="http://schemas.microsoft.com/office/drawing/2014/chart" uri="{C3380CC4-5D6E-409C-BE32-E72D297353CC}">
                  <c16:uniqueId val="{0000000F-448F-4CC9-AC55-81DFEA388DCF}"/>
                </c:ext>
              </c:extLst>
            </c:dLbl>
            <c:dLbl>
              <c:idx val="5"/>
              <c:layout>
                <c:manualLayout>
                  <c:x val="-5.1993067590987867E-2"/>
                  <c:y val="-8.25309491059147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48F-4CC9-AC55-81DFEA388DCF}"/>
                </c:ext>
              </c:extLst>
            </c:dLbl>
            <c:dLbl>
              <c:idx val="6"/>
              <c:delete val="1"/>
              <c:extLst>
                <c:ext xmlns:c15="http://schemas.microsoft.com/office/drawing/2012/chart" uri="{CE6537A1-D6FC-4f65-9D91-7224C49458BB}"/>
                <c:ext xmlns:c16="http://schemas.microsoft.com/office/drawing/2014/chart" uri="{C3380CC4-5D6E-409C-BE32-E72D297353CC}">
                  <c16:uniqueId val="{00000011-448F-4CC9-AC55-81DFEA388DCF}"/>
                </c:ext>
              </c:extLst>
            </c:dLbl>
            <c:dLbl>
              <c:idx val="7"/>
              <c:delete val="1"/>
              <c:extLst>
                <c:ext xmlns:c15="http://schemas.microsoft.com/office/drawing/2012/chart" uri="{CE6537A1-D6FC-4f65-9D91-7224C49458BB}"/>
                <c:ext xmlns:c16="http://schemas.microsoft.com/office/drawing/2014/chart" uri="{C3380CC4-5D6E-409C-BE32-E72D297353CC}">
                  <c16:uniqueId val="{00000012-448F-4CC9-AC55-81DFEA388DCF}"/>
                </c:ext>
              </c:extLst>
            </c:dLbl>
            <c:dLbl>
              <c:idx val="8"/>
              <c:delete val="1"/>
              <c:extLst>
                <c:ext xmlns:c15="http://schemas.microsoft.com/office/drawing/2012/chart" uri="{CE6537A1-D6FC-4f65-9D91-7224C49458BB}"/>
                <c:ext xmlns:c16="http://schemas.microsoft.com/office/drawing/2014/chart" uri="{C3380CC4-5D6E-409C-BE32-E72D297353CC}">
                  <c16:uniqueId val="{00000013-448F-4CC9-AC55-81DFEA388DCF}"/>
                </c:ext>
              </c:extLst>
            </c:dLbl>
            <c:dLbl>
              <c:idx val="9"/>
              <c:layout>
                <c:manualLayout>
                  <c:x val="-7.2212593876372147E-2"/>
                  <c:y val="-6.55369368864479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448F-4CC9-AC55-81DFEA388DCF}"/>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工作表1!$A$14:$A$23</c:f>
              <c:strCache>
                <c:ptCount val="10"/>
                <c:pt idx="0">
                  <c:v>101</c:v>
                </c:pt>
                <c:pt idx="1">
                  <c:v>102</c:v>
                </c:pt>
                <c:pt idx="2">
                  <c:v>103</c:v>
                </c:pt>
                <c:pt idx="3">
                  <c:v>104</c:v>
                </c:pt>
                <c:pt idx="4">
                  <c:v>105</c:v>
                </c:pt>
                <c:pt idx="5">
                  <c:v>106</c:v>
                </c:pt>
                <c:pt idx="6">
                  <c:v>107</c:v>
                </c:pt>
                <c:pt idx="7">
                  <c:v>108</c:v>
                </c:pt>
                <c:pt idx="8">
                  <c:v>109</c:v>
                </c:pt>
                <c:pt idx="9">
                  <c:v>110</c:v>
                </c:pt>
              </c:strCache>
            </c:strRef>
          </c:cat>
          <c:val>
            <c:numRef>
              <c:f>工作表1!$B$14:$B$23</c:f>
              <c:numCache>
                <c:formatCode>General</c:formatCode>
                <c:ptCount val="10"/>
                <c:pt idx="0">
                  <c:v>6.13</c:v>
                </c:pt>
                <c:pt idx="1">
                  <c:v>6.08</c:v>
                </c:pt>
                <c:pt idx="2">
                  <c:v>6.05</c:v>
                </c:pt>
                <c:pt idx="3">
                  <c:v>6.06</c:v>
                </c:pt>
                <c:pt idx="4">
                  <c:v>6.08</c:v>
                </c:pt>
                <c:pt idx="5">
                  <c:v>6.07</c:v>
                </c:pt>
                <c:pt idx="6">
                  <c:v>6.09</c:v>
                </c:pt>
                <c:pt idx="7">
                  <c:v>6.1</c:v>
                </c:pt>
                <c:pt idx="8">
                  <c:v>6.13</c:v>
                </c:pt>
                <c:pt idx="9">
                  <c:v>6.15</c:v>
                </c:pt>
              </c:numCache>
            </c:numRef>
          </c:val>
          <c:smooth val="0"/>
          <c:extLst>
            <c:ext xmlns:c16="http://schemas.microsoft.com/office/drawing/2014/chart" uri="{C3380CC4-5D6E-409C-BE32-E72D297353CC}">
              <c16:uniqueId val="{00000015-448F-4CC9-AC55-81DFEA388DCF}"/>
            </c:ext>
          </c:extLst>
        </c:ser>
        <c:dLbls>
          <c:showLegendKey val="0"/>
          <c:showVal val="0"/>
          <c:showCatName val="0"/>
          <c:showSerName val="0"/>
          <c:showPercent val="0"/>
          <c:showBubbleSize val="0"/>
        </c:dLbls>
        <c:marker val="1"/>
        <c:smooth val="0"/>
        <c:axId val="1011441632"/>
        <c:axId val="1011447040"/>
      </c:lineChart>
      <c:catAx>
        <c:axId val="911926928"/>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年度</a:t>
                </a:r>
              </a:p>
            </c:rich>
          </c:tx>
          <c:layout>
            <c:manualLayout>
              <c:xMode val="edge"/>
              <c:yMode val="edge"/>
              <c:x val="0.90536277186457226"/>
              <c:y val="0.87686926144908039"/>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71099648"/>
        <c:crosses val="autoZero"/>
        <c:auto val="1"/>
        <c:lblAlgn val="ctr"/>
        <c:lblOffset val="100"/>
        <c:noMultiLvlLbl val="0"/>
      </c:catAx>
      <c:valAx>
        <c:axId val="771099648"/>
        <c:scaling>
          <c:orientation val="minMax"/>
          <c:max val="0.34500000000000008"/>
          <c:min val="0.33500000000000008"/>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係</a:t>
                </a:r>
                <a:r>
                  <a:rPr lang="zh-TW"/>
                  <a:t>數</a:t>
                </a:r>
              </a:p>
            </c:rich>
          </c:tx>
          <c:layout>
            <c:manualLayout>
              <c:xMode val="edge"/>
              <c:yMode val="edge"/>
              <c:x val="2.3494957867108715E-2"/>
              <c:y val="5.2552074607695315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11926928"/>
        <c:crosses val="autoZero"/>
        <c:crossBetween val="between"/>
        <c:majorUnit val="2.0000000000000005E-3"/>
      </c:valAx>
      <c:valAx>
        <c:axId val="1011447040"/>
        <c:scaling>
          <c:orientation val="minMax"/>
          <c:max val="6.2"/>
          <c:min val="5.95"/>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倍</a:t>
                </a:r>
              </a:p>
            </c:rich>
          </c:tx>
          <c:layout>
            <c:manualLayout>
              <c:xMode val="edge"/>
              <c:yMode val="edge"/>
              <c:x val="0.92826993879769593"/>
              <c:y val="5.9930753336683976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00_);[Red]\(#,##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11441632"/>
        <c:crosses val="max"/>
        <c:crossBetween val="between"/>
        <c:majorUnit val="5.000000000000001E-2"/>
      </c:valAx>
      <c:catAx>
        <c:axId val="1011441632"/>
        <c:scaling>
          <c:orientation val="minMax"/>
        </c:scaling>
        <c:delete val="1"/>
        <c:axPos val="b"/>
        <c:numFmt formatCode="General" sourceLinked="1"/>
        <c:majorTickMark val="out"/>
        <c:minorTickMark val="none"/>
        <c:tickLblPos val="nextTo"/>
        <c:crossAx val="1011447040"/>
        <c:crosses val="autoZero"/>
        <c:auto val="1"/>
        <c:lblAlgn val="ctr"/>
        <c:lblOffset val="100"/>
        <c:noMultiLvlLbl val="0"/>
      </c:catAx>
      <c:spPr>
        <a:noFill/>
        <a:ln>
          <a:noFill/>
        </a:ln>
        <a:effectLst/>
      </c:spPr>
    </c:plotArea>
    <c:legend>
      <c:legendPos val="b"/>
      <c:layout>
        <c:manualLayout>
          <c:xMode val="edge"/>
          <c:yMode val="edge"/>
          <c:x val="0.10699532123701928"/>
          <c:y val="8.5841849556039532E-2"/>
          <c:w val="0.77185366703303959"/>
          <c:h val="0.2090015077902496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zero"/>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75733654819171"/>
          <c:y val="0.10483725971500527"/>
          <c:w val="0.8116892997071018"/>
          <c:h val="0.64594259725631464"/>
        </c:manualLayout>
      </c:layout>
      <c:lineChart>
        <c:grouping val="standard"/>
        <c:varyColors val="0"/>
        <c:ser>
          <c:idx val="1"/>
          <c:order val="0"/>
          <c:tx>
            <c:v>受僱人員報酬占國內生產毛額比率</c:v>
          </c:tx>
          <c:spPr>
            <a:ln w="25400" cap="rnd">
              <a:solidFill>
                <a:schemeClr val="tx1"/>
              </a:solidFill>
              <a:prstDash val="dash"/>
              <a:round/>
            </a:ln>
            <a:effectLst/>
          </c:spPr>
          <c:marker>
            <c:symbol val="triangle"/>
            <c:size val="5"/>
            <c:spPr>
              <a:solidFill>
                <a:schemeClr val="tx1"/>
              </a:solidFill>
              <a:ln w="9525">
                <a:solidFill>
                  <a:schemeClr val="tx1"/>
                </a:solidFill>
              </a:ln>
              <a:effectLst/>
            </c:spPr>
          </c:marker>
          <c:dLbls>
            <c:dLbl>
              <c:idx val="1"/>
              <c:layout>
                <c:manualLayout>
                  <c:x val="-7.407407407407407E-2"/>
                  <c:y val="-7.18993409227082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472-41B7-B136-36FE65C7AB11}"/>
                </c:ext>
              </c:extLst>
            </c:dLbl>
            <c:dLbl>
              <c:idx val="2"/>
              <c:layout>
                <c:manualLayout>
                  <c:x val="-7.4074074074074098E-2"/>
                  <c:y val="-6.59077291791491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472-41B7-B136-36FE65C7AB11}"/>
                </c:ext>
              </c:extLst>
            </c:dLbl>
            <c:dLbl>
              <c:idx val="3"/>
              <c:layout>
                <c:manualLayout>
                  <c:x val="-6.7632850241545889E-2"/>
                  <c:y val="-8.98741761533852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472-41B7-B136-36FE65C7AB11}"/>
                </c:ext>
              </c:extLst>
            </c:dLbl>
            <c:dLbl>
              <c:idx val="4"/>
              <c:layout>
                <c:manualLayout>
                  <c:x val="-6.1191626409017714E-2"/>
                  <c:y val="-5.99161174355901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472-41B7-B136-36FE65C7AB11}"/>
                </c:ext>
              </c:extLst>
            </c:dLbl>
            <c:dLbl>
              <c:idx val="5"/>
              <c:layout>
                <c:manualLayout>
                  <c:x val="-6.1191626409017714E-2"/>
                  <c:y val="-8.98741761533852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472-41B7-B136-36FE65C7AB11}"/>
                </c:ext>
              </c:extLst>
            </c:dLbl>
            <c:dLbl>
              <c:idx val="6"/>
              <c:layout>
                <c:manualLayout>
                  <c:x val="-5.4750402576489651E-2"/>
                  <c:y val="-5.39245056920311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472-41B7-B136-36FE65C7AB11}"/>
                </c:ext>
              </c:extLst>
            </c:dLbl>
            <c:dLbl>
              <c:idx val="7"/>
              <c:layout>
                <c:manualLayout>
                  <c:x val="-6.3607085346215786E-2"/>
                  <c:y val="-0.10095865787896947"/>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472-41B7-B136-36FE65C7AB11}"/>
                </c:ext>
              </c:extLst>
            </c:dLbl>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Sheet1!$A$4:$A$22</c:f>
              <c:numCache>
                <c:formatCode>General</c:formatCode>
                <c:ptCount val="10"/>
                <c:pt idx="0">
                  <c:v>101</c:v>
                </c:pt>
                <c:pt idx="1">
                  <c:v>102</c:v>
                </c:pt>
                <c:pt idx="2">
                  <c:v>103</c:v>
                </c:pt>
                <c:pt idx="3">
                  <c:v>104</c:v>
                </c:pt>
                <c:pt idx="4">
                  <c:v>105</c:v>
                </c:pt>
                <c:pt idx="5">
                  <c:v>106</c:v>
                </c:pt>
                <c:pt idx="6">
                  <c:v>107</c:v>
                </c:pt>
                <c:pt idx="7">
                  <c:v>108</c:v>
                </c:pt>
                <c:pt idx="8">
                  <c:v>109</c:v>
                </c:pt>
                <c:pt idx="9">
                  <c:v>110</c:v>
                </c:pt>
              </c:numCache>
            </c:numRef>
          </c:cat>
          <c:val>
            <c:numRef>
              <c:f>Sheet1!$I$4:$I$22</c:f>
              <c:numCache>
                <c:formatCode>###,###,##0.00</c:formatCode>
                <c:ptCount val="10"/>
                <c:pt idx="0">
                  <c:v>45.766900444438093</c:v>
                </c:pt>
                <c:pt idx="1">
                  <c:v>44.595273377915071</c:v>
                </c:pt>
                <c:pt idx="2">
                  <c:v>44.043882515186347</c:v>
                </c:pt>
                <c:pt idx="3">
                  <c:v>44.158666527244335</c:v>
                </c:pt>
                <c:pt idx="4">
                  <c:v>44.094217188823322</c:v>
                </c:pt>
                <c:pt idx="5">
                  <c:v>44.447419346566377</c:v>
                </c:pt>
                <c:pt idx="6">
                  <c:v>45.614586355835726</c:v>
                </c:pt>
                <c:pt idx="7">
                  <c:v>46.038542060105563</c:v>
                </c:pt>
                <c:pt idx="8">
                  <c:v>44.700190367645185</c:v>
                </c:pt>
                <c:pt idx="9">
                  <c:v>43.030062817388725</c:v>
                </c:pt>
              </c:numCache>
            </c:numRef>
          </c:val>
          <c:smooth val="0"/>
          <c:extLst>
            <c:ext xmlns:c16="http://schemas.microsoft.com/office/drawing/2014/chart" uri="{C3380CC4-5D6E-409C-BE32-E72D297353CC}">
              <c16:uniqueId val="{00000007-D472-41B7-B136-36FE65C7AB11}"/>
            </c:ext>
          </c:extLst>
        </c:ser>
        <c:ser>
          <c:idx val="2"/>
          <c:order val="1"/>
          <c:tx>
            <c:v>營業盈餘占國內生產毛額比率</c:v>
          </c:tx>
          <c:spPr>
            <a:ln w="28575" cap="rnd">
              <a:solidFill>
                <a:schemeClr val="tx1">
                  <a:lumMod val="65000"/>
                  <a:lumOff val="35000"/>
                </a:schemeClr>
              </a:solidFill>
              <a:round/>
            </a:ln>
            <a:effectLst/>
          </c:spPr>
          <c:marker>
            <c:symbol val="circle"/>
            <c:size val="5"/>
            <c:spPr>
              <a:solidFill>
                <a:schemeClr val="tx1">
                  <a:lumMod val="65000"/>
                  <a:lumOff val="35000"/>
                </a:schemeClr>
              </a:solidFill>
              <a:ln w="9525">
                <a:solidFill>
                  <a:schemeClr val="tx1">
                    <a:lumMod val="65000"/>
                    <a:lumOff val="35000"/>
                  </a:schemeClr>
                </a:solidFill>
              </a:ln>
              <a:effectLst/>
            </c:spPr>
          </c:marker>
          <c:dLbls>
            <c:dLbl>
              <c:idx val="1"/>
              <c:layout>
                <c:manualLayout>
                  <c:x val="-8.373590982286637E-2"/>
                  <c:y val="-9.58657878969442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472-41B7-B136-36FE65C7AB11}"/>
                </c:ext>
              </c:extLst>
            </c:dLbl>
            <c:dLbl>
              <c:idx val="2"/>
              <c:layout>
                <c:manualLayout>
                  <c:x val="-7.729468599033823E-2"/>
                  <c:y val="-8.98741761533852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472-41B7-B136-36FE65C7AB11}"/>
                </c:ext>
              </c:extLst>
            </c:dLbl>
            <c:dLbl>
              <c:idx val="3"/>
              <c:layout>
                <c:manualLayout>
                  <c:x val="-6.119162640901777E-2"/>
                  <c:y val="-4.79328939484721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472-41B7-B136-36FE65C7AB11}"/>
                </c:ext>
              </c:extLst>
            </c:dLbl>
            <c:dLbl>
              <c:idx val="4"/>
              <c:layout>
                <c:manualLayout>
                  <c:x val="-5.4750402576489533E-2"/>
                  <c:y val="-6.59077291791492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472-41B7-B136-36FE65C7AB11}"/>
                </c:ext>
              </c:extLst>
            </c:dLbl>
            <c:dLbl>
              <c:idx val="5"/>
              <c:layout>
                <c:manualLayout>
                  <c:x val="-3.8647342995169198E-2"/>
                  <c:y val="-5.39245056920311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472-41B7-B136-36FE65C7AB11}"/>
                </c:ext>
              </c:extLst>
            </c:dLbl>
            <c:dLbl>
              <c:idx val="6"/>
              <c:layout>
                <c:manualLayout>
                  <c:x val="-5.4750402576489651E-2"/>
                  <c:y val="-4.79328939484721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472-41B7-B136-36FE65C7AB11}"/>
                </c:ext>
              </c:extLst>
            </c:dLbl>
            <c:dLbl>
              <c:idx val="7"/>
              <c:layout>
                <c:manualLayout>
                  <c:x val="-3.7842190016103061E-2"/>
                  <c:y val="-0.10695026962252857"/>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472-41B7-B136-36FE65C7AB11}"/>
                </c:ext>
              </c:extLst>
            </c:dLbl>
            <c:dLbl>
              <c:idx val="8"/>
              <c:layout>
                <c:manualLayout>
                  <c:x val="-3.5426731078905108E-2"/>
                  <c:y val="-6.59077291791491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472-41B7-B136-36FE65C7AB11}"/>
                </c:ext>
              </c:extLst>
            </c:dLbl>
            <c:dLbl>
              <c:idx val="9"/>
              <c:layout>
                <c:manualLayout>
                  <c:x val="-3.8683667002539564E-2"/>
                  <c:y val="-6.61961384381607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472-41B7-B136-36FE65C7AB11}"/>
                </c:ext>
              </c:extLst>
            </c:dLbl>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Sheet1!$A$4:$A$22</c:f>
              <c:numCache>
                <c:formatCode>General</c:formatCode>
                <c:ptCount val="10"/>
                <c:pt idx="0">
                  <c:v>101</c:v>
                </c:pt>
                <c:pt idx="1">
                  <c:v>102</c:v>
                </c:pt>
                <c:pt idx="2">
                  <c:v>103</c:v>
                </c:pt>
                <c:pt idx="3">
                  <c:v>104</c:v>
                </c:pt>
                <c:pt idx="4">
                  <c:v>105</c:v>
                </c:pt>
                <c:pt idx="5">
                  <c:v>106</c:v>
                </c:pt>
                <c:pt idx="6">
                  <c:v>107</c:v>
                </c:pt>
                <c:pt idx="7">
                  <c:v>108</c:v>
                </c:pt>
                <c:pt idx="8">
                  <c:v>109</c:v>
                </c:pt>
                <c:pt idx="9">
                  <c:v>110</c:v>
                </c:pt>
              </c:numCache>
            </c:numRef>
          </c:cat>
          <c:val>
            <c:numRef>
              <c:f>Sheet1!$K$4:$K$22</c:f>
              <c:numCache>
                <c:formatCode>0.00</c:formatCode>
                <c:ptCount val="10"/>
                <c:pt idx="0">
                  <c:v>31.82284789063776</c:v>
                </c:pt>
                <c:pt idx="1">
                  <c:v>33.829845876488008</c:v>
                </c:pt>
                <c:pt idx="2">
                  <c:v>34.859821884684493</c:v>
                </c:pt>
                <c:pt idx="3">
                  <c:v>35.255178110067661</c:v>
                </c:pt>
                <c:pt idx="4">
                  <c:v>35.055938764364065</c:v>
                </c:pt>
                <c:pt idx="5">
                  <c:v>34.788974357937626</c:v>
                </c:pt>
                <c:pt idx="6">
                  <c:v>33.029273882967118</c:v>
                </c:pt>
                <c:pt idx="7">
                  <c:v>32.289853052358559</c:v>
                </c:pt>
                <c:pt idx="8">
                  <c:v>34.773845032207028</c:v>
                </c:pt>
                <c:pt idx="9">
                  <c:v>36.527577711674837</c:v>
                </c:pt>
              </c:numCache>
            </c:numRef>
          </c:val>
          <c:smooth val="0"/>
          <c:extLst>
            <c:ext xmlns:c16="http://schemas.microsoft.com/office/drawing/2014/chart" uri="{C3380CC4-5D6E-409C-BE32-E72D297353CC}">
              <c16:uniqueId val="{00000011-D472-41B7-B136-36FE65C7AB11}"/>
            </c:ext>
          </c:extLst>
        </c:ser>
        <c:dLbls>
          <c:showLegendKey val="0"/>
          <c:showVal val="0"/>
          <c:showCatName val="0"/>
          <c:showSerName val="0"/>
          <c:showPercent val="0"/>
          <c:showBubbleSize val="0"/>
        </c:dLbls>
        <c:marker val="1"/>
        <c:smooth val="0"/>
        <c:axId val="911667952"/>
        <c:axId val="911668368"/>
      </c:lineChart>
      <c:catAx>
        <c:axId val="91166795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t>年度</a:t>
                </a:r>
              </a:p>
            </c:rich>
          </c:tx>
          <c:layout>
            <c:manualLayout>
              <c:xMode val="edge"/>
              <c:yMode val="edge"/>
              <c:x val="0.91426629642309221"/>
              <c:y val="0.7611612313642981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911668368"/>
        <c:crosses val="autoZero"/>
        <c:auto val="1"/>
        <c:lblAlgn val="ctr"/>
        <c:lblOffset val="100"/>
        <c:noMultiLvlLbl val="0"/>
      </c:catAx>
      <c:valAx>
        <c:axId val="911668368"/>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zh-TW" sz="1000" b="0" i="0" baseline="0">
                    <a:effectLst/>
                  </a:rPr>
                  <a:t>％</a:t>
                </a:r>
                <a:endParaRPr lang="zh-TW" altLang="zh-TW" sz="1000">
                  <a:effectLst/>
                </a:endParaRPr>
              </a:p>
            </c:rich>
          </c:tx>
          <c:layout>
            <c:manualLayout>
              <c:xMode val="edge"/>
              <c:yMode val="edge"/>
              <c:x val="4.9667357245965042E-2"/>
              <c:y val="4.6364057433997217E-3"/>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911667952"/>
        <c:crosses val="autoZero"/>
        <c:crossBetween val="between"/>
        <c:majorUnit val="5"/>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1.8972290380235908E-3"/>
          <c:y val="0.82066991125107358"/>
          <c:w val="0.99475277040312404"/>
          <c:h val="0.1621528771829373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rgbClr val="FFFFFF"/>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50"/>
      <c:rotY val="3"/>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31042961069789227"/>
          <c:y val="0.43108263713292072"/>
          <c:w val="0.42355075829824185"/>
          <c:h val="0.54504784239740411"/>
        </c:manualLayout>
      </c:layout>
      <c:pie3DChart>
        <c:varyColors val="1"/>
        <c:ser>
          <c:idx val="0"/>
          <c:order val="0"/>
          <c:tx>
            <c:strRef>
              <c:f>工作表1!$B$1</c:f>
              <c:strCache>
                <c:ptCount val="1"/>
                <c:pt idx="0">
                  <c:v>欄3</c:v>
                </c:pt>
              </c:strCache>
            </c:strRef>
          </c:tx>
          <c:spPr>
            <a:pattFill prst="pct5">
              <a:fgClr>
                <a:sysClr val="windowText" lastClr="000000"/>
              </a:fgClr>
              <a:bgClr>
                <a:sysClr val="window" lastClr="FFFFFF"/>
              </a:bgClr>
            </a:pattFill>
            <a:ln>
              <a:solidFill>
                <a:sysClr val="windowText" lastClr="000000">
                  <a:shade val="95000"/>
                  <a:satMod val="105000"/>
                </a:sysClr>
              </a:solidFill>
            </a:ln>
          </c:spPr>
          <c:dPt>
            <c:idx val="0"/>
            <c:bubble3D val="0"/>
            <c:spPr>
              <a:pattFill prst="pct5">
                <a:fgClr>
                  <a:sysClr val="windowText" lastClr="000000"/>
                </a:fgClr>
                <a:bgClr>
                  <a:sysClr val="window" lastClr="FFFFFF"/>
                </a:bgClr>
              </a:pattFill>
              <a:ln>
                <a:solidFill>
                  <a:sysClr val="windowText" lastClr="000000">
                    <a:shade val="95000"/>
                    <a:satMod val="105000"/>
                  </a:sysClr>
                </a:solidFill>
              </a:ln>
              <a:effectLst>
                <a:outerShdw blurRad="254000" sx="102000" sy="102000" algn="ctr" rotWithShape="0">
                  <a:prstClr val="black">
                    <a:alpha val="20000"/>
                  </a:prstClr>
                </a:outerShdw>
              </a:effectLst>
              <a:sp3d>
                <a:contourClr>
                  <a:sysClr val="windowText" lastClr="000000">
                    <a:shade val="95000"/>
                    <a:satMod val="105000"/>
                  </a:sysClr>
                </a:contourClr>
              </a:sp3d>
            </c:spPr>
            <c:extLst>
              <c:ext xmlns:c16="http://schemas.microsoft.com/office/drawing/2014/chart" uri="{C3380CC4-5D6E-409C-BE32-E72D297353CC}">
                <c16:uniqueId val="{00000001-5012-4C31-A900-FF7A41CA5838}"/>
              </c:ext>
            </c:extLst>
          </c:dPt>
          <c:dPt>
            <c:idx val="1"/>
            <c:bubble3D val="0"/>
            <c:spPr>
              <a:pattFill prst="pct70">
                <a:fgClr>
                  <a:sysClr val="windowText" lastClr="000000"/>
                </a:fgClr>
                <a:bgClr>
                  <a:sysClr val="window" lastClr="FFFFFF"/>
                </a:bgClr>
              </a:pattFill>
              <a:ln>
                <a:solidFill>
                  <a:sysClr val="windowText" lastClr="000000">
                    <a:shade val="95000"/>
                    <a:satMod val="105000"/>
                  </a:sysClr>
                </a:solidFill>
              </a:ln>
              <a:effectLst>
                <a:outerShdw blurRad="254000" sx="102000" sy="102000" algn="ctr" rotWithShape="0">
                  <a:prstClr val="black">
                    <a:alpha val="20000"/>
                  </a:prstClr>
                </a:outerShdw>
              </a:effectLst>
              <a:sp3d>
                <a:contourClr>
                  <a:sysClr val="windowText" lastClr="000000">
                    <a:shade val="95000"/>
                    <a:satMod val="105000"/>
                  </a:sysClr>
                </a:contourClr>
              </a:sp3d>
            </c:spPr>
            <c:extLst>
              <c:ext xmlns:c16="http://schemas.microsoft.com/office/drawing/2014/chart" uri="{C3380CC4-5D6E-409C-BE32-E72D297353CC}">
                <c16:uniqueId val="{00000003-5012-4C31-A900-FF7A41CA5838}"/>
              </c:ext>
            </c:extLst>
          </c:dPt>
          <c:dPt>
            <c:idx val="2"/>
            <c:bubble3D val="0"/>
            <c:spPr>
              <a:pattFill prst="pct20">
                <a:fgClr>
                  <a:sysClr val="windowText" lastClr="000000"/>
                </a:fgClr>
                <a:bgClr>
                  <a:sysClr val="window" lastClr="FFFFFF"/>
                </a:bgClr>
              </a:pattFill>
              <a:ln>
                <a:solidFill>
                  <a:sysClr val="windowText" lastClr="000000">
                    <a:shade val="95000"/>
                    <a:satMod val="105000"/>
                  </a:sysClr>
                </a:solidFill>
              </a:ln>
              <a:effectLst>
                <a:outerShdw blurRad="254000" sx="102000" sy="102000" algn="ctr" rotWithShape="0">
                  <a:prstClr val="black">
                    <a:alpha val="20000"/>
                  </a:prstClr>
                </a:outerShdw>
              </a:effectLst>
              <a:sp3d>
                <a:contourClr>
                  <a:sysClr val="windowText" lastClr="000000">
                    <a:shade val="95000"/>
                    <a:satMod val="105000"/>
                  </a:sysClr>
                </a:contourClr>
              </a:sp3d>
            </c:spPr>
            <c:extLst>
              <c:ext xmlns:c16="http://schemas.microsoft.com/office/drawing/2014/chart" uri="{C3380CC4-5D6E-409C-BE32-E72D297353CC}">
                <c16:uniqueId val="{00000005-5012-4C31-A900-FF7A41CA5838}"/>
              </c:ext>
            </c:extLst>
          </c:dPt>
          <c:dPt>
            <c:idx val="3"/>
            <c:bubble3D val="0"/>
            <c:spPr>
              <a:pattFill prst="pct30">
                <a:fgClr>
                  <a:sysClr val="windowText" lastClr="000000"/>
                </a:fgClr>
                <a:bgClr>
                  <a:sysClr val="window" lastClr="FFFFFF"/>
                </a:bgClr>
              </a:pattFill>
              <a:ln>
                <a:solidFill>
                  <a:sysClr val="windowText" lastClr="000000">
                    <a:shade val="95000"/>
                    <a:satMod val="105000"/>
                  </a:sysClr>
                </a:solidFill>
              </a:ln>
              <a:effectLst>
                <a:outerShdw blurRad="254000" sx="102000" sy="102000" algn="ctr" rotWithShape="0">
                  <a:prstClr val="black">
                    <a:alpha val="20000"/>
                  </a:prstClr>
                </a:outerShdw>
              </a:effectLst>
              <a:sp3d>
                <a:contourClr>
                  <a:sysClr val="windowText" lastClr="000000">
                    <a:shade val="95000"/>
                    <a:satMod val="105000"/>
                  </a:sysClr>
                </a:contourClr>
              </a:sp3d>
            </c:spPr>
            <c:extLst>
              <c:ext xmlns:c16="http://schemas.microsoft.com/office/drawing/2014/chart" uri="{C3380CC4-5D6E-409C-BE32-E72D297353CC}">
                <c16:uniqueId val="{00000007-5012-4C31-A900-FF7A41CA5838}"/>
              </c:ext>
            </c:extLst>
          </c:dPt>
          <c:dPt>
            <c:idx val="4"/>
            <c:bubble3D val="0"/>
            <c:spPr>
              <a:pattFill prst="divot">
                <a:fgClr>
                  <a:sysClr val="windowText" lastClr="000000"/>
                </a:fgClr>
                <a:bgClr>
                  <a:sysClr val="window" lastClr="FFFFFF"/>
                </a:bgClr>
              </a:pattFill>
              <a:ln>
                <a:solidFill>
                  <a:sysClr val="windowText" lastClr="000000">
                    <a:shade val="95000"/>
                    <a:satMod val="105000"/>
                  </a:sysClr>
                </a:solidFill>
              </a:ln>
              <a:effectLst>
                <a:outerShdw blurRad="254000" sx="102000" sy="102000" algn="ctr" rotWithShape="0">
                  <a:prstClr val="black">
                    <a:alpha val="20000"/>
                  </a:prstClr>
                </a:outerShdw>
              </a:effectLst>
              <a:sp3d>
                <a:contourClr>
                  <a:sysClr val="windowText" lastClr="000000">
                    <a:shade val="95000"/>
                    <a:satMod val="105000"/>
                  </a:sysClr>
                </a:contourClr>
              </a:sp3d>
            </c:spPr>
            <c:extLst>
              <c:ext xmlns:c16="http://schemas.microsoft.com/office/drawing/2014/chart" uri="{C3380CC4-5D6E-409C-BE32-E72D297353CC}">
                <c16:uniqueId val="{00000009-5012-4C31-A900-FF7A41CA5838}"/>
              </c:ext>
            </c:extLst>
          </c:dPt>
          <c:dLbls>
            <c:dLbl>
              <c:idx val="0"/>
              <c:layout>
                <c:manualLayout>
                  <c:x val="5.8993688273916309E-2"/>
                  <c:y val="-0.19807803577268504"/>
                </c:manualLayout>
              </c:layout>
              <c:tx>
                <c:rich>
                  <a:bodyPr rot="0" spcFirstLastPara="1" vertOverflow="clip" horzOverflow="clip" vert="horz" wrap="square" lIns="36576" tIns="18288" rIns="36576" bIns="18288" anchor="ctr" anchorCtr="0">
                    <a:spAutoFit/>
                  </a:bodyPr>
                  <a:lstStyle/>
                  <a:p>
                    <a:pPr algn="just">
                      <a:defRPr sz="1000" b="0" i="0" u="none" strike="noStrike" kern="1200" baseline="0">
                        <a:solidFill>
                          <a:schemeClr val="lt1"/>
                        </a:solidFill>
                        <a:latin typeface="+mn-lt"/>
                        <a:ea typeface="+mn-ea"/>
                        <a:cs typeface="+mn-cs"/>
                      </a:defRPr>
                    </a:pPr>
                    <a:fld id="{066EF51B-D791-4461-9A91-897F97592FCE}" type="CATEGORYNAME">
                      <a:rPr lang="en-US" altLang="zh-TW" b="0" baseline="0">
                        <a:solidFill>
                          <a:schemeClr val="tx1"/>
                        </a:solidFill>
                        <a:latin typeface="標楷體" panose="03000509000000000000" pitchFamily="65" charset="-120"/>
                        <a:ea typeface="標楷體" panose="03000509000000000000" pitchFamily="65" charset="-120"/>
                        <a:cs typeface="Times New Roman" panose="02020603050405020304" pitchFamily="18" charset="0"/>
                      </a:rPr>
                      <a:pPr algn="just">
                        <a:defRPr b="0"/>
                      </a:pPr>
                      <a:t>[類別名稱]</a:t>
                    </a:fld>
                    <a:r>
                      <a:rPr lang="en-US" altLang="zh-TW" b="0" baseline="0">
                        <a:solidFill>
                          <a:schemeClr val="tx1"/>
                        </a:solidFill>
                        <a:latin typeface="標楷體" panose="03000509000000000000" pitchFamily="65" charset="-120"/>
                        <a:ea typeface="標楷體" panose="03000509000000000000" pitchFamily="65" charset="-120"/>
                        <a:cs typeface="Times New Roman" panose="02020603050405020304" pitchFamily="18" charset="0"/>
                      </a:rPr>
                      <a:t>(71.17</a:t>
                    </a:r>
                    <a:r>
                      <a:rPr lang="zh-TW" altLang="en-US" b="0" baseline="0">
                        <a:solidFill>
                          <a:schemeClr val="tx1"/>
                        </a:solidFill>
                        <a:latin typeface="標楷體" panose="03000509000000000000" pitchFamily="65" charset="-120"/>
                        <a:ea typeface="標楷體" panose="03000509000000000000" pitchFamily="65" charset="-120"/>
                        <a:cs typeface="Times New Roman" panose="02020603050405020304" pitchFamily="18" charset="0"/>
                      </a:rPr>
                      <a:t>％</a:t>
                    </a:r>
                    <a:r>
                      <a:rPr lang="en-US" altLang="zh-TW" b="0" baseline="0">
                        <a:solidFill>
                          <a:schemeClr val="tx1"/>
                        </a:solidFill>
                        <a:latin typeface="標楷體" panose="03000509000000000000" pitchFamily="65" charset="-120"/>
                        <a:ea typeface="標楷體" panose="03000509000000000000" pitchFamily="65" charset="-120"/>
                        <a:cs typeface="Times New Roman" panose="02020603050405020304" pitchFamily="18" charset="0"/>
                      </a:rPr>
                      <a:t>)</a:t>
                    </a:r>
                  </a:p>
                </c:rich>
              </c:tx>
              <c:spPr>
                <a:noFill/>
                <a:ln>
                  <a:noFill/>
                </a:ln>
                <a:effectLst>
                  <a:outerShdw blurRad="50800" dist="38100" dir="2700000" algn="tl" rotWithShape="0">
                    <a:prstClr val="black">
                      <a:alpha val="40000"/>
                    </a:prstClr>
                  </a:outerShdw>
                </a:effectLst>
              </c:spPr>
              <c:txPr>
                <a:bodyPr rot="0" spcFirstLastPara="1" vertOverflow="clip" horzOverflow="clip" vert="horz" wrap="square" lIns="36576" tIns="18288" rIns="36576" bIns="18288" anchor="ctr" anchorCtr="0">
                  <a:spAutoFit/>
                </a:bodyPr>
                <a:lstStyle/>
                <a:p>
                  <a:pPr algn="just">
                    <a:defRPr sz="1000" b="0" i="0" u="none" strike="noStrike" kern="1200" baseline="0">
                      <a:solidFill>
                        <a:schemeClr val="lt1"/>
                      </a:solidFill>
                      <a:latin typeface="+mn-lt"/>
                      <a:ea typeface="+mn-ea"/>
                      <a:cs typeface="+mn-cs"/>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spPr xmlns:c15="http://schemas.microsoft.com/office/drawing/2012/chart">
                    <a:prstGeom prst="borderCallout1">
                      <a:avLst/>
                    </a:prstGeom>
                    <a:pattFill prst="pct75">
                      <a:fgClr>
                        <a:schemeClr val="dk1">
                          <a:lumMod val="75000"/>
                          <a:lumOff val="25000"/>
                        </a:schemeClr>
                      </a:fgClr>
                      <a:bgClr>
                        <a:schemeClr val="dk1">
                          <a:lumMod val="65000"/>
                          <a:lumOff val="35000"/>
                        </a:schemeClr>
                      </a:bgClr>
                    </a:pattFill>
                    <a:ln>
                      <a:noFill/>
                    </a:ln>
                  </c15:spPr>
                  <c15:layout>
                    <c:manualLayout>
                      <c:w val="0.23751391177234557"/>
                      <c:h val="0.24141566968665659"/>
                    </c:manualLayout>
                  </c15:layout>
                  <c15:dlblFieldTable/>
                  <c15:showDataLabelsRange val="0"/>
                </c:ext>
                <c:ext xmlns:c16="http://schemas.microsoft.com/office/drawing/2014/chart" uri="{C3380CC4-5D6E-409C-BE32-E72D297353CC}">
                  <c16:uniqueId val="{00000001-5012-4C31-A900-FF7A41CA5838}"/>
                </c:ext>
              </c:extLst>
            </c:dLbl>
            <c:dLbl>
              <c:idx val="1"/>
              <c:layout>
                <c:manualLayout>
                  <c:x val="-4.3342257091448934E-2"/>
                  <c:y val="5.4943271867374403E-2"/>
                </c:manualLayout>
              </c:layout>
              <c:tx>
                <c:rich>
                  <a:bodyPr rot="0" spcFirstLastPara="1" vertOverflow="clip" horzOverflow="clip" vert="horz" wrap="square" lIns="38100" tIns="19050" rIns="38100" bIns="19050" anchor="ctr" anchorCtr="0">
                    <a:noAutofit/>
                  </a:bodyPr>
                  <a:lstStyle/>
                  <a:p>
                    <a:pPr algn="just">
                      <a:defRPr sz="1000" b="0" i="0" u="none" strike="noStrike" kern="1200" baseline="0">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fld id="{1BEB764B-AD6F-4D8B-9CB1-98BA185B1DA3}" type="CATEGORYNAME">
                      <a:rPr lang="en-US" altLang="zh-TW" b="0" spc="-20" baseline="0">
                        <a:solidFill>
                          <a:schemeClr val="tx1"/>
                        </a:solidFill>
                        <a:latin typeface="標楷體" panose="03000509000000000000" pitchFamily="65" charset="-120"/>
                        <a:ea typeface="標楷體" panose="03000509000000000000" pitchFamily="65" charset="-120"/>
                      </a:rPr>
                      <a:pPr algn="just">
                        <a:defRPr b="0">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t>[類別名稱]</a:t>
                    </a:fld>
                    <a:r>
                      <a:rPr lang="en-US" altLang="zh-TW" b="0" spc="-20" baseline="0">
                        <a:solidFill>
                          <a:schemeClr val="tx1"/>
                        </a:solidFill>
                        <a:latin typeface="標楷體" panose="03000509000000000000" pitchFamily="65" charset="-120"/>
                        <a:ea typeface="標楷體" panose="03000509000000000000" pitchFamily="65" charset="-120"/>
                      </a:rPr>
                      <a:t>(1.84</a:t>
                    </a:r>
                    <a:r>
                      <a:rPr lang="zh-TW" altLang="en-US" b="0" spc="-20" baseline="0">
                        <a:solidFill>
                          <a:schemeClr val="tx1"/>
                        </a:solidFill>
                        <a:latin typeface="標楷體" panose="03000509000000000000" pitchFamily="65" charset="-120"/>
                        <a:ea typeface="標楷體" panose="03000509000000000000" pitchFamily="65" charset="-120"/>
                      </a:rPr>
                      <a:t>％</a:t>
                    </a:r>
                    <a:r>
                      <a:rPr lang="en-US" altLang="zh-TW" b="0" spc="-20" baseline="0">
                        <a:solidFill>
                          <a:schemeClr val="tx1"/>
                        </a:solidFill>
                        <a:latin typeface="標楷體" panose="03000509000000000000" pitchFamily="65" charset="-120"/>
                        <a:ea typeface="標楷體" panose="03000509000000000000" pitchFamily="65" charset="-120"/>
                      </a:rPr>
                      <a:t>)</a:t>
                    </a:r>
                  </a:p>
                </c:rich>
              </c:tx>
              <c:spPr>
                <a:noFill/>
                <a:ln>
                  <a:noFill/>
                </a:ln>
                <a:effectLst>
                  <a:outerShdw blurRad="50800" dist="38100" dir="2700000" algn="tl" rotWithShape="0">
                    <a:prstClr val="black">
                      <a:alpha val="40000"/>
                    </a:prstClr>
                  </a:outerShdw>
                </a:effectLst>
              </c:spPr>
              <c:txPr>
                <a:bodyPr rot="0" spcFirstLastPara="1" vertOverflow="clip" horzOverflow="clip" vert="horz" wrap="square" lIns="38100" tIns="19050" rIns="38100" bIns="19050" anchor="ctr" anchorCtr="0">
                  <a:noAutofit/>
                </a:bodyPr>
                <a:lstStyle/>
                <a:p>
                  <a:pPr algn="just">
                    <a:defRPr sz="1000" b="0" i="0" u="none" strike="noStrike" kern="1200" baseline="0">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spPr xmlns:c15="http://schemas.microsoft.com/office/drawing/2012/chart">
                    <a:prstGeom prst="borderCallout1">
                      <a:avLst/>
                    </a:prstGeom>
                    <a:pattFill prst="pct75">
                      <a:fgClr>
                        <a:schemeClr val="dk1">
                          <a:lumMod val="75000"/>
                          <a:lumOff val="25000"/>
                        </a:schemeClr>
                      </a:fgClr>
                      <a:bgClr>
                        <a:schemeClr val="dk1">
                          <a:lumMod val="65000"/>
                          <a:lumOff val="35000"/>
                        </a:schemeClr>
                      </a:bgClr>
                    </a:pattFill>
                    <a:ln>
                      <a:noFill/>
                    </a:ln>
                  </c15:spPr>
                  <c15:layout>
                    <c:manualLayout>
                      <c:w val="0.26935163082943547"/>
                      <c:h val="0.22234373259253132"/>
                    </c:manualLayout>
                  </c15:layout>
                  <c15:dlblFieldTable/>
                  <c15:showDataLabelsRange val="0"/>
                </c:ext>
                <c:ext xmlns:c16="http://schemas.microsoft.com/office/drawing/2014/chart" uri="{C3380CC4-5D6E-409C-BE32-E72D297353CC}">
                  <c16:uniqueId val="{00000003-5012-4C31-A900-FF7A41CA5838}"/>
                </c:ext>
              </c:extLst>
            </c:dLbl>
            <c:dLbl>
              <c:idx val="2"/>
              <c:layout>
                <c:manualLayout>
                  <c:x val="-3.5347438651555742E-2"/>
                  <c:y val="-1.2538307822994321E-2"/>
                </c:manualLayout>
              </c:layout>
              <c:tx>
                <c:rich>
                  <a:bodyPr rot="0" spcFirstLastPara="1" vertOverflow="clip" horzOverflow="clip" vert="horz" wrap="square" lIns="38100" tIns="19050" rIns="38100" bIns="19050" anchor="ctr" anchorCtr="0">
                    <a:noAutofit/>
                  </a:bodyPr>
                  <a:lstStyle/>
                  <a:p>
                    <a:pPr algn="just">
                      <a:defRPr sz="1000" b="0" i="0" u="none" strike="noStrike" kern="1200" baseline="0">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fld id="{ECB31B03-E655-4152-A3D3-4A4B959CC408}" type="CATEGORYNAME">
                      <a:rPr lang="en-US" altLang="zh-TW" b="0">
                        <a:latin typeface="標楷體" panose="03000509000000000000" pitchFamily="65" charset="-120"/>
                        <a:ea typeface="標楷體" panose="03000509000000000000" pitchFamily="65" charset="-120"/>
                      </a:rPr>
                      <a:pPr algn="just">
                        <a:defRPr b="0">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t>[類別名稱]</a:t>
                    </a:fld>
                    <a:r>
                      <a:rPr lang="en-US" altLang="zh-TW" b="0">
                        <a:latin typeface="標楷體" panose="03000509000000000000" pitchFamily="65" charset="-120"/>
                        <a:ea typeface="標楷體" panose="03000509000000000000" pitchFamily="65" charset="-120"/>
                      </a:rPr>
                      <a:t>(15.34</a:t>
                    </a:r>
                    <a:r>
                      <a:rPr lang="zh-TW" altLang="en-US" b="0">
                        <a:latin typeface="標楷體" panose="03000509000000000000" pitchFamily="65" charset="-120"/>
                        <a:ea typeface="標楷體" panose="03000509000000000000" pitchFamily="65" charset="-120"/>
                      </a:rPr>
                      <a:t>％</a:t>
                    </a:r>
                    <a:r>
                      <a:rPr lang="en-US" altLang="zh-TW" b="0">
                        <a:latin typeface="標楷體" panose="03000509000000000000" pitchFamily="65" charset="-120"/>
                        <a:ea typeface="標楷體" panose="03000509000000000000" pitchFamily="65" charset="-120"/>
                      </a:rPr>
                      <a:t>)</a:t>
                    </a:r>
                  </a:p>
                </c:rich>
              </c:tx>
              <c:spPr>
                <a:noFill/>
                <a:ln>
                  <a:noFill/>
                </a:ln>
                <a:effectLst>
                  <a:outerShdw blurRad="50800" dist="38100" dir="2700000" algn="tl" rotWithShape="0">
                    <a:prstClr val="black">
                      <a:alpha val="40000"/>
                    </a:prstClr>
                  </a:outerShdw>
                </a:effectLst>
              </c:spPr>
              <c:txPr>
                <a:bodyPr rot="0" spcFirstLastPara="1" vertOverflow="clip" horzOverflow="clip" vert="horz" wrap="square" lIns="38100" tIns="19050" rIns="38100" bIns="19050" anchor="ctr" anchorCtr="0">
                  <a:noAutofit/>
                </a:bodyPr>
                <a:lstStyle/>
                <a:p>
                  <a:pPr algn="just">
                    <a:defRPr sz="1000" b="0" i="0" u="none" strike="noStrike" kern="1200" baseline="0">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spPr xmlns:c15="http://schemas.microsoft.com/office/drawing/2012/chart">
                    <a:prstGeom prst="borderCallout1">
                      <a:avLst/>
                    </a:prstGeom>
                    <a:pattFill prst="pct75">
                      <a:fgClr>
                        <a:schemeClr val="dk1">
                          <a:lumMod val="75000"/>
                          <a:lumOff val="25000"/>
                        </a:schemeClr>
                      </a:fgClr>
                      <a:bgClr>
                        <a:schemeClr val="dk1">
                          <a:lumMod val="65000"/>
                          <a:lumOff val="35000"/>
                        </a:schemeClr>
                      </a:bgClr>
                    </a:pattFill>
                    <a:ln>
                      <a:noFill/>
                    </a:ln>
                  </c15:spPr>
                  <c15:layout>
                    <c:manualLayout>
                      <c:w val="0.27644041200073782"/>
                      <c:h val="0.2280054726701482"/>
                    </c:manualLayout>
                  </c15:layout>
                  <c15:dlblFieldTable/>
                  <c15:showDataLabelsRange val="0"/>
                </c:ext>
                <c:ext xmlns:c16="http://schemas.microsoft.com/office/drawing/2014/chart" uri="{C3380CC4-5D6E-409C-BE32-E72D297353CC}">
                  <c16:uniqueId val="{00000005-5012-4C31-A900-FF7A41CA5838}"/>
                </c:ext>
              </c:extLst>
            </c:dLbl>
            <c:dLbl>
              <c:idx val="3"/>
              <c:layout>
                <c:manualLayout>
                  <c:x val="-6.4017929344419328E-2"/>
                  <c:y val="-0.153976203044597"/>
                </c:manualLayout>
              </c:layout>
              <c:tx>
                <c:rich>
                  <a:bodyPr rot="0" spcFirstLastPara="1" vertOverflow="clip" horzOverflow="clip" vert="horz" wrap="square" lIns="38100" tIns="19050" rIns="38100" bIns="19050" anchor="ctr" anchorCtr="0">
                    <a:noAutofit/>
                  </a:bodyPr>
                  <a:lstStyle/>
                  <a:p>
                    <a:pPr algn="just">
                      <a:defRPr sz="1000" b="0" i="0" u="none" strike="noStrike" kern="1200" baseline="0">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fld id="{7D264C2D-3253-4398-B5C3-9242BA692ED3}" type="CATEGORYNAME">
                      <a:rPr lang="en-US" altLang="zh-TW" b="0">
                        <a:latin typeface="標楷體" panose="03000509000000000000" pitchFamily="65" charset="-120"/>
                        <a:ea typeface="標楷體" panose="03000509000000000000" pitchFamily="65" charset="-120"/>
                      </a:rPr>
                      <a:pPr algn="just">
                        <a:defRPr b="0">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t>[類別名稱]</a:t>
                    </a:fld>
                    <a:r>
                      <a:rPr lang="en-US" altLang="zh-TW" b="0">
                        <a:latin typeface="標楷體" panose="03000509000000000000" pitchFamily="65" charset="-120"/>
                        <a:ea typeface="標楷體" panose="03000509000000000000" pitchFamily="65" charset="-120"/>
                      </a:rPr>
                      <a:t>(2.45</a:t>
                    </a:r>
                    <a:r>
                      <a:rPr lang="zh-TW" altLang="en-US" b="0">
                        <a:latin typeface="標楷體" panose="03000509000000000000" pitchFamily="65" charset="-120"/>
                        <a:ea typeface="標楷體" panose="03000509000000000000" pitchFamily="65" charset="-120"/>
                      </a:rPr>
                      <a:t>％</a:t>
                    </a:r>
                    <a:r>
                      <a:rPr lang="en-US" altLang="zh-TW" b="0">
                        <a:latin typeface="標楷體" panose="03000509000000000000" pitchFamily="65" charset="-120"/>
                        <a:ea typeface="標楷體" panose="03000509000000000000" pitchFamily="65" charset="-120"/>
                      </a:rPr>
                      <a:t>)</a:t>
                    </a:r>
                  </a:p>
                </c:rich>
              </c:tx>
              <c:spPr>
                <a:xfrm>
                  <a:off x="1043630" y="724307"/>
                  <a:ext cx="1255543" cy="552921"/>
                </a:xfrm>
                <a:noFill/>
                <a:ln>
                  <a:noFill/>
                </a:ln>
                <a:effectLst>
                  <a:outerShdw blurRad="50800" dist="38100" dir="2700000" algn="tl" rotWithShape="0">
                    <a:prstClr val="black">
                      <a:alpha val="40000"/>
                    </a:prstClr>
                  </a:outerShdw>
                </a:effectLst>
              </c:spPr>
              <c:txPr>
                <a:bodyPr rot="0" spcFirstLastPara="1" vertOverflow="clip" horzOverflow="clip" vert="horz" wrap="square" lIns="38100" tIns="19050" rIns="38100" bIns="19050" anchor="ctr" anchorCtr="0">
                  <a:noAutofit/>
                </a:bodyPr>
                <a:lstStyle/>
                <a:p>
                  <a:pPr algn="just">
                    <a:defRPr sz="1000" b="0" i="0" u="none" strike="noStrike" kern="1200" baseline="0">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spPr xmlns:c15="http://schemas.microsoft.com/office/drawing/2012/chart">
                    <a:prstGeom prst="borderCallout2">
                      <a:avLst>
                        <a:gd name="adj1" fmla="val 116538"/>
                        <a:gd name="adj2" fmla="val 53730"/>
                        <a:gd name="adj3" fmla="val 112223"/>
                        <a:gd name="adj4" fmla="val 53629"/>
                        <a:gd name="adj5" fmla="val 168394"/>
                        <a:gd name="adj6" fmla="val 89626"/>
                      </a:avLst>
                    </a:prstGeom>
                    <a:pattFill prst="pct75">
                      <a:fgClr>
                        <a:schemeClr val="dk1">
                          <a:lumMod val="75000"/>
                          <a:lumOff val="25000"/>
                        </a:schemeClr>
                      </a:fgClr>
                      <a:bgClr>
                        <a:schemeClr val="dk1">
                          <a:lumMod val="65000"/>
                          <a:lumOff val="35000"/>
                        </a:schemeClr>
                      </a:bgClr>
                    </a:pattFill>
                    <a:ln>
                      <a:noFill/>
                    </a:ln>
                  </c15:spPr>
                  <c15:layout>
                    <c:manualLayout>
                      <c:w val="0.23562394908000225"/>
                      <c:h val="0.20188581442993608"/>
                    </c:manualLayout>
                  </c15:layout>
                  <c15:dlblFieldTable/>
                  <c15:showDataLabelsRange val="0"/>
                </c:ext>
                <c:ext xmlns:c16="http://schemas.microsoft.com/office/drawing/2014/chart" uri="{C3380CC4-5D6E-409C-BE32-E72D297353CC}">
                  <c16:uniqueId val="{00000007-5012-4C31-A900-FF7A41CA5838}"/>
                </c:ext>
              </c:extLst>
            </c:dLbl>
            <c:dLbl>
              <c:idx val="4"/>
              <c:layout>
                <c:manualLayout>
                  <c:x val="0.30941488080905361"/>
                  <c:y val="-5.9879715514793874E-2"/>
                </c:manualLayout>
              </c:layout>
              <c:tx>
                <c:rich>
                  <a:bodyPr rot="0" spcFirstLastPara="1" vertOverflow="clip" horzOverflow="clip" vert="horz" wrap="square" lIns="38100" tIns="19050" rIns="38100" bIns="19050" anchor="ctr" anchorCtr="0">
                    <a:spAutoFit/>
                  </a:bodyPr>
                  <a:lstStyle/>
                  <a:p>
                    <a:pPr algn="just">
                      <a:defRPr sz="1000" b="0" i="0" u="none" strike="noStrike" kern="1200" baseline="0">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fld id="{602CB348-37CB-4645-8A67-CD0A753DEB40}" type="CATEGORYNAME">
                      <a:rPr lang="en-US" altLang="zh-TW" b="0" baseline="0">
                        <a:solidFill>
                          <a:schemeClr val="tx1"/>
                        </a:solidFill>
                        <a:latin typeface="標楷體" panose="03000509000000000000" pitchFamily="65" charset="-120"/>
                        <a:ea typeface="標楷體" panose="03000509000000000000" pitchFamily="65" charset="-120"/>
                      </a:rPr>
                      <a:pPr algn="just">
                        <a:defRPr b="0">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t>[類別名稱]</a:t>
                    </a:fld>
                    <a:r>
                      <a:rPr lang="en-US" altLang="zh-TW" b="0" baseline="0">
                        <a:solidFill>
                          <a:schemeClr val="tx1"/>
                        </a:solidFill>
                        <a:latin typeface="標楷體" panose="03000509000000000000" pitchFamily="65" charset="-120"/>
                        <a:ea typeface="標楷體" panose="03000509000000000000" pitchFamily="65" charset="-120"/>
                      </a:rPr>
                      <a:t>(9.20</a:t>
                    </a:r>
                    <a:r>
                      <a:rPr lang="zh-TW" altLang="en-US" b="0" baseline="0">
                        <a:solidFill>
                          <a:schemeClr val="tx1"/>
                        </a:solidFill>
                        <a:latin typeface="標楷體" panose="03000509000000000000" pitchFamily="65" charset="-120"/>
                        <a:ea typeface="標楷體" panose="03000509000000000000" pitchFamily="65" charset="-120"/>
                      </a:rPr>
                      <a:t>％</a:t>
                    </a:r>
                    <a:r>
                      <a:rPr lang="en-US" altLang="zh-TW" b="0" baseline="0">
                        <a:solidFill>
                          <a:schemeClr val="tx1"/>
                        </a:solidFill>
                        <a:latin typeface="標楷體" panose="03000509000000000000" pitchFamily="65" charset="-120"/>
                        <a:ea typeface="標楷體" panose="03000509000000000000" pitchFamily="65" charset="-120"/>
                      </a:rPr>
                      <a:t>)</a:t>
                    </a:r>
                  </a:p>
                </c:rich>
              </c:tx>
              <c:spPr>
                <a:noFill/>
                <a:ln>
                  <a:noFill/>
                </a:ln>
                <a:effectLst>
                  <a:outerShdw blurRad="50800" dist="38100" dir="2700000" algn="tl" rotWithShape="0">
                    <a:prstClr val="black">
                      <a:alpha val="40000"/>
                    </a:prstClr>
                  </a:outerShdw>
                </a:effectLst>
              </c:spPr>
              <c:txPr>
                <a:bodyPr rot="0" spcFirstLastPara="1" vertOverflow="clip" horzOverflow="clip" vert="horz" wrap="square" lIns="38100" tIns="19050" rIns="38100" bIns="19050" anchor="ctr" anchorCtr="0">
                  <a:spAutoFit/>
                </a:bodyPr>
                <a:lstStyle/>
                <a:p>
                  <a:pPr algn="just">
                    <a:defRPr sz="1000" b="0" i="0" u="none" strike="noStrike" kern="1200" baseline="0">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spPr xmlns:c15="http://schemas.microsoft.com/office/drawing/2012/chart">
                    <a:prstGeom prst="borderCallout1">
                      <a:avLst/>
                    </a:prstGeom>
                    <a:pattFill prst="pct75">
                      <a:fgClr>
                        <a:schemeClr val="dk1">
                          <a:lumMod val="75000"/>
                          <a:lumOff val="25000"/>
                        </a:schemeClr>
                      </a:fgClr>
                      <a:bgClr>
                        <a:schemeClr val="dk1">
                          <a:lumMod val="65000"/>
                          <a:lumOff val="35000"/>
                        </a:schemeClr>
                      </a:bgClr>
                    </a:pattFill>
                    <a:ln>
                      <a:noFill/>
                    </a:ln>
                  </c15:spPr>
                  <c15:layout>
                    <c:manualLayout>
                      <c:w val="0.21654244820649526"/>
                      <c:h val="0.15647297282727834"/>
                    </c:manualLayout>
                  </c15:layout>
                  <c15:dlblFieldTable/>
                  <c15:showDataLabelsRange val="0"/>
                </c:ext>
                <c:ext xmlns:c16="http://schemas.microsoft.com/office/drawing/2014/chart" uri="{C3380CC4-5D6E-409C-BE32-E72D297353CC}">
                  <c16:uniqueId val="{00000009-5012-4C31-A900-FF7A41CA5838}"/>
                </c:ext>
              </c:extLst>
            </c:dLbl>
            <c:spPr>
              <a:noFill/>
              <a:ln>
                <a:noFill/>
              </a:ln>
              <a:effectLst>
                <a:outerShdw blurRad="50800" dist="38100" dir="2700000" algn="tl" rotWithShape="0">
                  <a:prstClr val="black">
                    <a:alpha val="40000"/>
                  </a:prst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標楷體" panose="03000509000000000000" pitchFamily="65" charset="-120"/>
                    <a:cs typeface="Times New Roman" panose="02020603050405020304" pitchFamily="18" charset="0"/>
                  </a:defRPr>
                </a:pPr>
                <a:endParaRPr lang="zh-TW"/>
              </a:p>
            </c:txPr>
            <c:dLblPos val="outEnd"/>
            <c:showLegendKey val="0"/>
            <c:showVal val="1"/>
            <c:showCatName val="1"/>
            <c:showSerName val="0"/>
            <c:showPercent val="0"/>
            <c:showBubbleSize val="0"/>
            <c:separator>
</c:separator>
            <c:showLeaderLines val="1"/>
            <c:leaderLines>
              <c:spPr>
                <a:ln w="9525">
                  <a:solidFill>
                    <a:sysClr val="windowText" lastClr="000000">
                      <a:lumMod val="50000"/>
                      <a:lumOff val="50000"/>
                    </a:sysClr>
                  </a:solidFill>
                </a:ln>
                <a:effectLst/>
              </c:spPr>
            </c:leaderLines>
            <c:extLst>
              <c:ext xmlns:c15="http://schemas.microsoft.com/office/drawing/2012/chart" uri="{CE6537A1-D6FC-4f65-9D91-7224C49458BB}">
                <c15:spPr xmlns:c15="http://schemas.microsoft.com/office/drawing/2012/chart">
                  <a:prstGeom prst="borderCallout1">
                    <a:avLst/>
                  </a:prstGeom>
                  <a:pattFill prst="pct75">
                    <a:fgClr>
                      <a:schemeClr val="dk1">
                        <a:lumMod val="75000"/>
                        <a:lumOff val="25000"/>
                      </a:schemeClr>
                    </a:fgClr>
                    <a:bgClr>
                      <a:schemeClr val="dk1">
                        <a:lumMod val="65000"/>
                        <a:lumOff val="35000"/>
                      </a:schemeClr>
                    </a:bgClr>
                  </a:pattFill>
                  <a:ln>
                    <a:noFill/>
                  </a:ln>
                </c15:spPr>
              </c:ext>
            </c:extLst>
          </c:dLbls>
          <c:cat>
            <c:strRef>
              <c:f>工作表1!$A$2:$A$6</c:f>
              <c:strCache>
                <c:ptCount val="5"/>
                <c:pt idx="0">
                  <c:v>通過TAF認可實驗室資安檢測並取得標章有116個App</c:v>
                </c:pt>
                <c:pt idx="1">
                  <c:v>通過TAF認可實驗室資安檢測但未拿標章有3個App</c:v>
                </c:pt>
                <c:pt idx="2">
                  <c:v>通過TAF認可實驗室資安檢測但有效期限已過期有25個App</c:v>
                </c:pt>
                <c:pt idx="3">
                  <c:v>採其他方式自行辦理資安檢測有4個App</c:v>
                </c:pt>
                <c:pt idx="4">
                  <c:v>未通過資安檢測有15個App</c:v>
                </c:pt>
              </c:strCache>
            </c:strRef>
          </c:cat>
          <c:val>
            <c:numRef>
              <c:f>工作表1!$B$2:$B$6</c:f>
              <c:numCache>
                <c:formatCode>0.00%</c:formatCode>
                <c:ptCount val="5"/>
                <c:pt idx="0">
                  <c:v>0.7117</c:v>
                </c:pt>
                <c:pt idx="1">
                  <c:v>1.84E-2</c:v>
                </c:pt>
                <c:pt idx="2">
                  <c:v>0.15340000000000001</c:v>
                </c:pt>
                <c:pt idx="3">
                  <c:v>2.4500000000000001E-2</c:v>
                </c:pt>
                <c:pt idx="4">
                  <c:v>9.1999999999999998E-2</c:v>
                </c:pt>
              </c:numCache>
            </c:numRef>
          </c:val>
          <c:extLst>
            <c:ext xmlns:c16="http://schemas.microsoft.com/office/drawing/2014/chart" uri="{C3380CC4-5D6E-409C-BE32-E72D297353CC}">
              <c16:uniqueId val="{0000000A-5012-4C31-A900-FF7A41CA5838}"/>
            </c:ext>
          </c:extLst>
        </c:ser>
        <c:dLbls>
          <c:dLblPos val="ctr"/>
          <c:showLegendKey val="0"/>
          <c:showVal val="0"/>
          <c:showCatName val="0"/>
          <c:showSerName val="0"/>
          <c:showPercent val="1"/>
          <c:showBubbleSize val="0"/>
          <c:showLeaderLines val="1"/>
        </c:dLbls>
      </c:pie3D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zh-TW"/>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sz="1200" b="1">
                <a:solidFill>
                  <a:sysClr val="windowText" lastClr="000000"/>
                </a:solidFill>
              </a:rPr>
              <a:t>圖</a:t>
            </a:r>
            <a:r>
              <a:rPr lang="en-US" altLang="zh-TW" sz="1200" b="1">
                <a:solidFill>
                  <a:sysClr val="windowText" lastClr="000000"/>
                </a:solidFill>
              </a:rPr>
              <a:t>9</a:t>
            </a:r>
            <a:r>
              <a:rPr lang="zh-TW" altLang="en-US" sz="1200" b="1">
                <a:solidFill>
                  <a:sysClr val="windowText" lastClr="000000"/>
                </a:solidFill>
              </a:rPr>
              <a:t>　</a:t>
            </a:r>
            <a:r>
              <a:rPr lang="en-US" sz="1200" b="1">
                <a:solidFill>
                  <a:sysClr val="windowText" lastClr="000000"/>
                </a:solidFill>
              </a:rPr>
              <a:t>111</a:t>
            </a:r>
            <a:r>
              <a:rPr lang="zh-TW" sz="1200" b="1">
                <a:solidFill>
                  <a:sysClr val="windowText" lastClr="000000"/>
                </a:solidFill>
              </a:rPr>
              <a:t>年</a:t>
            </a:r>
            <a:r>
              <a:rPr lang="zh-TW" altLang="en-US" sz="1200" b="1">
                <a:solidFill>
                  <a:sysClr val="windowText" lastClr="000000"/>
                </a:solidFill>
              </a:rPr>
              <a:t>度文健站列冊</a:t>
            </a:r>
            <a:r>
              <a:rPr lang="zh-TW" sz="1200" b="1">
                <a:solidFill>
                  <a:sysClr val="windowText" lastClr="000000"/>
                </a:solidFill>
              </a:rPr>
              <a:t>長者請假原因</a:t>
            </a:r>
          </a:p>
        </c:rich>
      </c:tx>
      <c:layout>
        <c:manualLayout>
          <c:xMode val="edge"/>
          <c:yMode val="edge"/>
          <c:x val="8.3033033033033027E-2"/>
          <c:y val="4.9468216670789017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4.4743562460097894E-3"/>
          <c:y val="0.2211073479777432"/>
          <c:w val="0.80017707116753944"/>
          <c:h val="0.66958347372049676"/>
        </c:manualLayout>
      </c:layout>
      <c:ofPieChart>
        <c:ofPieType val="bar"/>
        <c:varyColors val="1"/>
        <c:ser>
          <c:idx val="0"/>
          <c:order val="0"/>
          <c:dPt>
            <c:idx val="0"/>
            <c:bubble3D val="0"/>
            <c:spPr>
              <a:pattFill prst="smGrid">
                <a:fgClr>
                  <a:sysClr val="window" lastClr="FFFFFF">
                    <a:lumMod val="75000"/>
                  </a:sysClr>
                </a:fgClr>
                <a:bgClr>
                  <a:sysClr val="window" lastClr="FFFFFF"/>
                </a:bgClr>
              </a:pattFill>
              <a:ln w="19050">
                <a:solidFill>
                  <a:schemeClr val="lt1"/>
                </a:solidFill>
              </a:ln>
              <a:effectLst/>
            </c:spPr>
            <c:extLst>
              <c:ext xmlns:c16="http://schemas.microsoft.com/office/drawing/2014/chart" uri="{C3380CC4-5D6E-409C-BE32-E72D297353CC}">
                <c16:uniqueId val="{00000001-FCF7-4012-B9D5-A084A93CDBAD}"/>
              </c:ext>
            </c:extLst>
          </c:dPt>
          <c:dPt>
            <c:idx val="1"/>
            <c:bubble3D val="0"/>
            <c:spPr>
              <a:pattFill prst="pct90">
                <a:fgClr>
                  <a:sysClr val="window" lastClr="FFFFFF">
                    <a:lumMod val="75000"/>
                  </a:sysClr>
                </a:fgClr>
                <a:bgClr>
                  <a:sysClr val="window" lastClr="FFFFFF"/>
                </a:bgClr>
              </a:pattFill>
              <a:ln w="19050">
                <a:solidFill>
                  <a:schemeClr val="lt1"/>
                </a:solidFill>
              </a:ln>
              <a:effectLst/>
            </c:spPr>
            <c:extLst>
              <c:ext xmlns:c16="http://schemas.microsoft.com/office/drawing/2014/chart" uri="{C3380CC4-5D6E-409C-BE32-E72D297353CC}">
                <c16:uniqueId val="{00000003-FCF7-4012-B9D5-A084A93CDBAD}"/>
              </c:ext>
            </c:extLst>
          </c:dPt>
          <c:dPt>
            <c:idx val="2"/>
            <c:bubble3D val="0"/>
            <c:spPr>
              <a:pattFill prst="pct50">
                <a:fgClr>
                  <a:sysClr val="window" lastClr="FFFFFF">
                    <a:lumMod val="65000"/>
                  </a:sysClr>
                </a:fgClr>
                <a:bgClr>
                  <a:sysClr val="window" lastClr="FFFFFF"/>
                </a:bgClr>
              </a:pattFill>
              <a:ln w="19050">
                <a:solidFill>
                  <a:schemeClr val="lt1"/>
                </a:solidFill>
              </a:ln>
              <a:effectLst/>
            </c:spPr>
            <c:extLst>
              <c:ext xmlns:c16="http://schemas.microsoft.com/office/drawing/2014/chart" uri="{C3380CC4-5D6E-409C-BE32-E72D297353CC}">
                <c16:uniqueId val="{00000005-FCF7-4012-B9D5-A084A93CDBAD}"/>
              </c:ext>
            </c:extLst>
          </c:dPt>
          <c:dPt>
            <c:idx val="3"/>
            <c:bubble3D val="0"/>
            <c:spPr>
              <a:pattFill prst="pct5">
                <a:fgClr>
                  <a:sysClr val="window" lastClr="FFFFFF">
                    <a:lumMod val="65000"/>
                  </a:sysClr>
                </a:fgClr>
                <a:bgClr>
                  <a:sysClr val="window" lastClr="FFFFFF"/>
                </a:bgClr>
              </a:pattFill>
              <a:ln w="19050">
                <a:solidFill>
                  <a:schemeClr val="lt1"/>
                </a:solidFill>
              </a:ln>
              <a:effectLst/>
            </c:spPr>
            <c:extLst>
              <c:ext xmlns:c16="http://schemas.microsoft.com/office/drawing/2014/chart" uri="{C3380CC4-5D6E-409C-BE32-E72D297353CC}">
                <c16:uniqueId val="{00000007-FCF7-4012-B9D5-A084A93CDBAD}"/>
              </c:ext>
            </c:extLst>
          </c:dPt>
          <c:dPt>
            <c:idx val="4"/>
            <c:bubble3D val="0"/>
            <c:spPr>
              <a:pattFill prst="openDmnd">
                <a:fgClr>
                  <a:sysClr val="window" lastClr="FFFFFF">
                    <a:lumMod val="65000"/>
                  </a:sysClr>
                </a:fgClr>
                <a:bgClr>
                  <a:sysClr val="window" lastClr="FFFFFF"/>
                </a:bgClr>
              </a:pattFill>
              <a:ln w="19050">
                <a:solidFill>
                  <a:schemeClr val="lt1"/>
                </a:solidFill>
              </a:ln>
              <a:effectLst/>
            </c:spPr>
            <c:extLst>
              <c:ext xmlns:c16="http://schemas.microsoft.com/office/drawing/2014/chart" uri="{C3380CC4-5D6E-409C-BE32-E72D297353CC}">
                <c16:uniqueId val="{00000009-FCF7-4012-B9D5-A084A93CDBAD}"/>
              </c:ext>
            </c:extLst>
          </c:dPt>
          <c:dPt>
            <c:idx val="5"/>
            <c:bubble3D val="0"/>
            <c:spPr>
              <a:pattFill prst="dashDnDiag">
                <a:fgClr>
                  <a:sysClr val="window" lastClr="FFFFFF">
                    <a:lumMod val="65000"/>
                  </a:sysClr>
                </a:fgClr>
                <a:bgClr>
                  <a:sysClr val="window" lastClr="FFFFFF"/>
                </a:bgClr>
              </a:pattFill>
              <a:ln w="19050">
                <a:solidFill>
                  <a:schemeClr val="lt1"/>
                </a:solidFill>
              </a:ln>
              <a:effectLst/>
            </c:spPr>
            <c:extLst>
              <c:ext xmlns:c16="http://schemas.microsoft.com/office/drawing/2014/chart" uri="{C3380CC4-5D6E-409C-BE32-E72D297353CC}">
                <c16:uniqueId val="{0000000B-FCF7-4012-B9D5-A084A93CDBAD}"/>
              </c:ext>
            </c:extLst>
          </c:dPt>
          <c:dPt>
            <c:idx val="6"/>
            <c:bubble3D val="0"/>
            <c:spPr>
              <a:pattFill prst="smGrid">
                <a:fgClr>
                  <a:sysClr val="window" lastClr="FFFFFF">
                    <a:lumMod val="65000"/>
                  </a:sysClr>
                </a:fgClr>
                <a:bgClr>
                  <a:sysClr val="window" lastClr="FFFFFF"/>
                </a:bgClr>
              </a:pattFill>
              <a:ln w="19050">
                <a:solidFill>
                  <a:schemeClr val="lt1"/>
                </a:solidFill>
              </a:ln>
              <a:effectLst/>
            </c:spPr>
            <c:extLst>
              <c:ext xmlns:c16="http://schemas.microsoft.com/office/drawing/2014/chart" uri="{C3380CC4-5D6E-409C-BE32-E72D297353CC}">
                <c16:uniqueId val="{0000000D-FCF7-4012-B9D5-A084A93CDBAD}"/>
              </c:ext>
            </c:extLst>
          </c:dPt>
          <c:dPt>
            <c:idx val="7"/>
            <c:bubble3D val="0"/>
            <c:spPr>
              <a:pattFill prst="zigZag">
                <a:fgClr>
                  <a:sysClr val="window" lastClr="FFFFFF">
                    <a:lumMod val="65000"/>
                  </a:sysClr>
                </a:fgClr>
                <a:bgClr>
                  <a:sysClr val="window" lastClr="FFFFFF"/>
                </a:bgClr>
              </a:pattFill>
              <a:ln w="19050">
                <a:solidFill>
                  <a:schemeClr val="lt1"/>
                </a:solidFill>
              </a:ln>
              <a:effectLst/>
            </c:spPr>
            <c:extLst>
              <c:ext xmlns:c16="http://schemas.microsoft.com/office/drawing/2014/chart" uri="{C3380CC4-5D6E-409C-BE32-E72D297353CC}">
                <c16:uniqueId val="{0000000F-FCF7-4012-B9D5-A084A93CDBAD}"/>
              </c:ext>
            </c:extLst>
          </c:dPt>
          <c:dPt>
            <c:idx val="8"/>
            <c:bubble3D val="0"/>
            <c:spPr>
              <a:pattFill prst="pct20">
                <a:fgClr>
                  <a:sysClr val="windowText" lastClr="000000">
                    <a:lumMod val="50000"/>
                    <a:lumOff val="50000"/>
                  </a:sysClr>
                </a:fgClr>
                <a:bgClr>
                  <a:sysClr val="window" lastClr="FFFFFF"/>
                </a:bgClr>
              </a:pattFill>
              <a:ln w="19050">
                <a:solidFill>
                  <a:schemeClr val="lt1"/>
                </a:solidFill>
              </a:ln>
              <a:effectLst/>
            </c:spPr>
            <c:extLst>
              <c:ext xmlns:c16="http://schemas.microsoft.com/office/drawing/2014/chart" uri="{C3380CC4-5D6E-409C-BE32-E72D297353CC}">
                <c16:uniqueId val="{00000011-FCF7-4012-B9D5-A084A93CDBAD}"/>
              </c:ext>
            </c:extLst>
          </c:dPt>
          <c:dPt>
            <c:idx val="9"/>
            <c:bubble3D val="0"/>
            <c:spPr>
              <a:pattFill prst="pct70">
                <a:fgClr>
                  <a:sysClr val="windowText" lastClr="000000">
                    <a:lumMod val="50000"/>
                    <a:lumOff val="50000"/>
                  </a:sysClr>
                </a:fgClr>
                <a:bgClr>
                  <a:sysClr val="window" lastClr="FFFFFF"/>
                </a:bgClr>
              </a:pattFill>
              <a:ln w="19050">
                <a:solidFill>
                  <a:schemeClr val="lt1"/>
                </a:solidFill>
              </a:ln>
              <a:effectLst/>
            </c:spPr>
            <c:extLst>
              <c:ext xmlns:c16="http://schemas.microsoft.com/office/drawing/2014/chart" uri="{C3380CC4-5D6E-409C-BE32-E72D297353CC}">
                <c16:uniqueId val="{00000013-FCF7-4012-B9D5-A084A93CDBAD}"/>
              </c:ext>
            </c:extLst>
          </c:dPt>
          <c:dPt>
            <c:idx val="10"/>
            <c:bubble3D val="0"/>
            <c:spPr>
              <a:pattFill prst="dkDnDiag">
                <a:fgClr>
                  <a:sysClr val="windowText" lastClr="000000">
                    <a:lumMod val="50000"/>
                    <a:lumOff val="50000"/>
                  </a:sysClr>
                </a:fgClr>
                <a:bgClr>
                  <a:sysClr val="window" lastClr="FFFFFF"/>
                </a:bgClr>
              </a:pattFill>
              <a:ln w="19050">
                <a:solidFill>
                  <a:schemeClr val="lt1"/>
                </a:solidFill>
              </a:ln>
              <a:effectLst/>
            </c:spPr>
            <c:extLst>
              <c:ext xmlns:c16="http://schemas.microsoft.com/office/drawing/2014/chart" uri="{C3380CC4-5D6E-409C-BE32-E72D297353CC}">
                <c16:uniqueId val="{00000015-FCF7-4012-B9D5-A084A93CDBAD}"/>
              </c:ext>
            </c:extLst>
          </c:dPt>
          <c:dPt>
            <c:idx val="11"/>
            <c:bubble3D val="0"/>
            <c:spPr>
              <a:pattFill prst="diagBrick">
                <a:fgClr>
                  <a:sysClr val="windowText" lastClr="000000">
                    <a:lumMod val="50000"/>
                    <a:lumOff val="50000"/>
                  </a:sysClr>
                </a:fgClr>
                <a:bgClr>
                  <a:sysClr val="window" lastClr="FFFFFF"/>
                </a:bgClr>
              </a:pattFill>
              <a:ln w="19050">
                <a:solidFill>
                  <a:schemeClr val="lt1"/>
                </a:solidFill>
              </a:ln>
              <a:effectLst/>
            </c:spPr>
            <c:extLst>
              <c:ext xmlns:c16="http://schemas.microsoft.com/office/drawing/2014/chart" uri="{C3380CC4-5D6E-409C-BE32-E72D297353CC}">
                <c16:uniqueId val="{00000017-FCF7-4012-B9D5-A084A93CDBAD}"/>
              </c:ext>
            </c:extLst>
          </c:dPt>
          <c:dPt>
            <c:idx val="12"/>
            <c:bubble3D val="0"/>
            <c:spPr>
              <a:solidFill>
                <a:sysClr val="windowText" lastClr="000000">
                  <a:lumMod val="50000"/>
                  <a:lumOff val="50000"/>
                </a:sysClr>
              </a:solidFill>
              <a:ln w="19050">
                <a:solidFill>
                  <a:schemeClr val="lt1"/>
                </a:solidFill>
              </a:ln>
              <a:effectLst/>
            </c:spPr>
            <c:extLst>
              <c:ext xmlns:c16="http://schemas.microsoft.com/office/drawing/2014/chart" uri="{C3380CC4-5D6E-409C-BE32-E72D297353CC}">
                <c16:uniqueId val="{00000019-FCF7-4012-B9D5-A084A93CDBAD}"/>
              </c:ext>
            </c:extLst>
          </c:dPt>
          <c:dPt>
            <c:idx val="13"/>
            <c:bubble3D val="0"/>
            <c:spPr>
              <a:pattFill prst="ltVert">
                <a:fgClr>
                  <a:sysClr val="windowText" lastClr="000000">
                    <a:lumMod val="50000"/>
                    <a:lumOff val="50000"/>
                  </a:sysClr>
                </a:fgClr>
                <a:bgClr>
                  <a:sysClr val="window" lastClr="FFFFFF"/>
                </a:bgClr>
              </a:pattFill>
              <a:ln w="19050">
                <a:solidFill>
                  <a:schemeClr val="lt1"/>
                </a:solidFill>
              </a:ln>
              <a:effectLst/>
            </c:spPr>
            <c:extLst>
              <c:ext xmlns:c16="http://schemas.microsoft.com/office/drawing/2014/chart" uri="{C3380CC4-5D6E-409C-BE32-E72D297353CC}">
                <c16:uniqueId val="{0000001B-FCF7-4012-B9D5-A084A93CDBAD}"/>
              </c:ext>
            </c:extLst>
          </c:dPt>
          <c:dLbls>
            <c:dLbl>
              <c:idx val="0"/>
              <c:layout>
                <c:manualLayout>
                  <c:x val="-0.11339602397673264"/>
                  <c:y val="-0.16826088057320809"/>
                </c:manualLayout>
              </c:layout>
              <c:tx>
                <c:rich>
                  <a:bodyPr/>
                  <a:lstStyle/>
                  <a:p>
                    <a:fld id="{42E5E9B5-63C3-49CD-8F6D-86D1A3129438}" type="CATEGORYNAME">
                      <a:rPr lang="zh-TW" altLang="en-US"/>
                      <a:pPr/>
                      <a:t>[類別名稱]</a:t>
                    </a:fld>
                    <a:r>
                      <a:rPr lang="zh-TW" altLang="en-US" baseline="0"/>
                      <a:t>
</a:t>
                    </a:r>
                    <a:r>
                      <a:rPr lang="en-US" altLang="zh-TW" baseline="0"/>
                      <a:t>20</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FCF7-4012-B9D5-A084A93CDBAD}"/>
                </c:ext>
              </c:extLst>
            </c:dLbl>
            <c:dLbl>
              <c:idx val="1"/>
              <c:layout>
                <c:manualLayout>
                  <c:x val="0.11495870870870871"/>
                  <c:y val="-0.1834698253616146"/>
                </c:manualLayout>
              </c:layout>
              <c:tx>
                <c:rich>
                  <a:bodyPr/>
                  <a:lstStyle/>
                  <a:p>
                    <a:fld id="{D86FC1C7-2798-4411-8540-2EC24AC00D28}" type="CATEGORYNAME">
                      <a:rPr lang="zh-TW" altLang="en-US"/>
                      <a:pPr/>
                      <a:t>[類別名稱]</a:t>
                    </a:fld>
                    <a:r>
                      <a:rPr lang="zh-TW" altLang="en-US" baseline="0"/>
                      <a:t>
</a:t>
                    </a:r>
                    <a:r>
                      <a:rPr lang="en-US" altLang="zh-TW" baseline="0"/>
                      <a:t>20</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FCF7-4012-B9D5-A084A93CDBAD}"/>
                </c:ext>
              </c:extLst>
            </c:dLbl>
            <c:dLbl>
              <c:idx val="2"/>
              <c:tx>
                <c:rich>
                  <a:bodyPr/>
                  <a:lstStyle/>
                  <a:p>
                    <a:r>
                      <a:rPr lang="zh-TW" altLang="en-US"/>
                      <a:t>在家</a:t>
                    </a:r>
                    <a:r>
                      <a:rPr lang="en-US" altLang="zh-TW" baseline="0"/>
                      <a:t>15</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FCF7-4012-B9D5-A084A93CDBAD}"/>
                </c:ext>
              </c:extLst>
            </c:dLbl>
            <c:dLbl>
              <c:idx val="3"/>
              <c:tx>
                <c:rich>
                  <a:bodyPr/>
                  <a:lstStyle/>
                  <a:p>
                    <a:r>
                      <a:rPr lang="zh-TW" altLang="en-US" baseline="0"/>
                      <a:t>
疫情</a:t>
                    </a:r>
                    <a:r>
                      <a:rPr lang="en-US" altLang="zh-TW" baseline="0"/>
                      <a:t>11</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FCF7-4012-B9D5-A084A93CDBAD}"/>
                </c:ext>
              </c:extLst>
            </c:dLbl>
            <c:dLbl>
              <c:idx val="4"/>
              <c:layout>
                <c:manualLayout>
                  <c:x val="-1.1854177011657327E-2"/>
                  <c:y val="0.18886361378955754"/>
                </c:manualLayout>
              </c:layout>
              <c:tx>
                <c:rich>
                  <a:bodyPr/>
                  <a:lstStyle/>
                  <a:p>
                    <a:r>
                      <a:rPr lang="zh-TW" altLang="en-US" baseline="0"/>
                      <a:t>就醫復健
</a:t>
                    </a:r>
                    <a:r>
                      <a:rPr lang="en-US" altLang="zh-TW" baseline="0"/>
                      <a:t>8</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0510510510510511"/>
                      <c:h val="0.17709621568142467"/>
                    </c:manualLayout>
                  </c15:layout>
                </c:ext>
                <c:ext xmlns:c16="http://schemas.microsoft.com/office/drawing/2014/chart" uri="{C3380CC4-5D6E-409C-BE32-E72D297353CC}">
                  <c16:uniqueId val="{00000009-FCF7-4012-B9D5-A084A93CDBAD}"/>
                </c:ext>
              </c:extLst>
            </c:dLbl>
            <c:dLbl>
              <c:idx val="5"/>
              <c:layout>
                <c:manualLayout>
                  <c:x val="-6.6571344967014265E-2"/>
                  <c:y val="0.13104266925822997"/>
                </c:manualLayout>
              </c:layout>
              <c:tx>
                <c:rich>
                  <a:bodyPr/>
                  <a:lstStyle/>
                  <a:p>
                    <a:r>
                      <a:rPr lang="zh-TW" altLang="en-US"/>
                      <a:t>不明</a:t>
                    </a:r>
                    <a:r>
                      <a:rPr lang="zh-TW" altLang="en-US" baseline="0"/>
                      <a:t>
</a:t>
                    </a:r>
                    <a:r>
                      <a:rPr lang="en-US" altLang="zh-TW" baseline="0"/>
                      <a:t>7</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8.771929824561403E-2"/>
                      <c:h val="0.11773435567647784"/>
                    </c:manualLayout>
                  </c15:layout>
                </c:ext>
                <c:ext xmlns:c16="http://schemas.microsoft.com/office/drawing/2014/chart" uri="{C3380CC4-5D6E-409C-BE32-E72D297353CC}">
                  <c16:uniqueId val="{0000000B-FCF7-4012-B9D5-A084A93CDBAD}"/>
                </c:ext>
              </c:extLst>
            </c:dLbl>
            <c:dLbl>
              <c:idx val="6"/>
              <c:layout>
                <c:manualLayout>
                  <c:x val="-3.9538406516752972E-2"/>
                  <c:y val="-2.7428178576367045E-2"/>
                </c:manualLayout>
              </c:layout>
              <c:tx>
                <c:rich>
                  <a:bodyPr/>
                  <a:lstStyle/>
                  <a:p>
                    <a:fld id="{2CBBDD29-8F2D-4432-A043-B6E804642776}" type="CATEGORYNAME">
                      <a:rPr lang="zh-TW" altLang="en-US"/>
                      <a:pPr/>
                      <a:t>[類別名稱]</a:t>
                    </a:fld>
                    <a:r>
                      <a:rPr lang="en-US" altLang="zh-TW" baseline="0"/>
                      <a:t>5</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2078456409165068"/>
                      <c:h val="0.16027702201335639"/>
                    </c:manualLayout>
                  </c15:layout>
                  <c15:dlblFieldTable/>
                  <c15:showDataLabelsRange val="0"/>
                </c:ext>
                <c:ext xmlns:c16="http://schemas.microsoft.com/office/drawing/2014/chart" uri="{C3380CC4-5D6E-409C-BE32-E72D297353CC}">
                  <c16:uniqueId val="{0000000D-FCF7-4012-B9D5-A084A93CDBAD}"/>
                </c:ext>
              </c:extLst>
            </c:dLbl>
            <c:dLbl>
              <c:idx val="7"/>
              <c:layout>
                <c:manualLayout>
                  <c:x val="3.0295181403759988E-2"/>
                  <c:y val="-9.4004997458424319E-2"/>
                </c:manualLayout>
              </c:layout>
              <c:tx>
                <c:rich>
                  <a:bodyPr/>
                  <a:lstStyle/>
                  <a:p>
                    <a:fld id="{5F32743F-B15D-4EEE-8D01-FFFE62994BA8}" type="CATEGORYNAME">
                      <a:rPr lang="zh-TW" altLang="en-US"/>
                      <a:pPr/>
                      <a:t>[類別名稱]</a:t>
                    </a:fld>
                    <a:r>
                      <a:rPr lang="en-US" altLang="zh-TW"/>
                      <a:t>5</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4361853093722132"/>
                      <c:h val="0.17750325730678668"/>
                    </c:manualLayout>
                  </c15:layout>
                  <c15:dlblFieldTable/>
                  <c15:showDataLabelsRange val="0"/>
                </c:ext>
                <c:ext xmlns:c16="http://schemas.microsoft.com/office/drawing/2014/chart" uri="{C3380CC4-5D6E-409C-BE32-E72D297353CC}">
                  <c16:uniqueId val="{0000000F-FCF7-4012-B9D5-A084A93CDBAD}"/>
                </c:ext>
              </c:extLst>
            </c:dLbl>
            <c:dLbl>
              <c:idx val="8"/>
              <c:layout>
                <c:manualLayout>
                  <c:x val="-2.2179216618192995E-2"/>
                  <c:y val="4.6416378264366263E-3"/>
                </c:manualLayout>
              </c:layout>
              <c:tx>
                <c:rich>
                  <a:bodyPr rot="0" spcFirstLastPara="1" vertOverflow="ellipsis" vert="horz" wrap="square" anchor="ctr" anchorCtr="0"/>
                  <a:lstStyle/>
                  <a:p>
                    <a:pPr algn="l">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347D9256-3E1A-4093-AE77-BD88477790A9}" type="CATEGORYNAME">
                      <a:rPr lang="zh-TW" altLang="en-US" sz="800">
                        <a:solidFill>
                          <a:sysClr val="windowText" lastClr="000000"/>
                        </a:solidFill>
                      </a:rPr>
                      <a:pPr algn="l">
                        <a:defRPr sz="800">
                          <a:solidFill>
                            <a:sysClr val="windowText" lastClr="000000"/>
                          </a:solidFill>
                        </a:defRPr>
                      </a:pPr>
                      <a:t>[類別名稱]</a:t>
                    </a:fld>
                    <a:r>
                      <a:rPr lang="en-US" altLang="zh-TW" sz="800">
                        <a:solidFill>
                          <a:sysClr val="windowText" lastClr="000000"/>
                        </a:solidFill>
                      </a:rPr>
                      <a:t>4</a:t>
                    </a:r>
                    <a:r>
                      <a:rPr lang="zh-TW" altLang="en-US" sz="800" baseline="0">
                        <a:solidFill>
                          <a:sysClr val="windowText" lastClr="000000"/>
                        </a:solidFill>
                      </a:rPr>
                      <a:t>％</a:t>
                    </a:r>
                  </a:p>
                </c:rich>
              </c:tx>
              <c:spPr>
                <a:noFill/>
                <a:ln>
                  <a:noFill/>
                </a:ln>
                <a:effectLst/>
              </c:spPr>
              <c:txPr>
                <a:bodyPr rot="0" spcFirstLastPara="1" vertOverflow="ellipsis" vert="horz" wrap="square" anchor="ctr" anchorCtr="0"/>
                <a:lstStyle/>
                <a:p>
                  <a:pPr algn="l">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20041191023370883"/>
                      <c:h val="9.2010883007667563E-2"/>
                    </c:manualLayout>
                  </c15:layout>
                  <c15:dlblFieldTable/>
                  <c15:showDataLabelsRange val="0"/>
                </c:ext>
                <c:ext xmlns:c16="http://schemas.microsoft.com/office/drawing/2014/chart" uri="{C3380CC4-5D6E-409C-BE32-E72D297353CC}">
                  <c16:uniqueId val="{00000011-FCF7-4012-B9D5-A084A93CDBAD}"/>
                </c:ext>
              </c:extLst>
            </c:dLbl>
            <c:dLbl>
              <c:idx val="9"/>
              <c:layout>
                <c:manualLayout>
                  <c:x val="-2.0417021352060721E-2"/>
                  <c:y val="1.9475675845572278E-7"/>
                </c:manualLayout>
              </c:layout>
              <c:tx>
                <c:rich>
                  <a:bodyPr rot="0" spcFirstLastPara="1" vertOverflow="ellipsis" vert="horz" wrap="square" anchor="ctr" anchorCtr="0"/>
                  <a:lstStyle/>
                  <a:p>
                    <a:pPr algn="l">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FE88A812-F9CA-4937-89AF-022A61ACFF78}" type="CATEGORYNAME">
                      <a:rPr lang="zh-TW" altLang="en-US">
                        <a:solidFill>
                          <a:sysClr val="windowText" lastClr="000000"/>
                        </a:solidFill>
                      </a:rPr>
                      <a:pPr algn="l">
                        <a:defRPr sz="800">
                          <a:solidFill>
                            <a:sysClr val="windowText" lastClr="000000"/>
                          </a:solidFill>
                        </a:defRPr>
                      </a:pPr>
                      <a:t>[類別名稱]</a:t>
                    </a:fld>
                    <a:r>
                      <a:rPr lang="en-US" altLang="zh-TW">
                        <a:solidFill>
                          <a:sysClr val="windowText" lastClr="000000"/>
                        </a:solidFill>
                      </a:rPr>
                      <a:t>2</a:t>
                    </a:r>
                    <a:r>
                      <a:rPr lang="zh-TW" altLang="en-US" baseline="0">
                        <a:solidFill>
                          <a:sysClr val="windowText" lastClr="000000"/>
                        </a:solidFill>
                      </a:rPr>
                      <a:t>％</a:t>
                    </a:r>
                  </a:p>
                </c:rich>
              </c:tx>
              <c:spPr>
                <a:noFill/>
                <a:ln>
                  <a:noFill/>
                </a:ln>
                <a:effectLst/>
              </c:spPr>
              <c:txPr>
                <a:bodyPr rot="0" spcFirstLastPara="1" vertOverflow="ellipsis" vert="horz" wrap="square" anchor="ctr" anchorCtr="0"/>
                <a:lstStyle/>
                <a:p>
                  <a:pPr algn="l">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17145135566188197"/>
                      <c:h val="6.6287410338857267E-2"/>
                    </c:manualLayout>
                  </c15:layout>
                  <c15:dlblFieldTable/>
                  <c15:showDataLabelsRange val="0"/>
                </c:ext>
                <c:ext xmlns:c16="http://schemas.microsoft.com/office/drawing/2014/chart" uri="{C3380CC4-5D6E-409C-BE32-E72D297353CC}">
                  <c16:uniqueId val="{00000013-FCF7-4012-B9D5-A084A93CDBAD}"/>
                </c:ext>
              </c:extLst>
            </c:dLbl>
            <c:dLbl>
              <c:idx val="10"/>
              <c:layout>
                <c:manualLayout>
                  <c:x val="-3.3314712350145423E-2"/>
                  <c:y val="-4.9460426400447163E-3"/>
                </c:manualLayout>
              </c:layout>
              <c:tx>
                <c:rich>
                  <a:bodyPr rot="0" spcFirstLastPara="1" vertOverflow="ellipsis" vert="horz" wrap="square" anchor="ctr" anchorCtr="0"/>
                  <a:lstStyle/>
                  <a:p>
                    <a:pPr marL="108000" algn="l">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EE96F82F-0DC4-4491-950F-E41468B6279A}" type="CATEGORYNAME">
                      <a:rPr lang="zh-TW" altLang="en-US" sz="800">
                        <a:solidFill>
                          <a:sysClr val="windowText" lastClr="000000"/>
                        </a:solidFill>
                      </a:rPr>
                      <a:pPr marL="108000" algn="l">
                        <a:defRPr sz="800">
                          <a:solidFill>
                            <a:sysClr val="windowText" lastClr="000000"/>
                          </a:solidFill>
                        </a:defRPr>
                      </a:pPr>
                      <a:t>[類別名稱]</a:t>
                    </a:fld>
                    <a:r>
                      <a:rPr lang="en-US" altLang="zh-TW" sz="800">
                        <a:solidFill>
                          <a:sysClr val="windowText" lastClr="000000"/>
                        </a:solidFill>
                      </a:rPr>
                      <a:t>1</a:t>
                    </a:r>
                    <a:r>
                      <a:rPr lang="zh-TW" altLang="en-US" sz="800" baseline="0">
                        <a:solidFill>
                          <a:sysClr val="windowText" lastClr="000000"/>
                        </a:solidFill>
                      </a:rPr>
                      <a:t>％</a:t>
                    </a:r>
                  </a:p>
                </c:rich>
              </c:tx>
              <c:spPr>
                <a:noFill/>
                <a:ln>
                  <a:noFill/>
                </a:ln>
                <a:effectLst/>
              </c:spPr>
              <c:txPr>
                <a:bodyPr rot="0" spcFirstLastPara="1" vertOverflow="ellipsis" vert="horz" wrap="square" anchor="ctr" anchorCtr="0"/>
                <a:lstStyle/>
                <a:p>
                  <a:pPr marL="108000" algn="l">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22792083422004683"/>
                      <c:h val="7.3212960672767752E-2"/>
                    </c:manualLayout>
                  </c15:layout>
                  <c15:dlblFieldTable/>
                  <c15:showDataLabelsRange val="0"/>
                </c:ext>
                <c:ext xmlns:c16="http://schemas.microsoft.com/office/drawing/2014/chart" uri="{C3380CC4-5D6E-409C-BE32-E72D297353CC}">
                  <c16:uniqueId val="{00000015-FCF7-4012-B9D5-A084A93CDBAD}"/>
                </c:ext>
              </c:extLst>
            </c:dLbl>
            <c:dLbl>
              <c:idx val="11"/>
              <c:layout>
                <c:manualLayout>
                  <c:x val="-3.155813293608583E-2"/>
                  <c:y val="-4.9468216670789022E-3"/>
                </c:manualLayout>
              </c:layout>
              <c:tx>
                <c:rich>
                  <a:bodyPr rot="0" spcFirstLastPara="1" vertOverflow="ellipsis" vert="horz" wrap="square" anchor="ctr" anchorCtr="1"/>
                  <a:lstStyle/>
                  <a:p>
                    <a:pPr marL="36000" algn="ct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800">
                        <a:solidFill>
                          <a:sysClr val="windowText" lastClr="000000"/>
                        </a:solidFill>
                      </a:rPr>
                      <a:t>無意願</a:t>
                    </a:r>
                    <a:r>
                      <a:rPr lang="en-US" altLang="zh-TW" sz="800">
                        <a:solidFill>
                          <a:sysClr val="windowText" lastClr="000000"/>
                        </a:solidFill>
                      </a:rPr>
                      <a:t>1</a:t>
                    </a:r>
                    <a:r>
                      <a:rPr lang="zh-TW" altLang="en-US" sz="800" baseline="0">
                        <a:solidFill>
                          <a:sysClr val="windowText" lastClr="000000"/>
                        </a:solidFill>
                      </a:rPr>
                      <a:t>％</a:t>
                    </a:r>
                  </a:p>
                </c:rich>
              </c:tx>
              <c:spPr>
                <a:noFill/>
                <a:ln>
                  <a:noFill/>
                </a:ln>
                <a:effectLst/>
              </c:spPr>
              <c:txPr>
                <a:bodyPr rot="0" spcFirstLastPara="1" vertOverflow="ellipsis" vert="horz" wrap="square" anchor="ctr" anchorCtr="1"/>
                <a:lstStyle/>
                <a:p>
                  <a:pPr marL="36000" algn="ct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7-FCF7-4012-B9D5-A084A93CDBAD}"/>
                </c:ext>
              </c:extLst>
            </c:dLbl>
            <c:dLbl>
              <c:idx val="12"/>
              <c:layout>
                <c:manualLayout>
                  <c:x val="-2.2410796623395048E-2"/>
                  <c:y val="4.9468216670789924E-3"/>
                </c:manualLayout>
              </c:layout>
              <c:tx>
                <c:rich>
                  <a:bodyPr/>
                  <a:lstStyle/>
                  <a:p>
                    <a:fld id="{BDB69DD9-62C4-4138-9003-3135D9AFCCD1}" type="CATEGORYNAME">
                      <a:rPr lang="zh-TW" altLang="en-US"/>
                      <a:pPr/>
                      <a:t>[類別名稱]</a:t>
                    </a:fld>
                    <a:r>
                      <a:rPr lang="en-US" altLang="zh-TW"/>
                      <a:t>1</a:t>
                    </a:r>
                    <a:r>
                      <a:rPr lang="zh-TW" altLang="en-US" baseline="0"/>
                      <a:t>％</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9-FCF7-4012-B9D5-A084A93CDBAD}"/>
                </c:ext>
              </c:extLst>
            </c:dLbl>
            <c:dLbl>
              <c:idx val="13"/>
              <c:delete val="1"/>
              <c:extLst>
                <c:ext xmlns:c15="http://schemas.microsoft.com/office/drawing/2012/chart" uri="{CE6537A1-D6FC-4f65-9D91-7224C49458BB}"/>
                <c:ext xmlns:c16="http://schemas.microsoft.com/office/drawing/2014/chart" uri="{C3380CC4-5D6E-409C-BE32-E72D297353CC}">
                  <c16:uniqueId val="{0000001B-FCF7-4012-B9D5-A084A93CDBAD}"/>
                </c:ext>
              </c:extLst>
            </c:dLbl>
            <c:spPr>
              <a:noFill/>
              <a:ln>
                <a:noFill/>
              </a:ln>
              <a:effectLst/>
            </c:spPr>
            <c:txPr>
              <a:bodyPr rot="0" spcFirstLastPara="1" vertOverflow="ellipsis" vert="horz" wrap="square" anchor="ctr" anchorCtr="1"/>
              <a:lstStyle/>
              <a:p>
                <a:pPr algn="ct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'表3_文健站請假資訊 畫圖用'!$B$4:$B$16</c:f>
              <c:strCache>
                <c:ptCount val="13"/>
                <c:pt idx="0">
                  <c:v>家務</c:v>
                </c:pt>
                <c:pt idx="1">
                  <c:v>務農漁工</c:v>
                </c:pt>
                <c:pt idx="2">
                  <c:v>在家休養</c:v>
                </c:pt>
                <c:pt idx="3">
                  <c:v>疫情相關</c:v>
                </c:pt>
                <c:pt idx="4">
                  <c:v>就醫復健</c:v>
                </c:pt>
                <c:pt idx="5">
                  <c:v>不明</c:v>
                </c:pt>
                <c:pt idx="6">
                  <c:v>生病不適</c:v>
                </c:pt>
                <c:pt idx="7">
                  <c:v>到親友家住</c:v>
                </c:pt>
                <c:pt idx="8">
                  <c:v>其他活動</c:v>
                </c:pt>
                <c:pt idx="9">
                  <c:v>住院</c:v>
                </c:pt>
                <c:pt idx="10">
                  <c:v>親友來訪</c:v>
                </c:pt>
                <c:pt idx="11">
                  <c:v>無意願到站</c:v>
                </c:pt>
                <c:pt idx="12">
                  <c:v>出遊</c:v>
                </c:pt>
              </c:strCache>
            </c:strRef>
          </c:cat>
          <c:val>
            <c:numRef>
              <c:f>'表3_文健站請假資訊 畫圖用'!$D$4:$D$16</c:f>
              <c:numCache>
                <c:formatCode>0%</c:formatCode>
                <c:ptCount val="13"/>
                <c:pt idx="0">
                  <c:v>0.20439846160876854</c:v>
                </c:pt>
                <c:pt idx="1">
                  <c:v>0.20346282341452621</c:v>
                </c:pt>
                <c:pt idx="2">
                  <c:v>0.15508142938577396</c:v>
                </c:pt>
                <c:pt idx="3">
                  <c:v>0.10935301460701993</c:v>
                </c:pt>
                <c:pt idx="4">
                  <c:v>7.8701844097181298E-2</c:v>
                </c:pt>
                <c:pt idx="5">
                  <c:v>6.5648608929692445E-2</c:v>
                </c:pt>
                <c:pt idx="6">
                  <c:v>4.7546775896613179E-2</c:v>
                </c:pt>
                <c:pt idx="7">
                  <c:v>4.6309280135847931E-2</c:v>
                </c:pt>
                <c:pt idx="8">
                  <c:v>3.7854863033632467E-2</c:v>
                </c:pt>
                <c:pt idx="9">
                  <c:v>2.1568985878838463E-2</c:v>
                </c:pt>
                <c:pt idx="10">
                  <c:v>1.1371972705341316E-2</c:v>
                </c:pt>
                <c:pt idx="11">
                  <c:v>9.756854331475686E-3</c:v>
                </c:pt>
                <c:pt idx="12">
                  <c:v>8.9450859752885688E-3</c:v>
                </c:pt>
              </c:numCache>
            </c:numRef>
          </c:val>
          <c:extLst>
            <c:ext xmlns:c16="http://schemas.microsoft.com/office/drawing/2014/chart" uri="{C3380CC4-5D6E-409C-BE32-E72D297353CC}">
              <c16:uniqueId val="{0000001C-FCF7-4012-B9D5-A084A93CDBAD}"/>
            </c:ext>
          </c:extLst>
        </c:ser>
        <c:dLbls>
          <c:dLblPos val="bestFit"/>
          <c:showLegendKey val="0"/>
          <c:showVal val="0"/>
          <c:showCatName val="1"/>
          <c:showSerName val="0"/>
          <c:showPercent val="1"/>
          <c:showBubbleSize val="0"/>
          <c:showLeaderLines val="1"/>
        </c:dLbls>
        <c:gapWidth val="70"/>
        <c:secondPieSize val="59"/>
        <c:serLines>
          <c:spPr>
            <a:ln w="9525" cap="flat" cmpd="sng" algn="ctr">
              <a:solidFill>
                <a:schemeClr val="tx1">
                  <a:lumMod val="35000"/>
                  <a:lumOff val="65000"/>
                </a:schemeClr>
              </a:solidFill>
              <a:round/>
            </a:ln>
            <a:effectLst/>
          </c:spPr>
        </c:serLines>
      </c:of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withinLinearReversed" id="21">
  <a:schemeClr val="accent1"/>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9EEE5C1-5033-40FF-BFA2-1D624DE89933}" type="doc">
      <dgm:prSet loTypeId="urn:microsoft.com/office/officeart/2005/8/layout/radial6" loCatId="relationship" qsTypeId="urn:microsoft.com/office/officeart/2005/8/quickstyle/simple2" qsCatId="simple" csTypeId="urn:microsoft.com/office/officeart/2005/8/colors/accent0_1" csCatId="mainScheme" phldr="1"/>
      <dgm:spPr/>
      <dgm:t>
        <a:bodyPr/>
        <a:lstStyle/>
        <a:p>
          <a:endParaRPr lang="zh-TW" altLang="en-US"/>
        </a:p>
      </dgm:t>
    </dgm:pt>
    <dgm:pt modelId="{2D5D77E8-8948-405B-A9E0-5482B5B9FEBE}">
      <dgm:prSet phldrT="[文字]" custT="1"/>
      <dgm:spPr>
        <a:xfrm>
          <a:off x="1165860" y="709248"/>
          <a:ext cx="777240" cy="777240"/>
        </a:xfrm>
        <a:prstGeom prst="ellipse">
          <a:avLst/>
        </a:prstGeom>
        <a:solidFill>
          <a:sysClr val="window" lastClr="FFFFFF">
            <a:hueOff val="0"/>
            <a:satOff val="0"/>
            <a:lumOff val="0"/>
            <a:alphaOff val="0"/>
          </a:sysClr>
        </a:solidFill>
        <a:ln w="1905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zh-TW" altLang="en-US" sz="10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國家運輸安全調查委員會</a:t>
          </a:r>
        </a:p>
      </dgm:t>
    </dgm:pt>
    <dgm:pt modelId="{C8096ED3-13F4-414B-90B6-1A3E4471874E}" type="parTrans" cxnId="{A5885A75-0B00-4F75-BE9B-8FE00E4C1B08}">
      <dgm:prSet/>
      <dgm:spPr/>
      <dgm:t>
        <a:bodyPr/>
        <a:lstStyle/>
        <a:p>
          <a:pPr algn="ctr"/>
          <a:endParaRPr lang="zh-TW" altLang="en-US" sz="1000">
            <a:latin typeface="標楷體" panose="03000509000000000000" pitchFamily="65" charset="-120"/>
            <a:ea typeface="標楷體" panose="03000509000000000000" pitchFamily="65" charset="-120"/>
          </a:endParaRPr>
        </a:p>
      </dgm:t>
    </dgm:pt>
    <dgm:pt modelId="{B96AA9C7-F655-4956-9E09-55AB07424F16}" type="sibTrans" cxnId="{A5885A75-0B00-4F75-BE9B-8FE00E4C1B08}">
      <dgm:prSet/>
      <dgm:spPr/>
      <dgm:t>
        <a:bodyPr/>
        <a:lstStyle/>
        <a:p>
          <a:pPr algn="ctr"/>
          <a:endParaRPr lang="zh-TW" altLang="en-US" sz="1000">
            <a:latin typeface="標楷體" panose="03000509000000000000" pitchFamily="65" charset="-120"/>
            <a:ea typeface="標楷體" panose="03000509000000000000" pitchFamily="65" charset="-120"/>
          </a:endParaRPr>
        </a:p>
      </dgm:t>
    </dgm:pt>
    <dgm:pt modelId="{852AC2F7-36F7-4FBD-A481-0C418CC3ECEF}">
      <dgm:prSet phldrT="[文字]"/>
      <dgm:spPr>
        <a:xfrm>
          <a:off x="1767790" y="1493853"/>
          <a:ext cx="544068" cy="544068"/>
        </a:xfrm>
        <a:prstGeom prst="ellipse">
          <a:avLst/>
        </a:prstGeom>
      </dgm:spPr>
      <dgm:t>
        <a:bodyPr/>
        <a:lstStyle/>
        <a:p>
          <a:endParaRPr lang="zh-TW" altLang="en-US"/>
        </a:p>
      </dgm:t>
    </dgm:pt>
    <dgm:pt modelId="{3F9CB488-C8B4-4EF8-AF25-F464BF85E55E}" type="parTrans" cxnId="{722FA64D-D479-48AB-8689-EE38EA13FC89}">
      <dgm:prSet/>
      <dgm:spPr/>
      <dgm:t>
        <a:bodyPr/>
        <a:lstStyle/>
        <a:p>
          <a:pPr algn="ctr"/>
          <a:endParaRPr lang="zh-TW" altLang="en-US" sz="1000">
            <a:latin typeface="標楷體" panose="03000509000000000000" pitchFamily="65" charset="-120"/>
            <a:ea typeface="標楷體" panose="03000509000000000000" pitchFamily="65" charset="-120"/>
          </a:endParaRPr>
        </a:p>
      </dgm:t>
    </dgm:pt>
    <dgm:pt modelId="{21F9E8D7-3FDF-4706-BF1C-B139043B9723}" type="sibTrans" cxnId="{722FA64D-D479-48AB-8689-EE38EA13FC89}">
      <dgm:prSet/>
      <dgm:spPr>
        <a:xfrm>
          <a:off x="709176" y="252565"/>
          <a:ext cx="1690606" cy="1690606"/>
        </a:xfrm>
        <a:prstGeom prst="blockArc">
          <a:avLst>
            <a:gd name="adj1" fmla="val 3240000"/>
            <a:gd name="adj2" fmla="val 7560000"/>
            <a:gd name="adj3" fmla="val 4634"/>
          </a:avLst>
        </a:prstGeom>
        <a:solidFill>
          <a:sysClr val="windowText" lastClr="000000">
            <a:tint val="60000"/>
            <a:hueOff val="0"/>
            <a:satOff val="0"/>
            <a:lumOff val="0"/>
            <a:alphaOff val="0"/>
          </a:sysClr>
        </a:solidFill>
        <a:ln>
          <a:noFill/>
        </a:ln>
        <a:effectLst/>
      </dgm:spPr>
      <dgm:t>
        <a:bodyPr/>
        <a:lstStyle/>
        <a:p>
          <a:pPr algn="ctr"/>
          <a:endParaRPr lang="zh-TW" altLang="en-US" sz="1000">
            <a:latin typeface="標楷體" panose="03000509000000000000" pitchFamily="65" charset="-120"/>
            <a:ea typeface="標楷體" panose="03000509000000000000" pitchFamily="65" charset="-120"/>
          </a:endParaRPr>
        </a:p>
      </dgm:t>
    </dgm:pt>
    <dgm:pt modelId="{0DE335C4-0EE4-4678-84CC-FBBCD5496C02}">
      <dgm:prSet phldrT="[文字]"/>
      <dgm:spPr>
        <a:xfrm>
          <a:off x="497142" y="570674"/>
          <a:ext cx="544068" cy="544068"/>
        </a:xfrm>
        <a:prstGeom prst="ellipse">
          <a:avLst/>
        </a:prstGeom>
      </dgm:spPr>
      <dgm:t>
        <a:bodyPr/>
        <a:lstStyle/>
        <a:p>
          <a:endParaRPr lang="zh-TW" altLang="en-US"/>
        </a:p>
      </dgm:t>
    </dgm:pt>
    <dgm:pt modelId="{5BF67B36-E8FC-4B5A-BCA1-EA710CBE3C24}" type="parTrans" cxnId="{499B5632-E9AE-4531-A88F-8DCB8FBCC991}">
      <dgm:prSet/>
      <dgm:spPr/>
      <dgm:t>
        <a:bodyPr/>
        <a:lstStyle/>
        <a:p>
          <a:pPr algn="ctr"/>
          <a:endParaRPr lang="zh-TW" altLang="en-US" sz="1000">
            <a:latin typeface="標楷體" panose="03000509000000000000" pitchFamily="65" charset="-120"/>
            <a:ea typeface="標楷體" panose="03000509000000000000" pitchFamily="65" charset="-120"/>
          </a:endParaRPr>
        </a:p>
      </dgm:t>
    </dgm:pt>
    <dgm:pt modelId="{293E26A2-E6F7-49B9-8B05-A4967844CA65}" type="sibTrans" cxnId="{499B5632-E9AE-4531-A88F-8DCB8FBCC991}">
      <dgm:prSet/>
      <dgm:spPr>
        <a:xfrm>
          <a:off x="709176" y="252565"/>
          <a:ext cx="1690606" cy="1690606"/>
        </a:xfrm>
        <a:prstGeom prst="blockArc">
          <a:avLst>
            <a:gd name="adj1" fmla="val 11880000"/>
            <a:gd name="adj2" fmla="val 16200000"/>
            <a:gd name="adj3" fmla="val 4634"/>
          </a:avLst>
        </a:prstGeom>
        <a:solidFill>
          <a:sysClr val="windowText" lastClr="000000">
            <a:tint val="60000"/>
            <a:hueOff val="0"/>
            <a:satOff val="0"/>
            <a:lumOff val="0"/>
            <a:alphaOff val="0"/>
          </a:sysClr>
        </a:solidFill>
        <a:ln>
          <a:noFill/>
        </a:ln>
        <a:effectLst/>
      </dgm:spPr>
      <dgm:t>
        <a:bodyPr/>
        <a:lstStyle/>
        <a:p>
          <a:pPr algn="ctr"/>
          <a:endParaRPr lang="zh-TW" altLang="en-US" sz="1000">
            <a:latin typeface="標楷體" panose="03000509000000000000" pitchFamily="65" charset="-120"/>
            <a:ea typeface="標楷體" panose="03000509000000000000" pitchFamily="65" charset="-120"/>
          </a:endParaRPr>
        </a:p>
      </dgm:t>
    </dgm:pt>
    <dgm:pt modelId="{3965CB92-E7CA-408D-A079-6B27103B0808}">
      <dgm:prSet/>
      <dgm:spPr/>
      <dgm:t>
        <a:bodyPr/>
        <a:lstStyle/>
        <a:p>
          <a:endParaRPr lang="zh-TW" altLang="en-US"/>
        </a:p>
      </dgm:t>
    </dgm:pt>
    <dgm:pt modelId="{F3F3B96E-FCC1-4902-B33E-A9B7D1117148}" type="sibTrans" cxnId="{6A8BC740-9122-48AA-A851-1BD5301D508E}">
      <dgm:prSet/>
      <dgm:spPr/>
      <dgm:t>
        <a:bodyPr/>
        <a:lstStyle/>
        <a:p>
          <a:endParaRPr lang="zh-TW" altLang="en-US"/>
        </a:p>
      </dgm:t>
    </dgm:pt>
    <dgm:pt modelId="{07C89F5B-27A5-4BBB-BF58-E2B829E94C33}" type="parTrans" cxnId="{6A8BC740-9122-48AA-A851-1BD5301D508E}">
      <dgm:prSet/>
      <dgm:spPr/>
      <dgm:t>
        <a:bodyPr/>
        <a:lstStyle/>
        <a:p>
          <a:endParaRPr lang="zh-TW" altLang="en-US"/>
        </a:p>
      </dgm:t>
    </dgm:pt>
    <dgm:pt modelId="{F17C21C7-611A-48AD-83C6-5F022B6756F0}">
      <dgm:prSet phldrT="[文字]"/>
      <dgm:spPr>
        <a:xfrm>
          <a:off x="1282445" y="117"/>
          <a:ext cx="544068" cy="544068"/>
        </a:xfrm>
        <a:prstGeom prst="ellipse">
          <a:avLst/>
        </a:prstGeom>
      </dgm:spPr>
      <dgm:t>
        <a:bodyPr/>
        <a:lstStyle/>
        <a:p>
          <a:endParaRPr lang="zh-TW" altLang="en-US"/>
        </a:p>
      </dgm:t>
    </dgm:pt>
    <dgm:pt modelId="{2170FBC8-D84B-43CB-B660-6A202A0DA9BE}" type="sibTrans" cxnId="{D5FA721C-D02C-4F35-9D4A-39112873844E}">
      <dgm:prSet/>
      <dgm:spPr>
        <a:xfrm>
          <a:off x="709176" y="252565"/>
          <a:ext cx="1690606" cy="1690606"/>
        </a:xfrm>
        <a:prstGeom prst="blockArc">
          <a:avLst>
            <a:gd name="adj1" fmla="val 16200000"/>
            <a:gd name="adj2" fmla="val 20520000"/>
            <a:gd name="adj3" fmla="val 4634"/>
          </a:avLst>
        </a:prstGeom>
        <a:solidFill>
          <a:sysClr val="windowText" lastClr="000000">
            <a:tint val="60000"/>
            <a:hueOff val="0"/>
            <a:satOff val="0"/>
            <a:lumOff val="0"/>
            <a:alphaOff val="0"/>
          </a:sysClr>
        </a:solidFill>
        <a:ln>
          <a:noFill/>
        </a:ln>
        <a:effectLst/>
      </dgm:spPr>
      <dgm:t>
        <a:bodyPr/>
        <a:lstStyle/>
        <a:p>
          <a:pPr algn="ctr"/>
          <a:endParaRPr lang="zh-TW" altLang="en-US" sz="1000">
            <a:latin typeface="標楷體" panose="03000509000000000000" pitchFamily="65" charset="-120"/>
            <a:ea typeface="標楷體" panose="03000509000000000000" pitchFamily="65" charset="-120"/>
          </a:endParaRPr>
        </a:p>
      </dgm:t>
    </dgm:pt>
    <dgm:pt modelId="{5A3C6033-2A9A-45B0-AEB8-502BA2A2661F}" type="parTrans" cxnId="{D5FA721C-D02C-4F35-9D4A-39112873844E}">
      <dgm:prSet/>
      <dgm:spPr/>
      <dgm:t>
        <a:bodyPr/>
        <a:lstStyle/>
        <a:p>
          <a:pPr algn="ctr"/>
          <a:endParaRPr lang="zh-TW" altLang="en-US" sz="1000">
            <a:latin typeface="標楷體" panose="03000509000000000000" pitchFamily="65" charset="-120"/>
            <a:ea typeface="標楷體" panose="03000509000000000000" pitchFamily="65" charset="-120"/>
          </a:endParaRPr>
        </a:p>
      </dgm:t>
    </dgm:pt>
    <dgm:pt modelId="{DE77E25C-F183-45FD-B7FD-33B21B0654D4}">
      <dgm:prSet phldrT="[文字]"/>
      <dgm:spPr>
        <a:xfrm>
          <a:off x="2067749" y="570674"/>
          <a:ext cx="544068" cy="544068"/>
        </a:xfrm>
        <a:prstGeom prst="ellipse">
          <a:avLst/>
        </a:prstGeom>
      </dgm:spPr>
      <dgm:t>
        <a:bodyPr/>
        <a:lstStyle/>
        <a:p>
          <a:endParaRPr lang="zh-TW" altLang="en-US"/>
        </a:p>
      </dgm:t>
    </dgm:pt>
    <dgm:pt modelId="{778EC744-CE93-44CE-AC76-A462B0AF0BB6}" type="sibTrans" cxnId="{85E7DCE3-4A4F-4605-854B-36B93F906562}">
      <dgm:prSet/>
      <dgm:spPr>
        <a:xfrm>
          <a:off x="709176" y="252565"/>
          <a:ext cx="1690606" cy="1690606"/>
        </a:xfrm>
        <a:prstGeom prst="blockArc">
          <a:avLst>
            <a:gd name="adj1" fmla="val 20520000"/>
            <a:gd name="adj2" fmla="val 3240000"/>
            <a:gd name="adj3" fmla="val 4634"/>
          </a:avLst>
        </a:prstGeom>
        <a:solidFill>
          <a:sysClr val="windowText" lastClr="000000">
            <a:tint val="60000"/>
            <a:hueOff val="0"/>
            <a:satOff val="0"/>
            <a:lumOff val="0"/>
            <a:alphaOff val="0"/>
          </a:sysClr>
        </a:solidFill>
        <a:ln>
          <a:noFill/>
        </a:ln>
        <a:effectLst/>
      </dgm:spPr>
      <dgm:t>
        <a:bodyPr/>
        <a:lstStyle/>
        <a:p>
          <a:pPr algn="ctr"/>
          <a:endParaRPr lang="zh-TW" altLang="en-US" sz="1000">
            <a:latin typeface="標楷體" panose="03000509000000000000" pitchFamily="65" charset="-120"/>
            <a:ea typeface="標楷體" panose="03000509000000000000" pitchFamily="65" charset="-120"/>
          </a:endParaRPr>
        </a:p>
      </dgm:t>
    </dgm:pt>
    <dgm:pt modelId="{7FFB3969-ECD3-4136-A038-89148B06891E}" type="parTrans" cxnId="{85E7DCE3-4A4F-4605-854B-36B93F906562}">
      <dgm:prSet/>
      <dgm:spPr/>
      <dgm:t>
        <a:bodyPr/>
        <a:lstStyle/>
        <a:p>
          <a:pPr algn="ctr"/>
          <a:endParaRPr lang="zh-TW" altLang="en-US" sz="1000">
            <a:latin typeface="標楷體" panose="03000509000000000000" pitchFamily="65" charset="-120"/>
            <a:ea typeface="標楷體" panose="03000509000000000000" pitchFamily="65" charset="-120"/>
          </a:endParaRPr>
        </a:p>
      </dgm:t>
    </dgm:pt>
    <dgm:pt modelId="{310B09D6-ABBD-45D3-98B0-B906D974E8D6}">
      <dgm:prSet phldrT="[文字]"/>
      <dgm:spPr>
        <a:xfrm>
          <a:off x="797101" y="1493853"/>
          <a:ext cx="544068" cy="544068"/>
        </a:xfrm>
        <a:prstGeom prst="ellipse">
          <a:avLst/>
        </a:prstGeom>
      </dgm:spPr>
      <dgm:t>
        <a:bodyPr/>
        <a:lstStyle/>
        <a:p>
          <a:endParaRPr lang="zh-TW" altLang="en-US"/>
        </a:p>
      </dgm:t>
    </dgm:pt>
    <dgm:pt modelId="{3AD18454-1107-45D1-8409-65AB05CBD0D6}" type="sibTrans" cxnId="{4FDCB016-AAA4-4E54-945B-2E51173E9368}">
      <dgm:prSet/>
      <dgm:spPr>
        <a:xfrm>
          <a:off x="709176" y="252565"/>
          <a:ext cx="1690606" cy="1690606"/>
        </a:xfrm>
        <a:prstGeom prst="blockArc">
          <a:avLst>
            <a:gd name="adj1" fmla="val 7560000"/>
            <a:gd name="adj2" fmla="val 11880000"/>
            <a:gd name="adj3" fmla="val 4634"/>
          </a:avLst>
        </a:prstGeom>
        <a:solidFill>
          <a:sysClr val="windowText" lastClr="000000">
            <a:tint val="60000"/>
            <a:hueOff val="0"/>
            <a:satOff val="0"/>
            <a:lumOff val="0"/>
            <a:alphaOff val="0"/>
          </a:sysClr>
        </a:solidFill>
        <a:ln>
          <a:noFill/>
        </a:ln>
        <a:effectLst/>
      </dgm:spPr>
      <dgm:t>
        <a:bodyPr/>
        <a:lstStyle/>
        <a:p>
          <a:pPr algn="ctr"/>
          <a:endParaRPr lang="zh-TW" altLang="en-US" sz="1000">
            <a:latin typeface="標楷體" panose="03000509000000000000" pitchFamily="65" charset="-120"/>
            <a:ea typeface="標楷體" panose="03000509000000000000" pitchFamily="65" charset="-120"/>
          </a:endParaRPr>
        </a:p>
      </dgm:t>
    </dgm:pt>
    <dgm:pt modelId="{A3E226ED-D9FF-4344-9AED-3F7E8D9E37C2}" type="parTrans" cxnId="{4FDCB016-AAA4-4E54-945B-2E51173E9368}">
      <dgm:prSet/>
      <dgm:spPr/>
      <dgm:t>
        <a:bodyPr/>
        <a:lstStyle/>
        <a:p>
          <a:pPr algn="ctr"/>
          <a:endParaRPr lang="zh-TW" altLang="en-US" sz="1000">
            <a:latin typeface="標楷體" panose="03000509000000000000" pitchFamily="65" charset="-120"/>
            <a:ea typeface="標楷體" panose="03000509000000000000" pitchFamily="65" charset="-120"/>
          </a:endParaRPr>
        </a:p>
      </dgm:t>
    </dgm:pt>
    <dgm:pt modelId="{F56B67D2-EF93-4CE7-B0F4-52E49FF6C253}" type="pres">
      <dgm:prSet presAssocID="{29EEE5C1-5033-40FF-BFA2-1D624DE89933}" presName="Name0" presStyleCnt="0">
        <dgm:presLayoutVars>
          <dgm:chMax val="1"/>
          <dgm:dir/>
          <dgm:animLvl val="ctr"/>
          <dgm:resizeHandles val="exact"/>
        </dgm:presLayoutVars>
      </dgm:prSet>
      <dgm:spPr/>
      <dgm:t>
        <a:bodyPr/>
        <a:lstStyle/>
        <a:p>
          <a:endParaRPr lang="zh-TW" altLang="en-US"/>
        </a:p>
      </dgm:t>
    </dgm:pt>
    <dgm:pt modelId="{DE085F1A-880B-4A78-ADAF-A3F596599CB9}" type="pres">
      <dgm:prSet presAssocID="{2D5D77E8-8948-405B-A9E0-5482B5B9FEBE}" presName="centerShape" presStyleLbl="node0" presStyleIdx="0" presStyleCnt="1"/>
      <dgm:spPr/>
      <dgm:t>
        <a:bodyPr/>
        <a:lstStyle/>
        <a:p>
          <a:endParaRPr lang="zh-TW" altLang="en-US"/>
        </a:p>
      </dgm:t>
    </dgm:pt>
    <dgm:pt modelId="{8C762650-B3BB-49F6-8EDD-DF9F814DB29E}" type="pres">
      <dgm:prSet presAssocID="{F17C21C7-611A-48AD-83C6-5F022B6756F0}" presName="node" presStyleLbl="node1" presStyleIdx="0" presStyleCnt="5">
        <dgm:presLayoutVars>
          <dgm:bulletEnabled val="1"/>
        </dgm:presLayoutVars>
      </dgm:prSet>
      <dgm:spPr/>
      <dgm:t>
        <a:bodyPr/>
        <a:lstStyle/>
        <a:p>
          <a:endParaRPr lang="zh-TW" altLang="en-US"/>
        </a:p>
      </dgm:t>
    </dgm:pt>
    <dgm:pt modelId="{1B3F82D0-7840-40C2-B63F-EB7C235CD2AF}" type="pres">
      <dgm:prSet presAssocID="{F17C21C7-611A-48AD-83C6-5F022B6756F0}" presName="dummy" presStyleCnt="0"/>
      <dgm:spPr/>
    </dgm:pt>
    <dgm:pt modelId="{5062CAB7-1B0A-4124-915C-BA711C143B50}" type="pres">
      <dgm:prSet presAssocID="{2170FBC8-D84B-43CB-B660-6A202A0DA9BE}" presName="sibTrans" presStyleLbl="sibTrans2D1" presStyleIdx="0" presStyleCnt="5"/>
      <dgm:spPr/>
      <dgm:t>
        <a:bodyPr/>
        <a:lstStyle/>
        <a:p>
          <a:endParaRPr lang="zh-TW" altLang="en-US"/>
        </a:p>
      </dgm:t>
    </dgm:pt>
    <dgm:pt modelId="{3600A03A-34CA-4A45-862E-BA9F3977A6F1}" type="pres">
      <dgm:prSet presAssocID="{DE77E25C-F183-45FD-B7FD-33B21B0654D4}" presName="node" presStyleLbl="node1" presStyleIdx="1" presStyleCnt="5" custRadScaleRad="95793" custRadScaleInc="3719">
        <dgm:presLayoutVars>
          <dgm:bulletEnabled val="1"/>
        </dgm:presLayoutVars>
      </dgm:prSet>
      <dgm:spPr/>
      <dgm:t>
        <a:bodyPr/>
        <a:lstStyle/>
        <a:p>
          <a:endParaRPr lang="zh-TW" altLang="en-US"/>
        </a:p>
      </dgm:t>
    </dgm:pt>
    <dgm:pt modelId="{8A6E98E9-BAB8-4385-88CE-AFC9073AB664}" type="pres">
      <dgm:prSet presAssocID="{DE77E25C-F183-45FD-B7FD-33B21B0654D4}" presName="dummy" presStyleCnt="0"/>
      <dgm:spPr/>
    </dgm:pt>
    <dgm:pt modelId="{90EB1E29-96D0-4F1E-A43A-96325265CCBE}" type="pres">
      <dgm:prSet presAssocID="{778EC744-CE93-44CE-AC76-A462B0AF0BB6}" presName="sibTrans" presStyleLbl="sibTrans2D1" presStyleIdx="1" presStyleCnt="5"/>
      <dgm:spPr/>
      <dgm:t>
        <a:bodyPr/>
        <a:lstStyle/>
        <a:p>
          <a:endParaRPr lang="zh-TW" altLang="en-US"/>
        </a:p>
      </dgm:t>
    </dgm:pt>
    <dgm:pt modelId="{2CEE2EBE-9C4C-4FB5-9D38-179B5A73312D}" type="pres">
      <dgm:prSet presAssocID="{852AC2F7-36F7-4FBD-A481-0C418CC3ECEF}" presName="node" presStyleLbl="node1" presStyleIdx="2" presStyleCnt="5">
        <dgm:presLayoutVars>
          <dgm:bulletEnabled val="1"/>
        </dgm:presLayoutVars>
      </dgm:prSet>
      <dgm:spPr/>
      <dgm:t>
        <a:bodyPr/>
        <a:lstStyle/>
        <a:p>
          <a:endParaRPr lang="zh-TW" altLang="en-US"/>
        </a:p>
      </dgm:t>
    </dgm:pt>
    <dgm:pt modelId="{D2FAEA4C-B66F-4C63-BC05-6BBEAC8AB46B}" type="pres">
      <dgm:prSet presAssocID="{852AC2F7-36F7-4FBD-A481-0C418CC3ECEF}" presName="dummy" presStyleCnt="0"/>
      <dgm:spPr/>
    </dgm:pt>
    <dgm:pt modelId="{70D8C7EF-D5AD-4011-AA0B-A4F7105961F2}" type="pres">
      <dgm:prSet presAssocID="{21F9E8D7-3FDF-4706-BF1C-B139043B9723}" presName="sibTrans" presStyleLbl="sibTrans2D1" presStyleIdx="2" presStyleCnt="5"/>
      <dgm:spPr/>
      <dgm:t>
        <a:bodyPr/>
        <a:lstStyle/>
        <a:p>
          <a:endParaRPr lang="zh-TW" altLang="en-US"/>
        </a:p>
      </dgm:t>
    </dgm:pt>
    <dgm:pt modelId="{221CFEBC-68A9-4DB7-9B4A-C0C712F99419}" type="pres">
      <dgm:prSet presAssocID="{310B09D6-ABBD-45D3-98B0-B906D974E8D6}" presName="node" presStyleLbl="node1" presStyleIdx="3" presStyleCnt="5">
        <dgm:presLayoutVars>
          <dgm:bulletEnabled val="1"/>
        </dgm:presLayoutVars>
      </dgm:prSet>
      <dgm:spPr/>
      <dgm:t>
        <a:bodyPr/>
        <a:lstStyle/>
        <a:p>
          <a:endParaRPr lang="zh-TW" altLang="en-US"/>
        </a:p>
      </dgm:t>
    </dgm:pt>
    <dgm:pt modelId="{AFE00CC9-7365-4BFF-9CD4-FA541CDE9247}" type="pres">
      <dgm:prSet presAssocID="{310B09D6-ABBD-45D3-98B0-B906D974E8D6}" presName="dummy" presStyleCnt="0"/>
      <dgm:spPr/>
    </dgm:pt>
    <dgm:pt modelId="{EAD0E6E3-DD06-45FF-9063-E4A656523602}" type="pres">
      <dgm:prSet presAssocID="{3AD18454-1107-45D1-8409-65AB05CBD0D6}" presName="sibTrans" presStyleLbl="sibTrans2D1" presStyleIdx="3" presStyleCnt="5"/>
      <dgm:spPr/>
      <dgm:t>
        <a:bodyPr/>
        <a:lstStyle/>
        <a:p>
          <a:endParaRPr lang="zh-TW" altLang="en-US"/>
        </a:p>
      </dgm:t>
    </dgm:pt>
    <dgm:pt modelId="{F4CC1500-42ED-4DC2-8EB0-4C89DAE78DE3}" type="pres">
      <dgm:prSet presAssocID="{0DE335C4-0EE4-4678-84CC-FBBCD5496C02}" presName="node" presStyleLbl="node1" presStyleIdx="4" presStyleCnt="5" custRadScaleRad="96755" custRadScaleInc="555">
        <dgm:presLayoutVars>
          <dgm:bulletEnabled val="1"/>
        </dgm:presLayoutVars>
      </dgm:prSet>
      <dgm:spPr/>
      <dgm:t>
        <a:bodyPr/>
        <a:lstStyle/>
        <a:p>
          <a:endParaRPr lang="zh-TW" altLang="en-US"/>
        </a:p>
      </dgm:t>
    </dgm:pt>
    <dgm:pt modelId="{33FE78E1-FDB3-4D18-A733-1C3461792EC1}" type="pres">
      <dgm:prSet presAssocID="{0DE335C4-0EE4-4678-84CC-FBBCD5496C02}" presName="dummy" presStyleCnt="0"/>
      <dgm:spPr/>
    </dgm:pt>
    <dgm:pt modelId="{01513120-24AA-4A73-8372-76F876FD348C}" type="pres">
      <dgm:prSet presAssocID="{293E26A2-E6F7-49B9-8B05-A4967844CA65}" presName="sibTrans" presStyleLbl="sibTrans2D1" presStyleIdx="4" presStyleCnt="5"/>
      <dgm:spPr/>
      <dgm:t>
        <a:bodyPr/>
        <a:lstStyle/>
        <a:p>
          <a:endParaRPr lang="zh-TW" altLang="en-US"/>
        </a:p>
      </dgm:t>
    </dgm:pt>
  </dgm:ptLst>
  <dgm:cxnLst>
    <dgm:cxn modelId="{499B5632-E9AE-4531-A88F-8DCB8FBCC991}" srcId="{2D5D77E8-8948-405B-A9E0-5482B5B9FEBE}" destId="{0DE335C4-0EE4-4678-84CC-FBBCD5496C02}" srcOrd="4" destOrd="0" parTransId="{5BF67B36-E8FC-4B5A-BCA1-EA710CBE3C24}" sibTransId="{293E26A2-E6F7-49B9-8B05-A4967844CA65}"/>
    <dgm:cxn modelId="{4FDCB016-AAA4-4E54-945B-2E51173E9368}" srcId="{2D5D77E8-8948-405B-A9E0-5482B5B9FEBE}" destId="{310B09D6-ABBD-45D3-98B0-B906D974E8D6}" srcOrd="3" destOrd="0" parTransId="{A3E226ED-D9FF-4344-9AED-3F7E8D9E37C2}" sibTransId="{3AD18454-1107-45D1-8409-65AB05CBD0D6}"/>
    <dgm:cxn modelId="{722FA64D-D479-48AB-8689-EE38EA13FC89}" srcId="{2D5D77E8-8948-405B-A9E0-5482B5B9FEBE}" destId="{852AC2F7-36F7-4FBD-A481-0C418CC3ECEF}" srcOrd="2" destOrd="0" parTransId="{3F9CB488-C8B4-4EF8-AF25-F464BF85E55E}" sibTransId="{21F9E8D7-3FDF-4706-BF1C-B139043B9723}"/>
    <dgm:cxn modelId="{E364677F-3317-489A-A0E8-C05ED406B8F6}" type="presOf" srcId="{0DE335C4-0EE4-4678-84CC-FBBCD5496C02}" destId="{F4CC1500-42ED-4DC2-8EB0-4C89DAE78DE3}" srcOrd="0" destOrd="0" presId="urn:microsoft.com/office/officeart/2005/8/layout/radial6"/>
    <dgm:cxn modelId="{2F10A663-499F-4C25-8416-95C4181B765C}" type="presOf" srcId="{310B09D6-ABBD-45D3-98B0-B906D974E8D6}" destId="{221CFEBC-68A9-4DB7-9B4A-C0C712F99419}" srcOrd="0" destOrd="0" presId="urn:microsoft.com/office/officeart/2005/8/layout/radial6"/>
    <dgm:cxn modelId="{6A8BC740-9122-48AA-A851-1BD5301D508E}" srcId="{29EEE5C1-5033-40FF-BFA2-1D624DE89933}" destId="{3965CB92-E7CA-408D-A079-6B27103B0808}" srcOrd="1" destOrd="0" parTransId="{07C89F5B-27A5-4BBB-BF58-E2B829E94C33}" sibTransId="{F3F3B96E-FCC1-4902-B33E-A9B7D1117148}"/>
    <dgm:cxn modelId="{A5885A75-0B00-4F75-BE9B-8FE00E4C1B08}" srcId="{29EEE5C1-5033-40FF-BFA2-1D624DE89933}" destId="{2D5D77E8-8948-405B-A9E0-5482B5B9FEBE}" srcOrd="0" destOrd="0" parTransId="{C8096ED3-13F4-414B-90B6-1A3E4471874E}" sibTransId="{B96AA9C7-F655-4956-9E09-55AB07424F16}"/>
    <dgm:cxn modelId="{BB825027-8AB7-46D9-986A-E7BAB090A361}" type="presOf" srcId="{2170FBC8-D84B-43CB-B660-6A202A0DA9BE}" destId="{5062CAB7-1B0A-4124-915C-BA711C143B50}" srcOrd="0" destOrd="0" presId="urn:microsoft.com/office/officeart/2005/8/layout/radial6"/>
    <dgm:cxn modelId="{1F63FC24-BC25-45A4-AC74-B7ADFC5B2D88}" type="presOf" srcId="{21F9E8D7-3FDF-4706-BF1C-B139043B9723}" destId="{70D8C7EF-D5AD-4011-AA0B-A4F7105961F2}" srcOrd="0" destOrd="0" presId="urn:microsoft.com/office/officeart/2005/8/layout/radial6"/>
    <dgm:cxn modelId="{30EFE6D6-CB49-4CB0-A09E-47713844F368}" type="presOf" srcId="{F17C21C7-611A-48AD-83C6-5F022B6756F0}" destId="{8C762650-B3BB-49F6-8EDD-DF9F814DB29E}" srcOrd="0" destOrd="0" presId="urn:microsoft.com/office/officeart/2005/8/layout/radial6"/>
    <dgm:cxn modelId="{611BC691-EB5B-4B06-8366-1B345093B098}" type="presOf" srcId="{852AC2F7-36F7-4FBD-A481-0C418CC3ECEF}" destId="{2CEE2EBE-9C4C-4FB5-9D38-179B5A73312D}" srcOrd="0" destOrd="0" presId="urn:microsoft.com/office/officeart/2005/8/layout/radial6"/>
    <dgm:cxn modelId="{963224C4-0773-450C-B58D-151651AC9788}" type="presOf" srcId="{293E26A2-E6F7-49B9-8B05-A4967844CA65}" destId="{01513120-24AA-4A73-8372-76F876FD348C}" srcOrd="0" destOrd="0" presId="urn:microsoft.com/office/officeart/2005/8/layout/radial6"/>
    <dgm:cxn modelId="{401AA8AA-B063-4999-8B38-1BC2D189DBCE}" type="presOf" srcId="{778EC744-CE93-44CE-AC76-A462B0AF0BB6}" destId="{90EB1E29-96D0-4F1E-A43A-96325265CCBE}" srcOrd="0" destOrd="0" presId="urn:microsoft.com/office/officeart/2005/8/layout/radial6"/>
    <dgm:cxn modelId="{B2A87F2E-46AC-4EAA-B524-692A0433C69C}" type="presOf" srcId="{DE77E25C-F183-45FD-B7FD-33B21B0654D4}" destId="{3600A03A-34CA-4A45-862E-BA9F3977A6F1}" srcOrd="0" destOrd="0" presId="urn:microsoft.com/office/officeart/2005/8/layout/radial6"/>
    <dgm:cxn modelId="{F71D9B32-9A03-4495-A18A-617CC133B7C9}" type="presOf" srcId="{29EEE5C1-5033-40FF-BFA2-1D624DE89933}" destId="{F56B67D2-EF93-4CE7-B0F4-52E49FF6C253}" srcOrd="0" destOrd="0" presId="urn:microsoft.com/office/officeart/2005/8/layout/radial6"/>
    <dgm:cxn modelId="{85E7DCE3-4A4F-4605-854B-36B93F906562}" srcId="{2D5D77E8-8948-405B-A9E0-5482B5B9FEBE}" destId="{DE77E25C-F183-45FD-B7FD-33B21B0654D4}" srcOrd="1" destOrd="0" parTransId="{7FFB3969-ECD3-4136-A038-89148B06891E}" sibTransId="{778EC744-CE93-44CE-AC76-A462B0AF0BB6}"/>
    <dgm:cxn modelId="{D335B517-0E2E-4663-9990-1604F93DD899}" type="presOf" srcId="{3AD18454-1107-45D1-8409-65AB05CBD0D6}" destId="{EAD0E6E3-DD06-45FF-9063-E4A656523602}" srcOrd="0" destOrd="0" presId="urn:microsoft.com/office/officeart/2005/8/layout/radial6"/>
    <dgm:cxn modelId="{10E4B4AF-BB76-4D16-BB18-8A2FE15F5825}" type="presOf" srcId="{2D5D77E8-8948-405B-A9E0-5482B5B9FEBE}" destId="{DE085F1A-880B-4A78-ADAF-A3F596599CB9}" srcOrd="0" destOrd="0" presId="urn:microsoft.com/office/officeart/2005/8/layout/radial6"/>
    <dgm:cxn modelId="{D5FA721C-D02C-4F35-9D4A-39112873844E}" srcId="{2D5D77E8-8948-405B-A9E0-5482B5B9FEBE}" destId="{F17C21C7-611A-48AD-83C6-5F022B6756F0}" srcOrd="0" destOrd="0" parTransId="{5A3C6033-2A9A-45B0-AEB8-502BA2A2661F}" sibTransId="{2170FBC8-D84B-43CB-B660-6A202A0DA9BE}"/>
    <dgm:cxn modelId="{9B33AD88-6659-40EF-AE7A-0C2E2D202BFB}" type="presParOf" srcId="{F56B67D2-EF93-4CE7-B0F4-52E49FF6C253}" destId="{DE085F1A-880B-4A78-ADAF-A3F596599CB9}" srcOrd="0" destOrd="0" presId="urn:microsoft.com/office/officeart/2005/8/layout/radial6"/>
    <dgm:cxn modelId="{041B7510-302B-4077-B7CF-B61CC3123E01}" type="presParOf" srcId="{F56B67D2-EF93-4CE7-B0F4-52E49FF6C253}" destId="{8C762650-B3BB-49F6-8EDD-DF9F814DB29E}" srcOrd="1" destOrd="0" presId="urn:microsoft.com/office/officeart/2005/8/layout/radial6"/>
    <dgm:cxn modelId="{4D7ECBA4-9D5C-48A4-8767-EE43162EC0FA}" type="presParOf" srcId="{F56B67D2-EF93-4CE7-B0F4-52E49FF6C253}" destId="{1B3F82D0-7840-40C2-B63F-EB7C235CD2AF}" srcOrd="2" destOrd="0" presId="urn:microsoft.com/office/officeart/2005/8/layout/radial6"/>
    <dgm:cxn modelId="{4E992018-8C67-47B5-97AA-056A1D7D7E85}" type="presParOf" srcId="{F56B67D2-EF93-4CE7-B0F4-52E49FF6C253}" destId="{5062CAB7-1B0A-4124-915C-BA711C143B50}" srcOrd="3" destOrd="0" presId="urn:microsoft.com/office/officeart/2005/8/layout/radial6"/>
    <dgm:cxn modelId="{CE737621-94F4-4A5F-8982-5759C71D3A68}" type="presParOf" srcId="{F56B67D2-EF93-4CE7-B0F4-52E49FF6C253}" destId="{3600A03A-34CA-4A45-862E-BA9F3977A6F1}" srcOrd="4" destOrd="0" presId="urn:microsoft.com/office/officeart/2005/8/layout/radial6"/>
    <dgm:cxn modelId="{8AD46715-3AA3-4479-91EE-D012153B0A59}" type="presParOf" srcId="{F56B67D2-EF93-4CE7-B0F4-52E49FF6C253}" destId="{8A6E98E9-BAB8-4385-88CE-AFC9073AB664}" srcOrd="5" destOrd="0" presId="urn:microsoft.com/office/officeart/2005/8/layout/radial6"/>
    <dgm:cxn modelId="{733B7F18-C2AF-404D-894A-2D8988D1248C}" type="presParOf" srcId="{F56B67D2-EF93-4CE7-B0F4-52E49FF6C253}" destId="{90EB1E29-96D0-4F1E-A43A-96325265CCBE}" srcOrd="6" destOrd="0" presId="urn:microsoft.com/office/officeart/2005/8/layout/radial6"/>
    <dgm:cxn modelId="{C8FD5454-DAD9-4184-BD36-62C9D12D6AC4}" type="presParOf" srcId="{F56B67D2-EF93-4CE7-B0F4-52E49FF6C253}" destId="{2CEE2EBE-9C4C-4FB5-9D38-179B5A73312D}" srcOrd="7" destOrd="0" presId="urn:microsoft.com/office/officeart/2005/8/layout/radial6"/>
    <dgm:cxn modelId="{9AAAE6FD-8888-427F-AB3E-C114E8283C4D}" type="presParOf" srcId="{F56B67D2-EF93-4CE7-B0F4-52E49FF6C253}" destId="{D2FAEA4C-B66F-4C63-BC05-6BBEAC8AB46B}" srcOrd="8" destOrd="0" presId="urn:microsoft.com/office/officeart/2005/8/layout/radial6"/>
    <dgm:cxn modelId="{046B64B3-5F9A-4DE8-9D69-B8B990CC428E}" type="presParOf" srcId="{F56B67D2-EF93-4CE7-B0F4-52E49FF6C253}" destId="{70D8C7EF-D5AD-4011-AA0B-A4F7105961F2}" srcOrd="9" destOrd="0" presId="urn:microsoft.com/office/officeart/2005/8/layout/radial6"/>
    <dgm:cxn modelId="{1D4E218C-932C-41E9-BEA3-95902D643686}" type="presParOf" srcId="{F56B67D2-EF93-4CE7-B0F4-52E49FF6C253}" destId="{221CFEBC-68A9-4DB7-9B4A-C0C712F99419}" srcOrd="10" destOrd="0" presId="urn:microsoft.com/office/officeart/2005/8/layout/radial6"/>
    <dgm:cxn modelId="{987B11DA-0C0C-48F5-A434-A11DEE3BD228}" type="presParOf" srcId="{F56B67D2-EF93-4CE7-B0F4-52E49FF6C253}" destId="{AFE00CC9-7365-4BFF-9CD4-FA541CDE9247}" srcOrd="11" destOrd="0" presId="urn:microsoft.com/office/officeart/2005/8/layout/radial6"/>
    <dgm:cxn modelId="{0510E7CD-B8FE-418A-9847-5E43F567B29C}" type="presParOf" srcId="{F56B67D2-EF93-4CE7-B0F4-52E49FF6C253}" destId="{EAD0E6E3-DD06-45FF-9063-E4A656523602}" srcOrd="12" destOrd="0" presId="urn:microsoft.com/office/officeart/2005/8/layout/radial6"/>
    <dgm:cxn modelId="{0E0E49A3-807C-4E19-903A-8D4AE1510198}" type="presParOf" srcId="{F56B67D2-EF93-4CE7-B0F4-52E49FF6C253}" destId="{F4CC1500-42ED-4DC2-8EB0-4C89DAE78DE3}" srcOrd="13" destOrd="0" presId="urn:microsoft.com/office/officeart/2005/8/layout/radial6"/>
    <dgm:cxn modelId="{D8F3BEA4-4B45-4111-8EC5-BF94534E745A}" type="presParOf" srcId="{F56B67D2-EF93-4CE7-B0F4-52E49FF6C253}" destId="{33FE78E1-FDB3-4D18-A733-1C3461792EC1}" srcOrd="14" destOrd="0" presId="urn:microsoft.com/office/officeart/2005/8/layout/radial6"/>
    <dgm:cxn modelId="{A8357A68-D956-4E2B-B0E3-94C09D7BBF2B}" type="presParOf" srcId="{F56B67D2-EF93-4CE7-B0F4-52E49FF6C253}" destId="{01513120-24AA-4A73-8372-76F876FD348C}" srcOrd="15" destOrd="0" presId="urn:microsoft.com/office/officeart/2005/8/layout/radial6"/>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9EEE5C1-5033-40FF-BFA2-1D624DE89933}" type="doc">
      <dgm:prSet loTypeId="urn:microsoft.com/office/officeart/2005/8/layout/radial6" loCatId="relationship" qsTypeId="urn:microsoft.com/office/officeart/2005/8/quickstyle/simple2" qsCatId="simple" csTypeId="urn:microsoft.com/office/officeart/2005/8/colors/accent0_1" csCatId="mainScheme" phldr="1"/>
      <dgm:spPr/>
      <dgm:t>
        <a:bodyPr/>
        <a:lstStyle/>
        <a:p>
          <a:endParaRPr lang="zh-TW" altLang="en-US"/>
        </a:p>
      </dgm:t>
    </dgm:pt>
    <dgm:pt modelId="{2D5D77E8-8948-405B-A9E0-5482B5B9FEBE}">
      <dgm:prSet phldrT="[文字]" custT="1"/>
      <dgm:spPr>
        <a:xfrm>
          <a:off x="1165860" y="709248"/>
          <a:ext cx="777240" cy="777240"/>
        </a:xfrm>
        <a:prstGeom prst="ellipse">
          <a:avLst/>
        </a:prstGeom>
        <a:solidFill>
          <a:sysClr val="window" lastClr="FFFFFF">
            <a:hueOff val="0"/>
            <a:satOff val="0"/>
            <a:lumOff val="0"/>
            <a:alphaOff val="0"/>
          </a:sysClr>
        </a:solidFill>
        <a:ln w="1905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zh-TW" altLang="en-US" sz="10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國家運輸安全調查委員會</a:t>
          </a:r>
        </a:p>
      </dgm:t>
    </dgm:pt>
    <dgm:pt modelId="{C8096ED3-13F4-414B-90B6-1A3E4471874E}" type="parTrans" cxnId="{A5885A75-0B00-4F75-BE9B-8FE00E4C1B08}">
      <dgm:prSet/>
      <dgm:spPr/>
      <dgm:t>
        <a:bodyPr/>
        <a:lstStyle/>
        <a:p>
          <a:pPr algn="ctr"/>
          <a:endParaRPr lang="zh-TW" altLang="en-US" sz="1000">
            <a:latin typeface="標楷體" panose="03000509000000000000" pitchFamily="65" charset="-120"/>
            <a:ea typeface="標楷體" panose="03000509000000000000" pitchFamily="65" charset="-120"/>
          </a:endParaRPr>
        </a:p>
      </dgm:t>
    </dgm:pt>
    <dgm:pt modelId="{B96AA9C7-F655-4956-9E09-55AB07424F16}" type="sibTrans" cxnId="{A5885A75-0B00-4F75-BE9B-8FE00E4C1B08}">
      <dgm:prSet/>
      <dgm:spPr/>
      <dgm:t>
        <a:bodyPr/>
        <a:lstStyle/>
        <a:p>
          <a:pPr algn="ctr"/>
          <a:endParaRPr lang="zh-TW" altLang="en-US" sz="1000">
            <a:latin typeface="標楷體" panose="03000509000000000000" pitchFamily="65" charset="-120"/>
            <a:ea typeface="標楷體" panose="03000509000000000000" pitchFamily="65" charset="-120"/>
          </a:endParaRPr>
        </a:p>
      </dgm:t>
    </dgm:pt>
    <dgm:pt modelId="{852AC2F7-36F7-4FBD-A481-0C418CC3ECEF}">
      <dgm:prSet phldrT="[文字]"/>
      <dgm:spPr>
        <a:xfrm>
          <a:off x="1767790" y="1493853"/>
          <a:ext cx="544068" cy="544068"/>
        </a:xfrm>
        <a:prstGeom prst="ellipse">
          <a:avLst/>
        </a:prstGeom>
      </dgm:spPr>
      <dgm:t>
        <a:bodyPr/>
        <a:lstStyle/>
        <a:p>
          <a:endParaRPr lang="zh-TW" altLang="en-US"/>
        </a:p>
      </dgm:t>
    </dgm:pt>
    <dgm:pt modelId="{3F9CB488-C8B4-4EF8-AF25-F464BF85E55E}" type="parTrans" cxnId="{722FA64D-D479-48AB-8689-EE38EA13FC89}">
      <dgm:prSet/>
      <dgm:spPr/>
      <dgm:t>
        <a:bodyPr/>
        <a:lstStyle/>
        <a:p>
          <a:pPr algn="ctr"/>
          <a:endParaRPr lang="zh-TW" altLang="en-US" sz="1000">
            <a:latin typeface="標楷體" panose="03000509000000000000" pitchFamily="65" charset="-120"/>
            <a:ea typeface="標楷體" panose="03000509000000000000" pitchFamily="65" charset="-120"/>
          </a:endParaRPr>
        </a:p>
      </dgm:t>
    </dgm:pt>
    <dgm:pt modelId="{21F9E8D7-3FDF-4706-BF1C-B139043B9723}" type="sibTrans" cxnId="{722FA64D-D479-48AB-8689-EE38EA13FC89}">
      <dgm:prSet/>
      <dgm:spPr>
        <a:xfrm>
          <a:off x="709176" y="252565"/>
          <a:ext cx="1690606" cy="1690606"/>
        </a:xfrm>
        <a:prstGeom prst="blockArc">
          <a:avLst>
            <a:gd name="adj1" fmla="val 3240000"/>
            <a:gd name="adj2" fmla="val 7560000"/>
            <a:gd name="adj3" fmla="val 4634"/>
          </a:avLst>
        </a:prstGeom>
        <a:solidFill>
          <a:sysClr val="windowText" lastClr="000000">
            <a:tint val="60000"/>
            <a:hueOff val="0"/>
            <a:satOff val="0"/>
            <a:lumOff val="0"/>
            <a:alphaOff val="0"/>
          </a:sysClr>
        </a:solidFill>
        <a:ln>
          <a:noFill/>
        </a:ln>
        <a:effectLst/>
      </dgm:spPr>
      <dgm:t>
        <a:bodyPr/>
        <a:lstStyle/>
        <a:p>
          <a:pPr algn="ctr"/>
          <a:endParaRPr lang="zh-TW" altLang="en-US" sz="1000">
            <a:latin typeface="標楷體" panose="03000509000000000000" pitchFamily="65" charset="-120"/>
            <a:ea typeface="標楷體" panose="03000509000000000000" pitchFamily="65" charset="-120"/>
          </a:endParaRPr>
        </a:p>
      </dgm:t>
    </dgm:pt>
    <dgm:pt modelId="{0DE335C4-0EE4-4678-84CC-FBBCD5496C02}">
      <dgm:prSet phldrT="[文字]"/>
      <dgm:spPr>
        <a:xfrm>
          <a:off x="497142" y="570674"/>
          <a:ext cx="544068" cy="544068"/>
        </a:xfrm>
        <a:prstGeom prst="ellipse">
          <a:avLst/>
        </a:prstGeom>
      </dgm:spPr>
      <dgm:t>
        <a:bodyPr/>
        <a:lstStyle/>
        <a:p>
          <a:endParaRPr lang="zh-TW" altLang="en-US"/>
        </a:p>
      </dgm:t>
    </dgm:pt>
    <dgm:pt modelId="{5BF67B36-E8FC-4B5A-BCA1-EA710CBE3C24}" type="parTrans" cxnId="{499B5632-E9AE-4531-A88F-8DCB8FBCC991}">
      <dgm:prSet/>
      <dgm:spPr/>
      <dgm:t>
        <a:bodyPr/>
        <a:lstStyle/>
        <a:p>
          <a:pPr algn="ctr"/>
          <a:endParaRPr lang="zh-TW" altLang="en-US" sz="1000">
            <a:latin typeface="標楷體" panose="03000509000000000000" pitchFamily="65" charset="-120"/>
            <a:ea typeface="標楷體" panose="03000509000000000000" pitchFamily="65" charset="-120"/>
          </a:endParaRPr>
        </a:p>
      </dgm:t>
    </dgm:pt>
    <dgm:pt modelId="{293E26A2-E6F7-49B9-8B05-A4967844CA65}" type="sibTrans" cxnId="{499B5632-E9AE-4531-A88F-8DCB8FBCC991}">
      <dgm:prSet/>
      <dgm:spPr>
        <a:xfrm>
          <a:off x="709176" y="252565"/>
          <a:ext cx="1690606" cy="1690606"/>
        </a:xfrm>
        <a:prstGeom prst="blockArc">
          <a:avLst>
            <a:gd name="adj1" fmla="val 11880000"/>
            <a:gd name="adj2" fmla="val 16200000"/>
            <a:gd name="adj3" fmla="val 4634"/>
          </a:avLst>
        </a:prstGeom>
        <a:solidFill>
          <a:sysClr val="windowText" lastClr="000000">
            <a:tint val="60000"/>
            <a:hueOff val="0"/>
            <a:satOff val="0"/>
            <a:lumOff val="0"/>
            <a:alphaOff val="0"/>
          </a:sysClr>
        </a:solidFill>
        <a:ln>
          <a:noFill/>
        </a:ln>
        <a:effectLst/>
      </dgm:spPr>
      <dgm:t>
        <a:bodyPr/>
        <a:lstStyle/>
        <a:p>
          <a:pPr algn="ctr"/>
          <a:endParaRPr lang="zh-TW" altLang="en-US" sz="1000">
            <a:latin typeface="標楷體" panose="03000509000000000000" pitchFamily="65" charset="-120"/>
            <a:ea typeface="標楷體" panose="03000509000000000000" pitchFamily="65" charset="-120"/>
          </a:endParaRPr>
        </a:p>
      </dgm:t>
    </dgm:pt>
    <dgm:pt modelId="{3965CB92-E7CA-408D-A079-6B27103B0808}">
      <dgm:prSet/>
      <dgm:spPr/>
      <dgm:t>
        <a:bodyPr/>
        <a:lstStyle/>
        <a:p>
          <a:endParaRPr lang="zh-TW" altLang="en-US"/>
        </a:p>
      </dgm:t>
    </dgm:pt>
    <dgm:pt modelId="{F3F3B96E-FCC1-4902-B33E-A9B7D1117148}" type="sibTrans" cxnId="{6A8BC740-9122-48AA-A851-1BD5301D508E}">
      <dgm:prSet/>
      <dgm:spPr/>
      <dgm:t>
        <a:bodyPr/>
        <a:lstStyle/>
        <a:p>
          <a:endParaRPr lang="zh-TW" altLang="en-US"/>
        </a:p>
      </dgm:t>
    </dgm:pt>
    <dgm:pt modelId="{07C89F5B-27A5-4BBB-BF58-E2B829E94C33}" type="parTrans" cxnId="{6A8BC740-9122-48AA-A851-1BD5301D508E}">
      <dgm:prSet/>
      <dgm:spPr/>
      <dgm:t>
        <a:bodyPr/>
        <a:lstStyle/>
        <a:p>
          <a:endParaRPr lang="zh-TW" altLang="en-US"/>
        </a:p>
      </dgm:t>
    </dgm:pt>
    <dgm:pt modelId="{F17C21C7-611A-48AD-83C6-5F022B6756F0}">
      <dgm:prSet phldrT="[文字]"/>
      <dgm:spPr>
        <a:xfrm>
          <a:off x="1282445" y="117"/>
          <a:ext cx="544068" cy="544068"/>
        </a:xfrm>
        <a:prstGeom prst="ellipse">
          <a:avLst/>
        </a:prstGeom>
      </dgm:spPr>
      <dgm:t>
        <a:bodyPr/>
        <a:lstStyle/>
        <a:p>
          <a:endParaRPr lang="zh-TW" altLang="en-US"/>
        </a:p>
      </dgm:t>
    </dgm:pt>
    <dgm:pt modelId="{2170FBC8-D84B-43CB-B660-6A202A0DA9BE}" type="sibTrans" cxnId="{D5FA721C-D02C-4F35-9D4A-39112873844E}">
      <dgm:prSet/>
      <dgm:spPr>
        <a:xfrm>
          <a:off x="709176" y="252565"/>
          <a:ext cx="1690606" cy="1690606"/>
        </a:xfrm>
        <a:prstGeom prst="blockArc">
          <a:avLst>
            <a:gd name="adj1" fmla="val 16200000"/>
            <a:gd name="adj2" fmla="val 20520000"/>
            <a:gd name="adj3" fmla="val 4634"/>
          </a:avLst>
        </a:prstGeom>
        <a:solidFill>
          <a:sysClr val="windowText" lastClr="000000">
            <a:tint val="60000"/>
            <a:hueOff val="0"/>
            <a:satOff val="0"/>
            <a:lumOff val="0"/>
            <a:alphaOff val="0"/>
          </a:sysClr>
        </a:solidFill>
        <a:ln>
          <a:noFill/>
        </a:ln>
        <a:effectLst/>
      </dgm:spPr>
      <dgm:t>
        <a:bodyPr/>
        <a:lstStyle/>
        <a:p>
          <a:pPr algn="ctr"/>
          <a:endParaRPr lang="zh-TW" altLang="en-US" sz="1000">
            <a:latin typeface="標楷體" panose="03000509000000000000" pitchFamily="65" charset="-120"/>
            <a:ea typeface="標楷體" panose="03000509000000000000" pitchFamily="65" charset="-120"/>
          </a:endParaRPr>
        </a:p>
      </dgm:t>
    </dgm:pt>
    <dgm:pt modelId="{5A3C6033-2A9A-45B0-AEB8-502BA2A2661F}" type="parTrans" cxnId="{D5FA721C-D02C-4F35-9D4A-39112873844E}">
      <dgm:prSet/>
      <dgm:spPr/>
      <dgm:t>
        <a:bodyPr/>
        <a:lstStyle/>
        <a:p>
          <a:pPr algn="ctr"/>
          <a:endParaRPr lang="zh-TW" altLang="en-US" sz="1000">
            <a:latin typeface="標楷體" panose="03000509000000000000" pitchFamily="65" charset="-120"/>
            <a:ea typeface="標楷體" panose="03000509000000000000" pitchFamily="65" charset="-120"/>
          </a:endParaRPr>
        </a:p>
      </dgm:t>
    </dgm:pt>
    <dgm:pt modelId="{DE77E25C-F183-45FD-B7FD-33B21B0654D4}">
      <dgm:prSet phldrT="[文字]"/>
      <dgm:spPr>
        <a:xfrm>
          <a:off x="2067749" y="570674"/>
          <a:ext cx="544068" cy="544068"/>
        </a:xfrm>
        <a:prstGeom prst="ellipse">
          <a:avLst/>
        </a:prstGeom>
      </dgm:spPr>
      <dgm:t>
        <a:bodyPr/>
        <a:lstStyle/>
        <a:p>
          <a:endParaRPr lang="zh-TW" altLang="en-US"/>
        </a:p>
      </dgm:t>
    </dgm:pt>
    <dgm:pt modelId="{778EC744-CE93-44CE-AC76-A462B0AF0BB6}" type="sibTrans" cxnId="{85E7DCE3-4A4F-4605-854B-36B93F906562}">
      <dgm:prSet/>
      <dgm:spPr>
        <a:xfrm>
          <a:off x="709176" y="252565"/>
          <a:ext cx="1690606" cy="1690606"/>
        </a:xfrm>
        <a:prstGeom prst="blockArc">
          <a:avLst>
            <a:gd name="adj1" fmla="val 20520000"/>
            <a:gd name="adj2" fmla="val 3240000"/>
            <a:gd name="adj3" fmla="val 4634"/>
          </a:avLst>
        </a:prstGeom>
        <a:solidFill>
          <a:sysClr val="windowText" lastClr="000000">
            <a:tint val="60000"/>
            <a:hueOff val="0"/>
            <a:satOff val="0"/>
            <a:lumOff val="0"/>
            <a:alphaOff val="0"/>
          </a:sysClr>
        </a:solidFill>
        <a:ln>
          <a:noFill/>
        </a:ln>
        <a:effectLst/>
      </dgm:spPr>
      <dgm:t>
        <a:bodyPr/>
        <a:lstStyle/>
        <a:p>
          <a:pPr algn="ctr"/>
          <a:endParaRPr lang="zh-TW" altLang="en-US" sz="1000">
            <a:latin typeface="標楷體" panose="03000509000000000000" pitchFamily="65" charset="-120"/>
            <a:ea typeface="標楷體" panose="03000509000000000000" pitchFamily="65" charset="-120"/>
          </a:endParaRPr>
        </a:p>
      </dgm:t>
    </dgm:pt>
    <dgm:pt modelId="{7FFB3969-ECD3-4136-A038-89148B06891E}" type="parTrans" cxnId="{85E7DCE3-4A4F-4605-854B-36B93F906562}">
      <dgm:prSet/>
      <dgm:spPr/>
      <dgm:t>
        <a:bodyPr/>
        <a:lstStyle/>
        <a:p>
          <a:pPr algn="ctr"/>
          <a:endParaRPr lang="zh-TW" altLang="en-US" sz="1000">
            <a:latin typeface="標楷體" panose="03000509000000000000" pitchFamily="65" charset="-120"/>
            <a:ea typeface="標楷體" panose="03000509000000000000" pitchFamily="65" charset="-120"/>
          </a:endParaRPr>
        </a:p>
      </dgm:t>
    </dgm:pt>
    <dgm:pt modelId="{310B09D6-ABBD-45D3-98B0-B906D974E8D6}">
      <dgm:prSet phldrT="[文字]"/>
      <dgm:spPr>
        <a:xfrm>
          <a:off x="797101" y="1493853"/>
          <a:ext cx="544068" cy="544068"/>
        </a:xfrm>
        <a:prstGeom prst="ellipse">
          <a:avLst/>
        </a:prstGeom>
      </dgm:spPr>
      <dgm:t>
        <a:bodyPr/>
        <a:lstStyle/>
        <a:p>
          <a:endParaRPr lang="zh-TW" altLang="en-US"/>
        </a:p>
      </dgm:t>
    </dgm:pt>
    <dgm:pt modelId="{3AD18454-1107-45D1-8409-65AB05CBD0D6}" type="sibTrans" cxnId="{4FDCB016-AAA4-4E54-945B-2E51173E9368}">
      <dgm:prSet/>
      <dgm:spPr>
        <a:xfrm>
          <a:off x="709176" y="252565"/>
          <a:ext cx="1690606" cy="1690606"/>
        </a:xfrm>
        <a:prstGeom prst="blockArc">
          <a:avLst>
            <a:gd name="adj1" fmla="val 7560000"/>
            <a:gd name="adj2" fmla="val 11880000"/>
            <a:gd name="adj3" fmla="val 4634"/>
          </a:avLst>
        </a:prstGeom>
        <a:solidFill>
          <a:sysClr val="windowText" lastClr="000000">
            <a:tint val="60000"/>
            <a:hueOff val="0"/>
            <a:satOff val="0"/>
            <a:lumOff val="0"/>
            <a:alphaOff val="0"/>
          </a:sysClr>
        </a:solidFill>
        <a:ln>
          <a:noFill/>
        </a:ln>
        <a:effectLst/>
      </dgm:spPr>
      <dgm:t>
        <a:bodyPr/>
        <a:lstStyle/>
        <a:p>
          <a:pPr algn="ctr"/>
          <a:endParaRPr lang="zh-TW" altLang="en-US" sz="1000">
            <a:latin typeface="標楷體" panose="03000509000000000000" pitchFamily="65" charset="-120"/>
            <a:ea typeface="標楷體" panose="03000509000000000000" pitchFamily="65" charset="-120"/>
          </a:endParaRPr>
        </a:p>
      </dgm:t>
    </dgm:pt>
    <dgm:pt modelId="{A3E226ED-D9FF-4344-9AED-3F7E8D9E37C2}" type="parTrans" cxnId="{4FDCB016-AAA4-4E54-945B-2E51173E9368}">
      <dgm:prSet/>
      <dgm:spPr/>
      <dgm:t>
        <a:bodyPr/>
        <a:lstStyle/>
        <a:p>
          <a:pPr algn="ctr"/>
          <a:endParaRPr lang="zh-TW" altLang="en-US" sz="1000">
            <a:latin typeface="標楷體" panose="03000509000000000000" pitchFamily="65" charset="-120"/>
            <a:ea typeface="標楷體" panose="03000509000000000000" pitchFamily="65" charset="-120"/>
          </a:endParaRPr>
        </a:p>
      </dgm:t>
    </dgm:pt>
    <dgm:pt modelId="{F56B67D2-EF93-4CE7-B0F4-52E49FF6C253}" type="pres">
      <dgm:prSet presAssocID="{29EEE5C1-5033-40FF-BFA2-1D624DE89933}" presName="Name0" presStyleCnt="0">
        <dgm:presLayoutVars>
          <dgm:chMax val="1"/>
          <dgm:dir/>
          <dgm:animLvl val="ctr"/>
          <dgm:resizeHandles val="exact"/>
        </dgm:presLayoutVars>
      </dgm:prSet>
      <dgm:spPr/>
      <dgm:t>
        <a:bodyPr/>
        <a:lstStyle/>
        <a:p>
          <a:endParaRPr lang="zh-TW" altLang="en-US"/>
        </a:p>
      </dgm:t>
    </dgm:pt>
    <dgm:pt modelId="{DE085F1A-880B-4A78-ADAF-A3F596599CB9}" type="pres">
      <dgm:prSet presAssocID="{2D5D77E8-8948-405B-A9E0-5482B5B9FEBE}" presName="centerShape" presStyleLbl="node0" presStyleIdx="0" presStyleCnt="1"/>
      <dgm:spPr/>
      <dgm:t>
        <a:bodyPr/>
        <a:lstStyle/>
        <a:p>
          <a:endParaRPr lang="zh-TW" altLang="en-US"/>
        </a:p>
      </dgm:t>
    </dgm:pt>
    <dgm:pt modelId="{8C762650-B3BB-49F6-8EDD-DF9F814DB29E}" type="pres">
      <dgm:prSet presAssocID="{F17C21C7-611A-48AD-83C6-5F022B6756F0}" presName="node" presStyleLbl="node1" presStyleIdx="0" presStyleCnt="5">
        <dgm:presLayoutVars>
          <dgm:bulletEnabled val="1"/>
        </dgm:presLayoutVars>
      </dgm:prSet>
      <dgm:spPr/>
      <dgm:t>
        <a:bodyPr/>
        <a:lstStyle/>
        <a:p>
          <a:endParaRPr lang="zh-TW" altLang="en-US"/>
        </a:p>
      </dgm:t>
    </dgm:pt>
    <dgm:pt modelId="{1B3F82D0-7840-40C2-B63F-EB7C235CD2AF}" type="pres">
      <dgm:prSet presAssocID="{F17C21C7-611A-48AD-83C6-5F022B6756F0}" presName="dummy" presStyleCnt="0"/>
      <dgm:spPr/>
    </dgm:pt>
    <dgm:pt modelId="{5062CAB7-1B0A-4124-915C-BA711C143B50}" type="pres">
      <dgm:prSet presAssocID="{2170FBC8-D84B-43CB-B660-6A202A0DA9BE}" presName="sibTrans" presStyleLbl="sibTrans2D1" presStyleIdx="0" presStyleCnt="5"/>
      <dgm:spPr/>
      <dgm:t>
        <a:bodyPr/>
        <a:lstStyle/>
        <a:p>
          <a:endParaRPr lang="zh-TW" altLang="en-US"/>
        </a:p>
      </dgm:t>
    </dgm:pt>
    <dgm:pt modelId="{3600A03A-34CA-4A45-862E-BA9F3977A6F1}" type="pres">
      <dgm:prSet presAssocID="{DE77E25C-F183-45FD-B7FD-33B21B0654D4}" presName="node" presStyleLbl="node1" presStyleIdx="1" presStyleCnt="5" custRadScaleRad="95793" custRadScaleInc="3719">
        <dgm:presLayoutVars>
          <dgm:bulletEnabled val="1"/>
        </dgm:presLayoutVars>
      </dgm:prSet>
      <dgm:spPr/>
      <dgm:t>
        <a:bodyPr/>
        <a:lstStyle/>
        <a:p>
          <a:endParaRPr lang="zh-TW" altLang="en-US"/>
        </a:p>
      </dgm:t>
    </dgm:pt>
    <dgm:pt modelId="{8A6E98E9-BAB8-4385-88CE-AFC9073AB664}" type="pres">
      <dgm:prSet presAssocID="{DE77E25C-F183-45FD-B7FD-33B21B0654D4}" presName="dummy" presStyleCnt="0"/>
      <dgm:spPr/>
    </dgm:pt>
    <dgm:pt modelId="{90EB1E29-96D0-4F1E-A43A-96325265CCBE}" type="pres">
      <dgm:prSet presAssocID="{778EC744-CE93-44CE-AC76-A462B0AF0BB6}" presName="sibTrans" presStyleLbl="sibTrans2D1" presStyleIdx="1" presStyleCnt="5"/>
      <dgm:spPr/>
      <dgm:t>
        <a:bodyPr/>
        <a:lstStyle/>
        <a:p>
          <a:endParaRPr lang="zh-TW" altLang="en-US"/>
        </a:p>
      </dgm:t>
    </dgm:pt>
    <dgm:pt modelId="{2CEE2EBE-9C4C-4FB5-9D38-179B5A73312D}" type="pres">
      <dgm:prSet presAssocID="{852AC2F7-36F7-4FBD-A481-0C418CC3ECEF}" presName="node" presStyleLbl="node1" presStyleIdx="2" presStyleCnt="5">
        <dgm:presLayoutVars>
          <dgm:bulletEnabled val="1"/>
        </dgm:presLayoutVars>
      </dgm:prSet>
      <dgm:spPr/>
      <dgm:t>
        <a:bodyPr/>
        <a:lstStyle/>
        <a:p>
          <a:endParaRPr lang="zh-TW" altLang="en-US"/>
        </a:p>
      </dgm:t>
    </dgm:pt>
    <dgm:pt modelId="{D2FAEA4C-B66F-4C63-BC05-6BBEAC8AB46B}" type="pres">
      <dgm:prSet presAssocID="{852AC2F7-36F7-4FBD-A481-0C418CC3ECEF}" presName="dummy" presStyleCnt="0"/>
      <dgm:spPr/>
    </dgm:pt>
    <dgm:pt modelId="{70D8C7EF-D5AD-4011-AA0B-A4F7105961F2}" type="pres">
      <dgm:prSet presAssocID="{21F9E8D7-3FDF-4706-BF1C-B139043B9723}" presName="sibTrans" presStyleLbl="sibTrans2D1" presStyleIdx="2" presStyleCnt="5"/>
      <dgm:spPr/>
      <dgm:t>
        <a:bodyPr/>
        <a:lstStyle/>
        <a:p>
          <a:endParaRPr lang="zh-TW" altLang="en-US"/>
        </a:p>
      </dgm:t>
    </dgm:pt>
    <dgm:pt modelId="{221CFEBC-68A9-4DB7-9B4A-C0C712F99419}" type="pres">
      <dgm:prSet presAssocID="{310B09D6-ABBD-45D3-98B0-B906D974E8D6}" presName="node" presStyleLbl="node1" presStyleIdx="3" presStyleCnt="5">
        <dgm:presLayoutVars>
          <dgm:bulletEnabled val="1"/>
        </dgm:presLayoutVars>
      </dgm:prSet>
      <dgm:spPr/>
      <dgm:t>
        <a:bodyPr/>
        <a:lstStyle/>
        <a:p>
          <a:endParaRPr lang="zh-TW" altLang="en-US"/>
        </a:p>
      </dgm:t>
    </dgm:pt>
    <dgm:pt modelId="{AFE00CC9-7365-4BFF-9CD4-FA541CDE9247}" type="pres">
      <dgm:prSet presAssocID="{310B09D6-ABBD-45D3-98B0-B906D974E8D6}" presName="dummy" presStyleCnt="0"/>
      <dgm:spPr/>
    </dgm:pt>
    <dgm:pt modelId="{EAD0E6E3-DD06-45FF-9063-E4A656523602}" type="pres">
      <dgm:prSet presAssocID="{3AD18454-1107-45D1-8409-65AB05CBD0D6}" presName="sibTrans" presStyleLbl="sibTrans2D1" presStyleIdx="3" presStyleCnt="5"/>
      <dgm:spPr/>
      <dgm:t>
        <a:bodyPr/>
        <a:lstStyle/>
        <a:p>
          <a:endParaRPr lang="zh-TW" altLang="en-US"/>
        </a:p>
      </dgm:t>
    </dgm:pt>
    <dgm:pt modelId="{F4CC1500-42ED-4DC2-8EB0-4C89DAE78DE3}" type="pres">
      <dgm:prSet presAssocID="{0DE335C4-0EE4-4678-84CC-FBBCD5496C02}" presName="node" presStyleLbl="node1" presStyleIdx="4" presStyleCnt="5" custRadScaleRad="96755" custRadScaleInc="555">
        <dgm:presLayoutVars>
          <dgm:bulletEnabled val="1"/>
        </dgm:presLayoutVars>
      </dgm:prSet>
      <dgm:spPr/>
      <dgm:t>
        <a:bodyPr/>
        <a:lstStyle/>
        <a:p>
          <a:endParaRPr lang="zh-TW" altLang="en-US"/>
        </a:p>
      </dgm:t>
    </dgm:pt>
    <dgm:pt modelId="{33FE78E1-FDB3-4D18-A733-1C3461792EC1}" type="pres">
      <dgm:prSet presAssocID="{0DE335C4-0EE4-4678-84CC-FBBCD5496C02}" presName="dummy" presStyleCnt="0"/>
      <dgm:spPr/>
    </dgm:pt>
    <dgm:pt modelId="{01513120-24AA-4A73-8372-76F876FD348C}" type="pres">
      <dgm:prSet presAssocID="{293E26A2-E6F7-49B9-8B05-A4967844CA65}" presName="sibTrans" presStyleLbl="sibTrans2D1" presStyleIdx="4" presStyleCnt="5"/>
      <dgm:spPr/>
      <dgm:t>
        <a:bodyPr/>
        <a:lstStyle/>
        <a:p>
          <a:endParaRPr lang="zh-TW" altLang="en-US"/>
        </a:p>
      </dgm:t>
    </dgm:pt>
  </dgm:ptLst>
  <dgm:cxnLst>
    <dgm:cxn modelId="{499B5632-E9AE-4531-A88F-8DCB8FBCC991}" srcId="{2D5D77E8-8948-405B-A9E0-5482B5B9FEBE}" destId="{0DE335C4-0EE4-4678-84CC-FBBCD5496C02}" srcOrd="4" destOrd="0" parTransId="{5BF67B36-E8FC-4B5A-BCA1-EA710CBE3C24}" sibTransId="{293E26A2-E6F7-49B9-8B05-A4967844CA65}"/>
    <dgm:cxn modelId="{4FDCB016-AAA4-4E54-945B-2E51173E9368}" srcId="{2D5D77E8-8948-405B-A9E0-5482B5B9FEBE}" destId="{310B09D6-ABBD-45D3-98B0-B906D974E8D6}" srcOrd="3" destOrd="0" parTransId="{A3E226ED-D9FF-4344-9AED-3F7E8D9E37C2}" sibTransId="{3AD18454-1107-45D1-8409-65AB05CBD0D6}"/>
    <dgm:cxn modelId="{722FA64D-D479-48AB-8689-EE38EA13FC89}" srcId="{2D5D77E8-8948-405B-A9E0-5482B5B9FEBE}" destId="{852AC2F7-36F7-4FBD-A481-0C418CC3ECEF}" srcOrd="2" destOrd="0" parTransId="{3F9CB488-C8B4-4EF8-AF25-F464BF85E55E}" sibTransId="{21F9E8D7-3FDF-4706-BF1C-B139043B9723}"/>
    <dgm:cxn modelId="{E364677F-3317-489A-A0E8-C05ED406B8F6}" type="presOf" srcId="{0DE335C4-0EE4-4678-84CC-FBBCD5496C02}" destId="{F4CC1500-42ED-4DC2-8EB0-4C89DAE78DE3}" srcOrd="0" destOrd="0" presId="urn:microsoft.com/office/officeart/2005/8/layout/radial6"/>
    <dgm:cxn modelId="{2F10A663-499F-4C25-8416-95C4181B765C}" type="presOf" srcId="{310B09D6-ABBD-45D3-98B0-B906D974E8D6}" destId="{221CFEBC-68A9-4DB7-9B4A-C0C712F99419}" srcOrd="0" destOrd="0" presId="urn:microsoft.com/office/officeart/2005/8/layout/radial6"/>
    <dgm:cxn modelId="{6A8BC740-9122-48AA-A851-1BD5301D508E}" srcId="{29EEE5C1-5033-40FF-BFA2-1D624DE89933}" destId="{3965CB92-E7CA-408D-A079-6B27103B0808}" srcOrd="1" destOrd="0" parTransId="{07C89F5B-27A5-4BBB-BF58-E2B829E94C33}" sibTransId="{F3F3B96E-FCC1-4902-B33E-A9B7D1117148}"/>
    <dgm:cxn modelId="{A5885A75-0B00-4F75-BE9B-8FE00E4C1B08}" srcId="{29EEE5C1-5033-40FF-BFA2-1D624DE89933}" destId="{2D5D77E8-8948-405B-A9E0-5482B5B9FEBE}" srcOrd="0" destOrd="0" parTransId="{C8096ED3-13F4-414B-90B6-1A3E4471874E}" sibTransId="{B96AA9C7-F655-4956-9E09-55AB07424F16}"/>
    <dgm:cxn modelId="{BB825027-8AB7-46D9-986A-E7BAB090A361}" type="presOf" srcId="{2170FBC8-D84B-43CB-B660-6A202A0DA9BE}" destId="{5062CAB7-1B0A-4124-915C-BA711C143B50}" srcOrd="0" destOrd="0" presId="urn:microsoft.com/office/officeart/2005/8/layout/radial6"/>
    <dgm:cxn modelId="{1F63FC24-BC25-45A4-AC74-B7ADFC5B2D88}" type="presOf" srcId="{21F9E8D7-3FDF-4706-BF1C-B139043B9723}" destId="{70D8C7EF-D5AD-4011-AA0B-A4F7105961F2}" srcOrd="0" destOrd="0" presId="urn:microsoft.com/office/officeart/2005/8/layout/radial6"/>
    <dgm:cxn modelId="{30EFE6D6-CB49-4CB0-A09E-47713844F368}" type="presOf" srcId="{F17C21C7-611A-48AD-83C6-5F022B6756F0}" destId="{8C762650-B3BB-49F6-8EDD-DF9F814DB29E}" srcOrd="0" destOrd="0" presId="urn:microsoft.com/office/officeart/2005/8/layout/radial6"/>
    <dgm:cxn modelId="{611BC691-EB5B-4B06-8366-1B345093B098}" type="presOf" srcId="{852AC2F7-36F7-4FBD-A481-0C418CC3ECEF}" destId="{2CEE2EBE-9C4C-4FB5-9D38-179B5A73312D}" srcOrd="0" destOrd="0" presId="urn:microsoft.com/office/officeart/2005/8/layout/radial6"/>
    <dgm:cxn modelId="{963224C4-0773-450C-B58D-151651AC9788}" type="presOf" srcId="{293E26A2-E6F7-49B9-8B05-A4967844CA65}" destId="{01513120-24AA-4A73-8372-76F876FD348C}" srcOrd="0" destOrd="0" presId="urn:microsoft.com/office/officeart/2005/8/layout/radial6"/>
    <dgm:cxn modelId="{401AA8AA-B063-4999-8B38-1BC2D189DBCE}" type="presOf" srcId="{778EC744-CE93-44CE-AC76-A462B0AF0BB6}" destId="{90EB1E29-96D0-4F1E-A43A-96325265CCBE}" srcOrd="0" destOrd="0" presId="urn:microsoft.com/office/officeart/2005/8/layout/radial6"/>
    <dgm:cxn modelId="{B2A87F2E-46AC-4EAA-B524-692A0433C69C}" type="presOf" srcId="{DE77E25C-F183-45FD-B7FD-33B21B0654D4}" destId="{3600A03A-34CA-4A45-862E-BA9F3977A6F1}" srcOrd="0" destOrd="0" presId="urn:microsoft.com/office/officeart/2005/8/layout/radial6"/>
    <dgm:cxn modelId="{F71D9B32-9A03-4495-A18A-617CC133B7C9}" type="presOf" srcId="{29EEE5C1-5033-40FF-BFA2-1D624DE89933}" destId="{F56B67D2-EF93-4CE7-B0F4-52E49FF6C253}" srcOrd="0" destOrd="0" presId="urn:microsoft.com/office/officeart/2005/8/layout/radial6"/>
    <dgm:cxn modelId="{85E7DCE3-4A4F-4605-854B-36B93F906562}" srcId="{2D5D77E8-8948-405B-A9E0-5482B5B9FEBE}" destId="{DE77E25C-F183-45FD-B7FD-33B21B0654D4}" srcOrd="1" destOrd="0" parTransId="{7FFB3969-ECD3-4136-A038-89148B06891E}" sibTransId="{778EC744-CE93-44CE-AC76-A462B0AF0BB6}"/>
    <dgm:cxn modelId="{D335B517-0E2E-4663-9990-1604F93DD899}" type="presOf" srcId="{3AD18454-1107-45D1-8409-65AB05CBD0D6}" destId="{EAD0E6E3-DD06-45FF-9063-E4A656523602}" srcOrd="0" destOrd="0" presId="urn:microsoft.com/office/officeart/2005/8/layout/radial6"/>
    <dgm:cxn modelId="{10E4B4AF-BB76-4D16-BB18-8A2FE15F5825}" type="presOf" srcId="{2D5D77E8-8948-405B-A9E0-5482B5B9FEBE}" destId="{DE085F1A-880B-4A78-ADAF-A3F596599CB9}" srcOrd="0" destOrd="0" presId="urn:microsoft.com/office/officeart/2005/8/layout/radial6"/>
    <dgm:cxn modelId="{D5FA721C-D02C-4F35-9D4A-39112873844E}" srcId="{2D5D77E8-8948-405B-A9E0-5482B5B9FEBE}" destId="{F17C21C7-611A-48AD-83C6-5F022B6756F0}" srcOrd="0" destOrd="0" parTransId="{5A3C6033-2A9A-45B0-AEB8-502BA2A2661F}" sibTransId="{2170FBC8-D84B-43CB-B660-6A202A0DA9BE}"/>
    <dgm:cxn modelId="{9B33AD88-6659-40EF-AE7A-0C2E2D202BFB}" type="presParOf" srcId="{F56B67D2-EF93-4CE7-B0F4-52E49FF6C253}" destId="{DE085F1A-880B-4A78-ADAF-A3F596599CB9}" srcOrd="0" destOrd="0" presId="urn:microsoft.com/office/officeart/2005/8/layout/radial6"/>
    <dgm:cxn modelId="{041B7510-302B-4077-B7CF-B61CC3123E01}" type="presParOf" srcId="{F56B67D2-EF93-4CE7-B0F4-52E49FF6C253}" destId="{8C762650-B3BB-49F6-8EDD-DF9F814DB29E}" srcOrd="1" destOrd="0" presId="urn:microsoft.com/office/officeart/2005/8/layout/radial6"/>
    <dgm:cxn modelId="{4D7ECBA4-9D5C-48A4-8767-EE43162EC0FA}" type="presParOf" srcId="{F56B67D2-EF93-4CE7-B0F4-52E49FF6C253}" destId="{1B3F82D0-7840-40C2-B63F-EB7C235CD2AF}" srcOrd="2" destOrd="0" presId="urn:microsoft.com/office/officeart/2005/8/layout/radial6"/>
    <dgm:cxn modelId="{4E992018-8C67-47B5-97AA-056A1D7D7E85}" type="presParOf" srcId="{F56B67D2-EF93-4CE7-B0F4-52E49FF6C253}" destId="{5062CAB7-1B0A-4124-915C-BA711C143B50}" srcOrd="3" destOrd="0" presId="urn:microsoft.com/office/officeart/2005/8/layout/radial6"/>
    <dgm:cxn modelId="{CE737621-94F4-4A5F-8982-5759C71D3A68}" type="presParOf" srcId="{F56B67D2-EF93-4CE7-B0F4-52E49FF6C253}" destId="{3600A03A-34CA-4A45-862E-BA9F3977A6F1}" srcOrd="4" destOrd="0" presId="urn:microsoft.com/office/officeart/2005/8/layout/radial6"/>
    <dgm:cxn modelId="{8AD46715-3AA3-4479-91EE-D012153B0A59}" type="presParOf" srcId="{F56B67D2-EF93-4CE7-B0F4-52E49FF6C253}" destId="{8A6E98E9-BAB8-4385-88CE-AFC9073AB664}" srcOrd="5" destOrd="0" presId="urn:microsoft.com/office/officeart/2005/8/layout/radial6"/>
    <dgm:cxn modelId="{733B7F18-C2AF-404D-894A-2D8988D1248C}" type="presParOf" srcId="{F56B67D2-EF93-4CE7-B0F4-52E49FF6C253}" destId="{90EB1E29-96D0-4F1E-A43A-96325265CCBE}" srcOrd="6" destOrd="0" presId="urn:microsoft.com/office/officeart/2005/8/layout/radial6"/>
    <dgm:cxn modelId="{C8FD5454-DAD9-4184-BD36-62C9D12D6AC4}" type="presParOf" srcId="{F56B67D2-EF93-4CE7-B0F4-52E49FF6C253}" destId="{2CEE2EBE-9C4C-4FB5-9D38-179B5A73312D}" srcOrd="7" destOrd="0" presId="urn:microsoft.com/office/officeart/2005/8/layout/radial6"/>
    <dgm:cxn modelId="{9AAAE6FD-8888-427F-AB3E-C114E8283C4D}" type="presParOf" srcId="{F56B67D2-EF93-4CE7-B0F4-52E49FF6C253}" destId="{D2FAEA4C-B66F-4C63-BC05-6BBEAC8AB46B}" srcOrd="8" destOrd="0" presId="urn:microsoft.com/office/officeart/2005/8/layout/radial6"/>
    <dgm:cxn modelId="{046B64B3-5F9A-4DE8-9D69-B8B990CC428E}" type="presParOf" srcId="{F56B67D2-EF93-4CE7-B0F4-52E49FF6C253}" destId="{70D8C7EF-D5AD-4011-AA0B-A4F7105961F2}" srcOrd="9" destOrd="0" presId="urn:microsoft.com/office/officeart/2005/8/layout/radial6"/>
    <dgm:cxn modelId="{1D4E218C-932C-41E9-BEA3-95902D643686}" type="presParOf" srcId="{F56B67D2-EF93-4CE7-B0F4-52E49FF6C253}" destId="{221CFEBC-68A9-4DB7-9B4A-C0C712F99419}" srcOrd="10" destOrd="0" presId="urn:microsoft.com/office/officeart/2005/8/layout/radial6"/>
    <dgm:cxn modelId="{987B11DA-0C0C-48F5-A434-A11DEE3BD228}" type="presParOf" srcId="{F56B67D2-EF93-4CE7-B0F4-52E49FF6C253}" destId="{AFE00CC9-7365-4BFF-9CD4-FA541CDE9247}" srcOrd="11" destOrd="0" presId="urn:microsoft.com/office/officeart/2005/8/layout/radial6"/>
    <dgm:cxn modelId="{0510E7CD-B8FE-418A-9847-5E43F567B29C}" type="presParOf" srcId="{F56B67D2-EF93-4CE7-B0F4-52E49FF6C253}" destId="{EAD0E6E3-DD06-45FF-9063-E4A656523602}" srcOrd="12" destOrd="0" presId="urn:microsoft.com/office/officeart/2005/8/layout/radial6"/>
    <dgm:cxn modelId="{0E0E49A3-807C-4E19-903A-8D4AE1510198}" type="presParOf" srcId="{F56B67D2-EF93-4CE7-B0F4-52E49FF6C253}" destId="{F4CC1500-42ED-4DC2-8EB0-4C89DAE78DE3}" srcOrd="13" destOrd="0" presId="urn:microsoft.com/office/officeart/2005/8/layout/radial6"/>
    <dgm:cxn modelId="{D8F3BEA4-4B45-4111-8EC5-BF94534E745A}" type="presParOf" srcId="{F56B67D2-EF93-4CE7-B0F4-52E49FF6C253}" destId="{33FE78E1-FDB3-4D18-A733-1C3461792EC1}" srcOrd="14" destOrd="0" presId="urn:microsoft.com/office/officeart/2005/8/layout/radial6"/>
    <dgm:cxn modelId="{A8357A68-D956-4E2B-B0E3-94C09D7BBF2B}" type="presParOf" srcId="{F56B67D2-EF93-4CE7-B0F4-52E49FF6C253}" destId="{01513120-24AA-4A73-8372-76F876FD348C}" srcOrd="15" destOrd="0" presId="urn:microsoft.com/office/officeart/2005/8/layout/radial6"/>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1513120-24AA-4A73-8372-76F876FD348C}">
      <dsp:nvSpPr>
        <dsp:cNvPr id="0" name=""/>
        <dsp:cNvSpPr/>
      </dsp:nvSpPr>
      <dsp:spPr>
        <a:xfrm>
          <a:off x="912157" y="265196"/>
          <a:ext cx="1770638" cy="1770638"/>
        </a:xfrm>
        <a:prstGeom prst="blockArc">
          <a:avLst>
            <a:gd name="adj1" fmla="val 11880000"/>
            <a:gd name="adj2" fmla="val 16200000"/>
            <a:gd name="adj3" fmla="val 4634"/>
          </a:avLst>
        </a:prstGeom>
        <a:solidFill>
          <a:sysClr val="windowText" lastClr="000000">
            <a:tint val="60000"/>
            <a:hueOff val="0"/>
            <a:satOff val="0"/>
            <a:lumOff val="0"/>
            <a:alphaOff val="0"/>
          </a:sysClr>
        </a:solidFill>
        <a:ln>
          <a:noFill/>
        </a:ln>
        <a:effectLst/>
      </dsp:spPr>
      <dsp:style>
        <a:lnRef idx="0">
          <a:scrgbClr r="0" g="0" b="0"/>
        </a:lnRef>
        <a:fillRef idx="1">
          <a:scrgbClr r="0" g="0" b="0"/>
        </a:fillRef>
        <a:effectRef idx="1">
          <a:scrgbClr r="0" g="0" b="0"/>
        </a:effectRef>
        <a:fontRef idx="minor">
          <a:schemeClr val="lt1"/>
        </a:fontRef>
      </dsp:style>
    </dsp:sp>
    <dsp:sp modelId="{EAD0E6E3-DD06-45FF-9063-E4A656523602}">
      <dsp:nvSpPr>
        <dsp:cNvPr id="0" name=""/>
        <dsp:cNvSpPr/>
      </dsp:nvSpPr>
      <dsp:spPr>
        <a:xfrm>
          <a:off x="906162" y="283507"/>
          <a:ext cx="1770638" cy="1770638"/>
        </a:xfrm>
        <a:prstGeom prst="blockArc">
          <a:avLst>
            <a:gd name="adj1" fmla="val 7560000"/>
            <a:gd name="adj2" fmla="val 11880000"/>
            <a:gd name="adj3" fmla="val 4634"/>
          </a:avLst>
        </a:prstGeom>
        <a:solidFill>
          <a:sysClr val="windowText" lastClr="000000">
            <a:tint val="60000"/>
            <a:hueOff val="0"/>
            <a:satOff val="0"/>
            <a:lumOff val="0"/>
            <a:alphaOff val="0"/>
          </a:sysClr>
        </a:solidFill>
        <a:ln>
          <a:noFill/>
        </a:ln>
        <a:effectLst/>
      </dsp:spPr>
      <dsp:style>
        <a:lnRef idx="0">
          <a:scrgbClr r="0" g="0" b="0"/>
        </a:lnRef>
        <a:fillRef idx="1">
          <a:scrgbClr r="0" g="0" b="0"/>
        </a:fillRef>
        <a:effectRef idx="1">
          <a:scrgbClr r="0" g="0" b="0"/>
        </a:effectRef>
        <a:fontRef idx="minor">
          <a:schemeClr val="lt1"/>
        </a:fontRef>
      </dsp:style>
    </dsp:sp>
    <dsp:sp modelId="{70D8C7EF-D5AD-4011-AA0B-A4F7105961F2}">
      <dsp:nvSpPr>
        <dsp:cNvPr id="0" name=""/>
        <dsp:cNvSpPr/>
      </dsp:nvSpPr>
      <dsp:spPr>
        <a:xfrm>
          <a:off x="882520" y="265704"/>
          <a:ext cx="1770638" cy="1770638"/>
        </a:xfrm>
        <a:prstGeom prst="blockArc">
          <a:avLst>
            <a:gd name="adj1" fmla="val 3240000"/>
            <a:gd name="adj2" fmla="val 7560000"/>
            <a:gd name="adj3" fmla="val 4634"/>
          </a:avLst>
        </a:prstGeom>
        <a:solidFill>
          <a:sysClr val="windowText" lastClr="000000">
            <a:tint val="60000"/>
            <a:hueOff val="0"/>
            <a:satOff val="0"/>
            <a:lumOff val="0"/>
            <a:alphaOff val="0"/>
          </a:sysClr>
        </a:solidFill>
        <a:ln>
          <a:noFill/>
        </a:ln>
        <a:effectLst/>
      </dsp:spPr>
      <dsp:style>
        <a:lnRef idx="0">
          <a:scrgbClr r="0" g="0" b="0"/>
        </a:lnRef>
        <a:fillRef idx="1">
          <a:scrgbClr r="0" g="0" b="0"/>
        </a:fillRef>
        <a:effectRef idx="1">
          <a:scrgbClr r="0" g="0" b="0"/>
        </a:effectRef>
        <a:fontRef idx="minor">
          <a:schemeClr val="lt1"/>
        </a:fontRef>
      </dsp:style>
    </dsp:sp>
    <dsp:sp modelId="{90EB1E29-96D0-4F1E-A43A-96325265CCBE}">
      <dsp:nvSpPr>
        <dsp:cNvPr id="0" name=""/>
        <dsp:cNvSpPr/>
      </dsp:nvSpPr>
      <dsp:spPr>
        <a:xfrm>
          <a:off x="851768" y="289114"/>
          <a:ext cx="1770638" cy="1770638"/>
        </a:xfrm>
        <a:prstGeom prst="blockArc">
          <a:avLst>
            <a:gd name="adj1" fmla="val 20520000"/>
            <a:gd name="adj2" fmla="val 3240000"/>
            <a:gd name="adj3" fmla="val 4634"/>
          </a:avLst>
        </a:prstGeom>
        <a:solidFill>
          <a:sysClr val="windowText" lastClr="000000">
            <a:tint val="60000"/>
            <a:hueOff val="0"/>
            <a:satOff val="0"/>
            <a:lumOff val="0"/>
            <a:alphaOff val="0"/>
          </a:sysClr>
        </a:solidFill>
        <a:ln>
          <a:noFill/>
        </a:ln>
        <a:effectLst/>
      </dsp:spPr>
      <dsp:style>
        <a:lnRef idx="0">
          <a:scrgbClr r="0" g="0" b="0"/>
        </a:lnRef>
        <a:fillRef idx="1">
          <a:scrgbClr r="0" g="0" b="0"/>
        </a:fillRef>
        <a:effectRef idx="1">
          <a:scrgbClr r="0" g="0" b="0"/>
        </a:effectRef>
        <a:fontRef idx="minor">
          <a:schemeClr val="lt1"/>
        </a:fontRef>
      </dsp:style>
    </dsp:sp>
    <dsp:sp modelId="{5062CAB7-1B0A-4124-915C-BA711C143B50}">
      <dsp:nvSpPr>
        <dsp:cNvPr id="0" name=""/>
        <dsp:cNvSpPr/>
      </dsp:nvSpPr>
      <dsp:spPr>
        <a:xfrm>
          <a:off x="844283" y="264858"/>
          <a:ext cx="1770638" cy="1770638"/>
        </a:xfrm>
        <a:prstGeom prst="blockArc">
          <a:avLst>
            <a:gd name="adj1" fmla="val 16200000"/>
            <a:gd name="adj2" fmla="val 20520000"/>
            <a:gd name="adj3" fmla="val 4634"/>
          </a:avLst>
        </a:prstGeom>
        <a:solidFill>
          <a:sysClr val="windowText" lastClr="000000">
            <a:tint val="60000"/>
            <a:hueOff val="0"/>
            <a:satOff val="0"/>
            <a:lumOff val="0"/>
            <a:alphaOff val="0"/>
          </a:sysClr>
        </a:solidFill>
        <a:ln>
          <a:noFill/>
        </a:ln>
        <a:effectLst/>
      </dsp:spPr>
      <dsp:style>
        <a:lnRef idx="0">
          <a:scrgbClr r="0" g="0" b="0"/>
        </a:lnRef>
        <a:fillRef idx="1">
          <a:scrgbClr r="0" g="0" b="0"/>
        </a:fillRef>
        <a:effectRef idx="1">
          <a:scrgbClr r="0" g="0" b="0"/>
        </a:effectRef>
        <a:fontRef idx="minor">
          <a:schemeClr val="lt1"/>
        </a:fontRef>
      </dsp:style>
    </dsp:sp>
    <dsp:sp modelId="{DE085F1A-880B-4A78-ADAF-A3F596599CB9}">
      <dsp:nvSpPr>
        <dsp:cNvPr id="0" name=""/>
        <dsp:cNvSpPr/>
      </dsp:nvSpPr>
      <dsp:spPr>
        <a:xfrm>
          <a:off x="1359976" y="743160"/>
          <a:ext cx="815726" cy="815726"/>
        </a:xfrm>
        <a:prstGeom prst="ellipse">
          <a:avLst/>
        </a:prstGeom>
        <a:solidFill>
          <a:sysClr val="window" lastClr="FFFFFF">
            <a:hueOff val="0"/>
            <a:satOff val="0"/>
            <a:lumOff val="0"/>
            <a:alphaOff val="0"/>
          </a:sysClr>
        </a:solidFill>
        <a:ln w="19050" cap="flat" cmpd="sng" algn="ctr">
          <a:solidFill>
            <a:sysClr val="windowText" lastClr="000000">
              <a:shade val="80000"/>
              <a:hueOff val="0"/>
              <a:satOff val="0"/>
              <a:lumOff val="0"/>
              <a:alphaOff val="0"/>
            </a:sys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buNone/>
          </a:pPr>
          <a:r>
            <a:rPr lang="zh-TW" altLang="en-US" sz="1000" kern="12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國家運輸安全調查委員會</a:t>
          </a:r>
        </a:p>
      </dsp:txBody>
      <dsp:txXfrm>
        <a:off x="1479436" y="862620"/>
        <a:ext cx="576806" cy="576806"/>
      </dsp:txXfrm>
    </dsp:sp>
    <dsp:sp modelId="{8C762650-B3BB-49F6-8EDD-DF9F814DB29E}">
      <dsp:nvSpPr>
        <dsp:cNvPr id="0" name=""/>
        <dsp:cNvSpPr/>
      </dsp:nvSpPr>
      <dsp:spPr>
        <a:xfrm>
          <a:off x="1482335" y="756"/>
          <a:ext cx="571008" cy="571008"/>
        </a:xfrm>
        <a:prstGeom prst="ellipse">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30480" tIns="30480" rIns="30480" bIns="30480" numCol="1" spcCol="1270" anchor="ctr" anchorCtr="0">
          <a:noAutofit/>
        </a:bodyPr>
        <a:lstStyle/>
        <a:p>
          <a:pPr lvl="0" algn="ctr" defTabSz="1066800">
            <a:lnSpc>
              <a:spcPct val="90000"/>
            </a:lnSpc>
            <a:spcBef>
              <a:spcPct val="0"/>
            </a:spcBef>
            <a:spcAft>
              <a:spcPct val="35000"/>
            </a:spcAft>
          </a:pPr>
          <a:endParaRPr lang="zh-TW" altLang="en-US" sz="2400" kern="1200"/>
        </a:p>
      </dsp:txBody>
      <dsp:txXfrm>
        <a:off x="1565957" y="84378"/>
        <a:ext cx="403764" cy="403764"/>
      </dsp:txXfrm>
    </dsp:sp>
    <dsp:sp modelId="{3600A03A-34CA-4A45-862E-BA9F3977A6F1}">
      <dsp:nvSpPr>
        <dsp:cNvPr id="0" name=""/>
        <dsp:cNvSpPr/>
      </dsp:nvSpPr>
      <dsp:spPr>
        <a:xfrm>
          <a:off x="2274066" y="621838"/>
          <a:ext cx="571008" cy="571008"/>
        </a:xfrm>
        <a:prstGeom prst="ellipse">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30480" tIns="30480" rIns="30480" bIns="30480" numCol="1" spcCol="1270" anchor="ctr" anchorCtr="0">
          <a:noAutofit/>
        </a:bodyPr>
        <a:lstStyle/>
        <a:p>
          <a:pPr lvl="0" algn="ctr" defTabSz="1066800">
            <a:lnSpc>
              <a:spcPct val="90000"/>
            </a:lnSpc>
            <a:spcBef>
              <a:spcPct val="0"/>
            </a:spcBef>
            <a:spcAft>
              <a:spcPct val="35000"/>
            </a:spcAft>
          </a:pPr>
          <a:endParaRPr lang="zh-TW" altLang="en-US" sz="2400" kern="1200"/>
        </a:p>
      </dsp:txBody>
      <dsp:txXfrm>
        <a:off x="2357688" y="705460"/>
        <a:ext cx="403764" cy="403764"/>
      </dsp:txXfrm>
    </dsp:sp>
    <dsp:sp modelId="{2CEE2EBE-9C4C-4FB5-9D38-179B5A73312D}">
      <dsp:nvSpPr>
        <dsp:cNvPr id="0" name=""/>
        <dsp:cNvSpPr/>
      </dsp:nvSpPr>
      <dsp:spPr>
        <a:xfrm>
          <a:off x="1990630" y="1565127"/>
          <a:ext cx="571008" cy="571008"/>
        </a:xfrm>
        <a:prstGeom prst="ellipse">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30480" tIns="30480" rIns="30480" bIns="30480" numCol="1" spcCol="1270" anchor="ctr" anchorCtr="0">
          <a:noAutofit/>
        </a:bodyPr>
        <a:lstStyle/>
        <a:p>
          <a:pPr lvl="0" algn="ctr" defTabSz="1066800">
            <a:lnSpc>
              <a:spcPct val="90000"/>
            </a:lnSpc>
            <a:spcBef>
              <a:spcPct val="0"/>
            </a:spcBef>
            <a:spcAft>
              <a:spcPct val="35000"/>
            </a:spcAft>
          </a:pPr>
          <a:endParaRPr lang="zh-TW" altLang="en-US" sz="2400" kern="1200"/>
        </a:p>
      </dsp:txBody>
      <dsp:txXfrm>
        <a:off x="2074252" y="1648749"/>
        <a:ext cx="403764" cy="403764"/>
      </dsp:txXfrm>
    </dsp:sp>
    <dsp:sp modelId="{221CFEBC-68A9-4DB7-9B4A-C0C712F99419}">
      <dsp:nvSpPr>
        <dsp:cNvPr id="0" name=""/>
        <dsp:cNvSpPr/>
      </dsp:nvSpPr>
      <dsp:spPr>
        <a:xfrm>
          <a:off x="974040" y="1565127"/>
          <a:ext cx="571008" cy="571008"/>
        </a:xfrm>
        <a:prstGeom prst="ellipse">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30480" tIns="30480" rIns="30480" bIns="30480" numCol="1" spcCol="1270" anchor="ctr" anchorCtr="0">
          <a:noAutofit/>
        </a:bodyPr>
        <a:lstStyle/>
        <a:p>
          <a:pPr lvl="0" algn="ctr" defTabSz="1066800">
            <a:lnSpc>
              <a:spcPct val="90000"/>
            </a:lnSpc>
            <a:spcBef>
              <a:spcPct val="0"/>
            </a:spcBef>
            <a:spcAft>
              <a:spcPct val="35000"/>
            </a:spcAft>
          </a:pPr>
          <a:endParaRPr lang="zh-TW" altLang="en-US" sz="2400" kern="1200"/>
        </a:p>
      </dsp:txBody>
      <dsp:txXfrm>
        <a:off x="1057662" y="1648749"/>
        <a:ext cx="403764" cy="403764"/>
      </dsp:txXfrm>
    </dsp:sp>
    <dsp:sp modelId="{F4CC1500-42ED-4DC2-8EB0-4C89DAE78DE3}">
      <dsp:nvSpPr>
        <dsp:cNvPr id="0" name=""/>
        <dsp:cNvSpPr/>
      </dsp:nvSpPr>
      <dsp:spPr>
        <a:xfrm>
          <a:off x="687188" y="605115"/>
          <a:ext cx="571008" cy="571008"/>
        </a:xfrm>
        <a:prstGeom prst="ellipse">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30480" tIns="30480" rIns="30480" bIns="30480" numCol="1" spcCol="1270" anchor="ctr" anchorCtr="0">
          <a:noAutofit/>
        </a:bodyPr>
        <a:lstStyle/>
        <a:p>
          <a:pPr lvl="0" algn="ctr" defTabSz="1066800">
            <a:lnSpc>
              <a:spcPct val="90000"/>
            </a:lnSpc>
            <a:spcBef>
              <a:spcPct val="0"/>
            </a:spcBef>
            <a:spcAft>
              <a:spcPct val="35000"/>
            </a:spcAft>
          </a:pPr>
          <a:endParaRPr lang="zh-TW" altLang="en-US" sz="2400" kern="1200"/>
        </a:p>
      </dsp:txBody>
      <dsp:txXfrm>
        <a:off x="770810" y="688737"/>
        <a:ext cx="403764" cy="403764"/>
      </dsp:txXfrm>
    </dsp:sp>
  </dsp:spTree>
</dsp:drawing>
</file>

<file path=word/diagrams/layout1.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cdr:x>
      <cdr:y>0.09209</cdr:y>
    </cdr:from>
    <cdr:to>
      <cdr:x>0.21614</cdr:x>
      <cdr:y>0.17602</cdr:y>
    </cdr:to>
    <cdr:sp macro="" textlink="">
      <cdr:nvSpPr>
        <cdr:cNvPr id="2" name="文字方塊 1"/>
        <cdr:cNvSpPr txBox="1"/>
      </cdr:nvSpPr>
      <cdr:spPr>
        <a:xfrm xmlns:a="http://schemas.openxmlformats.org/drawingml/2006/main">
          <a:off x="0" y="267299"/>
          <a:ext cx="877844" cy="24361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億元</a:t>
          </a:r>
          <a:r>
            <a:rPr lang="en-US" altLang="zh-TW" sz="1000">
              <a:latin typeface="標楷體" panose="03000509000000000000" pitchFamily="65" charset="-120"/>
              <a:ea typeface="標楷體" panose="03000509000000000000" pitchFamily="65" charset="-120"/>
            </a:rPr>
            <a:t> </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0.17713</cdr:x>
      <cdr:y>0.02228</cdr:y>
    </cdr:from>
    <cdr:to>
      <cdr:x>0.88714</cdr:x>
      <cdr:y>0.11722</cdr:y>
    </cdr:to>
    <cdr:sp macro="" textlink="">
      <cdr:nvSpPr>
        <cdr:cNvPr id="4" name="文字方塊 3"/>
        <cdr:cNvSpPr txBox="1"/>
      </cdr:nvSpPr>
      <cdr:spPr>
        <a:xfrm xmlns:a="http://schemas.openxmlformats.org/drawingml/2006/main">
          <a:off x="719406" y="64670"/>
          <a:ext cx="2883694" cy="27557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1</a:t>
          </a:r>
          <a:r>
            <a:rPr lang="zh-TW" altLang="en-US" sz="1200" b="1">
              <a:latin typeface="標楷體" panose="03000509000000000000" pitchFamily="65" charset="-120"/>
              <a:ea typeface="標楷體" panose="03000509000000000000" pitchFamily="65" charset="-120"/>
            </a:rPr>
            <a:t>  中央政府稅課收入預算執行情形</a:t>
          </a:r>
          <a:r>
            <a:rPr lang="zh-TW" altLang="en-US" sz="1200"/>
            <a:t>　</a:t>
          </a:r>
          <a:r>
            <a:rPr lang="zh-TW" altLang="en-US" sz="1100"/>
            <a:t>　</a:t>
          </a:r>
        </a:p>
      </cdr:txBody>
    </cdr:sp>
  </cdr:relSizeAnchor>
  <cdr:relSizeAnchor xmlns:cdr="http://schemas.openxmlformats.org/drawingml/2006/chartDrawing">
    <cdr:from>
      <cdr:x>2.62467E-6</cdr:x>
      <cdr:y>0</cdr:y>
    </cdr:from>
    <cdr:to>
      <cdr:x>2.62467E-6</cdr:x>
      <cdr:y>0</cdr:y>
    </cdr:to>
    <cdr:grpSp>
      <cdr:nvGrpSpPr>
        <cdr:cNvPr id="7" name="群組 4"/>
        <cdr:cNvGrpSpPr/>
      </cdr:nvGrpSpPr>
      <cdr:grpSpPr>
        <a:xfrm xmlns:a="http://schemas.openxmlformats.org/drawingml/2006/main">
          <a:off x="12" y="0"/>
          <a:ext cx="0" cy="0"/>
          <a:chOff x="12" y="0"/>
          <a:chExt cx="0" cy="0"/>
        </a:xfrm>
      </cdr:grpSpPr>
    </cdr:grpSp>
  </cdr:relSizeAnchor>
  <cdr:relSizeAnchor xmlns:cdr="http://schemas.openxmlformats.org/drawingml/2006/chartDrawing">
    <cdr:from>
      <cdr:x>0.88574</cdr:x>
      <cdr:y>0.82018</cdr:y>
    </cdr:from>
    <cdr:to>
      <cdr:x>1</cdr:x>
      <cdr:y>0.88264</cdr:y>
    </cdr:to>
    <cdr:sp macro="" textlink="">
      <cdr:nvSpPr>
        <cdr:cNvPr id="10" name="文字方塊 9"/>
        <cdr:cNvSpPr txBox="1"/>
      </cdr:nvSpPr>
      <cdr:spPr>
        <a:xfrm xmlns:a="http://schemas.openxmlformats.org/drawingml/2006/main">
          <a:off x="3597398" y="2380642"/>
          <a:ext cx="464062" cy="18129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8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0.04417</cdr:x>
      <cdr:y>0.91212</cdr:y>
    </cdr:from>
    <cdr:to>
      <cdr:x>0.62568</cdr:x>
      <cdr:y>0.9907</cdr:y>
    </cdr:to>
    <cdr:sp macro="" textlink="">
      <cdr:nvSpPr>
        <cdr:cNvPr id="5" name="文字方塊 4"/>
        <cdr:cNvSpPr txBox="1"/>
      </cdr:nvSpPr>
      <cdr:spPr>
        <a:xfrm xmlns:a="http://schemas.openxmlformats.org/drawingml/2006/main">
          <a:off x="179395" y="2647507"/>
          <a:ext cx="2361786" cy="22808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資料來源：整理自財政部提供資料。</a:t>
          </a:r>
        </a:p>
      </cdr:txBody>
    </cdr:sp>
  </cdr:relSizeAnchor>
  <cdr:relSizeAnchor xmlns:cdr="http://schemas.openxmlformats.org/drawingml/2006/chartDrawing">
    <cdr:from>
      <cdr:x>0.90737</cdr:x>
      <cdr:y>0.10316</cdr:y>
    </cdr:from>
    <cdr:to>
      <cdr:x>0.98092</cdr:x>
      <cdr:y>0.19708</cdr:y>
    </cdr:to>
    <cdr:sp macro="" textlink="">
      <cdr:nvSpPr>
        <cdr:cNvPr id="9" name="文字方塊 1"/>
        <cdr:cNvSpPr txBox="1"/>
      </cdr:nvSpPr>
      <cdr:spPr>
        <a:xfrm xmlns:a="http://schemas.openxmlformats.org/drawingml/2006/main">
          <a:off x="3685265" y="299441"/>
          <a:ext cx="298720" cy="27260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itchFamily="65" charset="-120"/>
              <a:ea typeface="標楷體" pitchFamily="65" charset="-120"/>
            </a:rPr>
            <a:t>％</a:t>
          </a:r>
          <a:r>
            <a:rPr lang="en-US" altLang="zh-TW" sz="1000">
              <a:latin typeface="標楷體" panose="03000509000000000000" pitchFamily="65" charset="-120"/>
              <a:ea typeface="標楷體" panose="03000509000000000000" pitchFamily="65" charset="-120"/>
            </a:rPr>
            <a:t> </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0.19231</cdr:x>
      <cdr:y>0.21221</cdr:y>
    </cdr:from>
    <cdr:to>
      <cdr:x>0.19348</cdr:x>
      <cdr:y>0.67764</cdr:y>
    </cdr:to>
    <cdr:cxnSp macro="">
      <cdr:nvCxnSpPr>
        <cdr:cNvPr id="6" name="直線接點 5"/>
        <cdr:cNvCxnSpPr/>
      </cdr:nvCxnSpPr>
      <cdr:spPr>
        <a:xfrm xmlns:a="http://schemas.openxmlformats.org/drawingml/2006/main">
          <a:off x="781061" y="615958"/>
          <a:ext cx="4752" cy="1350954"/>
        </a:xfrm>
        <a:prstGeom xmlns:a="http://schemas.openxmlformats.org/drawingml/2006/main" prst="line">
          <a:avLst/>
        </a:prstGeom>
        <a:ln xmlns:a="http://schemas.openxmlformats.org/drawingml/2006/main" w="12700">
          <a:solidFill>
            <a:schemeClr val="bg1">
              <a:lumMod val="75000"/>
            </a:schemeClr>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0.13199</cdr:x>
      <cdr:y>0.33636</cdr:y>
    </cdr:from>
    <cdr:to>
      <cdr:x>0.17509</cdr:x>
      <cdr:y>0.55482</cdr:y>
    </cdr:to>
    <cdr:sp macro="" textlink="">
      <cdr:nvSpPr>
        <cdr:cNvPr id="8" name="文字方塊 7"/>
        <cdr:cNvSpPr txBox="1"/>
      </cdr:nvSpPr>
      <cdr:spPr>
        <a:xfrm xmlns:a="http://schemas.openxmlformats.org/drawingml/2006/main">
          <a:off x="563880" y="1231900"/>
          <a:ext cx="184150" cy="800100"/>
        </a:xfrm>
        <a:prstGeom xmlns:a="http://schemas.openxmlformats.org/drawingml/2006/main" prst="rect">
          <a:avLst/>
        </a:prstGeom>
      </cdr:spPr>
      <cdr:txBody>
        <a:bodyPr xmlns:a="http://schemas.openxmlformats.org/drawingml/2006/main" vertOverflow="clip" vert="eaVert" wrap="square" rtlCol="0" anchor="ctr"/>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歐債危機</a:t>
          </a:r>
        </a:p>
      </cdr:txBody>
    </cdr:sp>
  </cdr:relSizeAnchor>
  <cdr:relSizeAnchor xmlns:cdr="http://schemas.openxmlformats.org/drawingml/2006/chartDrawing">
    <cdr:from>
      <cdr:x>0.67542</cdr:x>
      <cdr:y>0.21658</cdr:y>
    </cdr:from>
    <cdr:to>
      <cdr:x>0.67659</cdr:x>
      <cdr:y>0.68585</cdr:y>
    </cdr:to>
    <cdr:cxnSp macro="">
      <cdr:nvCxnSpPr>
        <cdr:cNvPr id="11" name="直線接點 10"/>
        <cdr:cNvCxnSpPr/>
      </cdr:nvCxnSpPr>
      <cdr:spPr>
        <a:xfrm xmlns:a="http://schemas.openxmlformats.org/drawingml/2006/main">
          <a:off x="2743192" y="628642"/>
          <a:ext cx="4771" cy="1362083"/>
        </a:xfrm>
        <a:prstGeom xmlns:a="http://schemas.openxmlformats.org/drawingml/2006/main" prst="line">
          <a:avLst/>
        </a:prstGeom>
        <a:ln xmlns:a="http://schemas.openxmlformats.org/drawingml/2006/main" w="12700">
          <a:solidFill>
            <a:schemeClr val="bg1">
              <a:lumMod val="75000"/>
            </a:schemeClr>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0.67876</cdr:x>
      <cdr:y>0.2319</cdr:y>
    </cdr:from>
    <cdr:to>
      <cdr:x>0.7304</cdr:x>
      <cdr:y>0.71319</cdr:y>
    </cdr:to>
    <cdr:sp macro="" textlink="">
      <cdr:nvSpPr>
        <cdr:cNvPr id="12" name="文字方塊 2"/>
        <cdr:cNvSpPr txBox="1"/>
      </cdr:nvSpPr>
      <cdr:spPr>
        <a:xfrm xmlns:a="http://schemas.openxmlformats.org/drawingml/2006/main">
          <a:off x="2756757" y="673100"/>
          <a:ext cx="209733" cy="1397000"/>
        </a:xfrm>
        <a:prstGeom xmlns:a="http://schemas.openxmlformats.org/drawingml/2006/main" prst="rect">
          <a:avLst/>
        </a:prstGeom>
      </cdr:spPr>
      <cdr:txBody>
        <a:bodyPr xmlns:a="http://schemas.openxmlformats.org/drawingml/2006/main" vert="eaVert"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新型冠狀病毒肺炎疫情</a:t>
          </a:r>
        </a:p>
      </cdr:txBody>
    </cdr:sp>
  </cdr:relSizeAnchor>
</c:userShapes>
</file>

<file path=word/drawings/drawing2.xml><?xml version="1.0" encoding="utf-8"?>
<c:userShapes xmlns:c="http://schemas.openxmlformats.org/drawingml/2006/chart">
  <cdr:relSizeAnchor xmlns:cdr="http://schemas.openxmlformats.org/drawingml/2006/chartDrawing">
    <cdr:from>
      <cdr:x>0.68657</cdr:x>
      <cdr:y>0.15318</cdr:y>
    </cdr:from>
    <cdr:to>
      <cdr:x>0.95289</cdr:x>
      <cdr:y>0.28616</cdr:y>
    </cdr:to>
    <cdr:sp macro="" textlink="">
      <cdr:nvSpPr>
        <cdr:cNvPr id="2" name="文字方塊 1"/>
        <cdr:cNvSpPr txBox="1"/>
      </cdr:nvSpPr>
      <cdr:spPr>
        <a:xfrm xmlns:a="http://schemas.openxmlformats.org/drawingml/2006/main">
          <a:off x="1752600" y="309315"/>
          <a:ext cx="679854" cy="26853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b="1" u="sng">
              <a:latin typeface="標楷體" panose="03000509000000000000" pitchFamily="65" charset="-120"/>
              <a:ea typeface="標楷體" panose="03000509000000000000" pitchFamily="65" charset="-120"/>
            </a:rPr>
            <a:t>未生育</a:t>
          </a:r>
        </a:p>
      </cdr:txBody>
    </cdr:sp>
  </cdr:relSizeAnchor>
</c:userShapes>
</file>

<file path=word/drawings/drawing3.xml><?xml version="1.0" encoding="utf-8"?>
<c:userShapes xmlns:c="http://schemas.openxmlformats.org/drawingml/2006/chart">
  <cdr:relSizeAnchor xmlns:cdr="http://schemas.openxmlformats.org/drawingml/2006/chartDrawing">
    <cdr:from>
      <cdr:x>0.55673</cdr:x>
      <cdr:y>0.5994</cdr:y>
    </cdr:from>
    <cdr:to>
      <cdr:x>0.99084</cdr:x>
      <cdr:y>0.71424</cdr:y>
    </cdr:to>
    <cdr:sp macro="" textlink="">
      <cdr:nvSpPr>
        <cdr:cNvPr id="2" name="文字方塊 1"/>
        <cdr:cNvSpPr txBox="1"/>
      </cdr:nvSpPr>
      <cdr:spPr>
        <a:xfrm xmlns:a="http://schemas.openxmlformats.org/drawingml/2006/main">
          <a:off x="1421175" y="1294482"/>
          <a:ext cx="1108149" cy="24801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b="1" u="sng">
              <a:latin typeface="標楷體" panose="03000509000000000000" pitchFamily="65" charset="-120"/>
              <a:ea typeface="標楷體" panose="03000509000000000000" pitchFamily="65" charset="-120"/>
            </a:rPr>
            <a:t>已生育</a:t>
          </a:r>
          <a:r>
            <a:rPr lang="en-US" altLang="zh-TW" sz="1000" b="1" u="sng">
              <a:latin typeface="標楷體" panose="03000509000000000000" pitchFamily="65" charset="-120"/>
              <a:ea typeface="標楷體" panose="03000509000000000000" pitchFamily="65" charset="-120"/>
            </a:rPr>
            <a:t>1</a:t>
          </a:r>
          <a:r>
            <a:rPr lang="zh-TW" altLang="en-US" sz="1000" b="1" u="sng">
              <a:latin typeface="標楷體" panose="03000509000000000000" pitchFamily="65" charset="-120"/>
              <a:ea typeface="標楷體" panose="03000509000000000000" pitchFamily="65" charset="-120"/>
            </a:rPr>
            <a:t>胎</a:t>
          </a:r>
        </a:p>
      </cdr:txBody>
    </cdr:sp>
  </cdr:relSizeAnchor>
  <cdr:relSizeAnchor xmlns:cdr="http://schemas.openxmlformats.org/drawingml/2006/chartDrawing">
    <cdr:from>
      <cdr:x>0.09586</cdr:x>
      <cdr:y>0.01114</cdr:y>
    </cdr:from>
    <cdr:to>
      <cdr:x>0.95397</cdr:x>
      <cdr:y>0.12225</cdr:y>
    </cdr:to>
    <cdr:sp macro="" textlink="">
      <cdr:nvSpPr>
        <cdr:cNvPr id="3" name="文字方塊 2"/>
        <cdr:cNvSpPr txBox="1"/>
      </cdr:nvSpPr>
      <cdr:spPr>
        <a:xfrm xmlns:a="http://schemas.openxmlformats.org/drawingml/2006/main">
          <a:off x="244699" y="24064"/>
          <a:ext cx="2190492" cy="239954"/>
        </a:xfrm>
        <a:prstGeom xmlns:a="http://schemas.openxmlformats.org/drawingml/2006/main" prst="rect">
          <a:avLst/>
        </a:prstGeom>
        <a:solidFill xmlns:a="http://schemas.openxmlformats.org/drawingml/2006/main">
          <a:srgbClr val="FFFFFF"/>
        </a:solidFill>
      </cdr:spPr>
      <cdr:txBody>
        <a:bodyPr xmlns:a="http://schemas.openxmlformats.org/drawingml/2006/main" vertOverflow="clip" wrap="square" rtlCol="0"/>
        <a:lstStyle xmlns:a="http://schemas.openxmlformats.org/drawingml/2006/main"/>
        <a:p xmlns:a="http://schemas.openxmlformats.org/drawingml/2006/main">
          <a:pPr algn="r"/>
          <a:r>
            <a:rPr lang="zh-TW" altLang="en-US" sz="1000">
              <a:latin typeface="標楷體" panose="03000509000000000000" pitchFamily="65" charset="-120"/>
              <a:ea typeface="標楷體" panose="03000509000000000000" pitchFamily="65" charset="-120"/>
            </a:rPr>
            <a:t>單位：％</a:t>
          </a:r>
        </a:p>
      </cdr:txBody>
    </cdr:sp>
  </cdr:relSizeAnchor>
</c:userShapes>
</file>

<file path=word/drawings/drawing4.xml><?xml version="1.0" encoding="utf-8"?>
<c:userShapes xmlns:c="http://schemas.openxmlformats.org/drawingml/2006/chart">
  <cdr:relSizeAnchor xmlns:cdr="http://schemas.openxmlformats.org/drawingml/2006/chartDrawing">
    <cdr:from>
      <cdr:x>0.60852</cdr:x>
      <cdr:y>0.64023</cdr:y>
    </cdr:from>
    <cdr:to>
      <cdr:x>0.96109</cdr:x>
      <cdr:y>0.82277</cdr:y>
    </cdr:to>
    <cdr:sp macro="" textlink="">
      <cdr:nvSpPr>
        <cdr:cNvPr id="2" name="文字方塊 1"/>
        <cdr:cNvSpPr txBox="1"/>
      </cdr:nvSpPr>
      <cdr:spPr>
        <a:xfrm xmlns:a="http://schemas.openxmlformats.org/drawingml/2006/main">
          <a:off x="1553378" y="1175324"/>
          <a:ext cx="900000" cy="33510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b="1" u="sng">
              <a:latin typeface="標楷體" panose="03000509000000000000" pitchFamily="65" charset="-120"/>
              <a:ea typeface="標楷體" panose="03000509000000000000" pitchFamily="65" charset="-120"/>
            </a:rPr>
            <a:t>已生育</a:t>
          </a:r>
          <a:r>
            <a:rPr lang="en-US" altLang="zh-TW" sz="1000" b="1" u="sng">
              <a:latin typeface="標楷體" panose="03000509000000000000" pitchFamily="65" charset="-120"/>
              <a:ea typeface="標楷體" panose="03000509000000000000" pitchFamily="65" charset="-120"/>
            </a:rPr>
            <a:t>2</a:t>
          </a:r>
          <a:r>
            <a:rPr lang="zh-TW" altLang="en-US" sz="1000" b="1" u="sng">
              <a:latin typeface="標楷體" panose="03000509000000000000" pitchFamily="65" charset="-120"/>
              <a:ea typeface="標楷體" panose="03000509000000000000" pitchFamily="65" charset="-120"/>
            </a:rPr>
            <a:t>胎</a:t>
          </a:r>
        </a:p>
      </cdr:txBody>
    </cdr:sp>
  </cdr:relSizeAnchor>
</c:userShapes>
</file>

<file path=word/drawings/drawing5.xml><?xml version="1.0" encoding="utf-8"?>
<c:userShapes xmlns:c="http://schemas.openxmlformats.org/drawingml/2006/chart">
  <cdr:relSizeAnchor xmlns:cdr="http://schemas.openxmlformats.org/drawingml/2006/chartDrawing">
    <cdr:from>
      <cdr:x>0.60637</cdr:x>
      <cdr:y>0.64019</cdr:y>
    </cdr:from>
    <cdr:to>
      <cdr:x>0.95893</cdr:x>
      <cdr:y>0.81089</cdr:y>
    </cdr:to>
    <cdr:sp macro="" textlink="">
      <cdr:nvSpPr>
        <cdr:cNvPr id="2" name="文字方塊 1"/>
        <cdr:cNvSpPr txBox="1"/>
      </cdr:nvSpPr>
      <cdr:spPr>
        <a:xfrm xmlns:a="http://schemas.openxmlformats.org/drawingml/2006/main">
          <a:off x="1547870" y="1175249"/>
          <a:ext cx="900000" cy="31336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b="1" u="sng">
              <a:latin typeface="標楷體" panose="03000509000000000000" pitchFamily="65" charset="-120"/>
              <a:ea typeface="標楷體" panose="03000509000000000000" pitchFamily="65" charset="-120"/>
            </a:rPr>
            <a:t>已生育</a:t>
          </a:r>
          <a:r>
            <a:rPr lang="en-US" altLang="zh-TW" sz="1000" b="1" u="sng">
              <a:latin typeface="標楷體" panose="03000509000000000000" pitchFamily="65" charset="-120"/>
              <a:ea typeface="標楷體" panose="03000509000000000000" pitchFamily="65" charset="-120"/>
            </a:rPr>
            <a:t>3</a:t>
          </a:r>
          <a:r>
            <a:rPr lang="zh-TW" altLang="en-US" sz="1000" b="1" u="sng">
              <a:latin typeface="標楷體" panose="03000509000000000000" pitchFamily="65" charset="-120"/>
              <a:ea typeface="標楷體" panose="03000509000000000000" pitchFamily="65" charset="-120"/>
            </a:rPr>
            <a:t>胎</a:t>
          </a:r>
        </a:p>
      </cdr:txBody>
    </cdr:sp>
  </cdr:relSizeAnchor>
</c:userShapes>
</file>

<file path=word/drawings/drawing6.xml><?xml version="1.0" encoding="utf-8"?>
<c:userShapes xmlns:c="http://schemas.openxmlformats.org/drawingml/2006/chart">
  <cdr:relSizeAnchor xmlns:cdr="http://schemas.openxmlformats.org/drawingml/2006/chartDrawing">
    <cdr:from>
      <cdr:x>0</cdr:x>
      <cdr:y>0.88672</cdr:y>
    </cdr:from>
    <cdr:to>
      <cdr:x>0.76652</cdr:x>
      <cdr:y>0.98516</cdr:y>
    </cdr:to>
    <cdr:sp macro="" textlink="">
      <cdr:nvSpPr>
        <cdr:cNvPr id="2" name="文字方塊 2"/>
        <cdr:cNvSpPr txBox="1">
          <a:spLocks xmlns:a="http://schemas.openxmlformats.org/drawingml/2006/main" noChangeArrowheads="1"/>
        </cdr:cNvSpPr>
      </cdr:nvSpPr>
      <cdr:spPr bwMode="auto">
        <a:xfrm xmlns:a="http://schemas.openxmlformats.org/drawingml/2006/main">
          <a:off x="0" y="2276475"/>
          <a:ext cx="2593340" cy="252730"/>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p xmlns:a="http://schemas.openxmlformats.org/drawingml/2006/main">
          <a:pPr>
            <a:lnSpc>
              <a:spcPts val="1200"/>
            </a:lnSpc>
            <a:spcAft>
              <a:spcPts val="0"/>
            </a:spcAft>
          </a:pPr>
          <a:r>
            <a:rPr lang="zh-TW" sz="900" kern="100">
              <a:solidFill>
                <a:sysClr val="windowText" lastClr="000000"/>
              </a:solidFill>
              <a:effectLst/>
              <a:latin typeface="Calibri" panose="020F0502020204030204" pitchFamily="34" charset="0"/>
              <a:ea typeface="標楷體" panose="03000509000000000000" pitchFamily="65" charset="-120"/>
              <a:cs typeface="Times New Roman" panose="02020603050405020304" pitchFamily="18" charset="0"/>
            </a:rPr>
            <a:t>資料來源：整理自原住民族委員會提供資料</a:t>
          </a:r>
          <a:r>
            <a:rPr lang="zh-TW" sz="900" kern="100">
              <a:effectLst/>
              <a:latin typeface="Calibri" panose="020F0502020204030204" pitchFamily="34" charset="0"/>
              <a:ea typeface="標楷體" panose="03000509000000000000" pitchFamily="65" charset="-120"/>
              <a:cs typeface="Times New Roman" panose="02020603050405020304" pitchFamily="18" charset="0"/>
            </a:rPr>
            <a:t>。</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A6ECAC-7706-4441-95F6-4F429B9133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3415</TotalTime>
  <Pages>108</Pages>
  <Words>19272</Words>
  <Characters>109852</Characters>
  <Application>Microsoft Office Word</Application>
  <DocSecurity>0</DocSecurity>
  <Lines>915</Lines>
  <Paragraphs>257</Paragraphs>
  <ScaleCrop>false</ScaleCrop>
  <Company>Microsoft</Company>
  <LinksUpToDate>false</LinksUpToDate>
  <CharactersWithSpaces>128867</CharactersWithSpaces>
  <SharedDoc>false</SharedDoc>
  <HLinks>
    <vt:vector size="6" baseType="variant">
      <vt:variant>
        <vt:i4>1769542</vt:i4>
      </vt:variant>
      <vt:variant>
        <vt:i4>0</vt:i4>
      </vt:variant>
      <vt:variant>
        <vt:i4>0</vt:i4>
      </vt:variant>
      <vt:variant>
        <vt:i4>5</vt:i4>
      </vt:variant>
      <vt:variant>
        <vt:lpwstr>http://www.rootlaw.com.tw/LawContent.aspx?LawID=A040040101012000-0951124</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貳、經濟部主管</dc:title>
  <dc:creator>Sta</dc:creator>
  <cp:lastModifiedBy>陳奕澄</cp:lastModifiedBy>
  <cp:revision>688</cp:revision>
  <cp:lastPrinted>2023-07-07T08:20:00Z</cp:lastPrinted>
  <dcterms:created xsi:type="dcterms:W3CDTF">2022-07-11T00:36:00Z</dcterms:created>
  <dcterms:modified xsi:type="dcterms:W3CDTF">2023-07-12T08:54:00Z</dcterms:modified>
</cp:coreProperties>
</file>