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EF" w:rsidRPr="001637FE" w:rsidRDefault="00D76BA3" w:rsidP="00E1506B">
      <w:pPr>
        <w:widowControl/>
        <w:adjustRightInd w:val="0"/>
        <w:snapToGrid w:val="0"/>
        <w:ind w:leftChars="590" w:left="1416"/>
        <w:jc w:val="center"/>
        <w:rPr>
          <w:rFonts w:ascii="標楷體" w:eastAsia="標楷體" w:hAnsi="標楷體" w:cs="標楷體"/>
          <w:b/>
          <w:color w:val="000000" w:themeColor="text1"/>
          <w:sz w:val="32"/>
          <w:szCs w:val="24"/>
          <w:u w:val="single" w:color="000000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  <w:u w:val="single" w:color="000000"/>
        </w:rPr>
        <w:t xml:space="preserve">　</w:t>
      </w:r>
      <w:r w:rsidR="004E1AF8" w:rsidRPr="001637FE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  <w:u w:val="single" w:color="000000"/>
        </w:rPr>
        <w:t>四</w:t>
      </w:r>
      <w:r w:rsidR="00F726EF" w:rsidRPr="001637FE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  <w:u w:val="single" w:color="000000"/>
        </w:rPr>
        <w:t>、餘</w:t>
      </w:r>
      <w:proofErr w:type="gramStart"/>
      <w:r w:rsidR="00F726EF" w:rsidRPr="001637FE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  <w:u w:val="single" w:color="000000"/>
        </w:rPr>
        <w:t>絀</w:t>
      </w:r>
      <w:proofErr w:type="gramEnd"/>
      <w:r w:rsidR="00F726EF" w:rsidRPr="001637FE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  <w:u w:val="single" w:color="000000"/>
        </w:rPr>
        <w:t xml:space="preserve">審定後現金流量綜計表　</w:t>
      </w:r>
      <w:r w:rsidR="00F726EF" w:rsidRPr="001637FE">
        <w:rPr>
          <w:rFonts w:ascii="標楷體" w:eastAsia="標楷體" w:hAnsi="標楷體" w:cs="標楷體" w:hint="eastAsia"/>
          <w:color w:val="000000" w:themeColor="text1"/>
          <w:sz w:val="32"/>
          <w:szCs w:val="24"/>
        </w:rPr>
        <w:t>（項目別）</w:t>
      </w:r>
    </w:p>
    <w:p w:rsidR="00F726EF" w:rsidRDefault="00F726EF" w:rsidP="00E1506B">
      <w:pPr>
        <w:tabs>
          <w:tab w:val="center" w:pos="4820"/>
          <w:tab w:val="right" w:pos="9960"/>
        </w:tabs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  <w:spacing w:val="60"/>
        </w:rPr>
        <w:tab/>
      </w:r>
      <w:r w:rsidRPr="009E07CA">
        <w:rPr>
          <w:rFonts w:ascii="標楷體" w:eastAsia="標楷體" w:hAnsi="標楷體" w:cs="標楷體" w:hint="eastAsia"/>
          <w:color w:val="000000" w:themeColor="text1"/>
          <w:szCs w:val="24"/>
        </w:rPr>
        <w:t>中華民國</w:t>
      </w:r>
      <w:proofErr w:type="gramStart"/>
      <w:r w:rsidR="00555DFB" w:rsidRPr="009E07CA">
        <w:rPr>
          <w:rFonts w:ascii="標楷體" w:eastAsia="標楷體" w:hAnsi="標楷體" w:cs="標楷體" w:hint="eastAsia"/>
          <w:color w:val="000000" w:themeColor="text1"/>
          <w:szCs w:val="24"/>
        </w:rPr>
        <w:t>111</w:t>
      </w:r>
      <w:proofErr w:type="gramEnd"/>
      <w:r w:rsidRPr="009E07CA">
        <w:rPr>
          <w:rFonts w:ascii="標楷體" w:eastAsia="標楷體" w:hAnsi="標楷體" w:cs="標楷體" w:hint="eastAsia"/>
          <w:color w:val="000000" w:themeColor="text1"/>
          <w:szCs w:val="24"/>
        </w:rPr>
        <w:t>年度</w:t>
      </w:r>
      <w:r w:rsidR="00555DFB"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</w:rPr>
        <w:t>單位：新臺幣</w:t>
      </w:r>
      <w:r w:rsidR="00555DFB" w:rsidRPr="00555DFB">
        <w:rPr>
          <w:rFonts w:ascii="標楷體" w:eastAsia="標楷體" w:hAnsi="標楷體" w:hint="eastAsia"/>
          <w:spacing w:val="-20"/>
        </w:rPr>
        <w:t>元</w:t>
      </w:r>
    </w:p>
    <w:tbl>
      <w:tblPr>
        <w:tblW w:w="992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470"/>
        <w:gridCol w:w="854"/>
      </w:tblGrid>
      <w:tr w:rsidR="00F726EF" w:rsidTr="00E1506B">
        <w:trPr>
          <w:cantSplit/>
          <w:trHeight w:val="38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F726EF" w:rsidRDefault="00F726EF" w:rsidP="00D54DFA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60"/>
              </w:rPr>
            </w:pPr>
            <w:r w:rsidRPr="00D54DFA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1692" w:type="dxa"/>
            <w:vMerge w:val="restart"/>
            <w:tcBorders>
              <w:bottom w:val="nil"/>
            </w:tcBorders>
            <w:vAlign w:val="center"/>
          </w:tcPr>
          <w:p w:rsidR="00F726EF" w:rsidRDefault="00F726EF" w:rsidP="00291AF9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60"/>
              </w:rPr>
            </w:pPr>
            <w:r w:rsidRPr="00291AF9">
              <w:rPr>
                <w:rFonts w:ascii="標楷體" w:eastAsia="標楷體" w:hAnsi="標楷體" w:cs="標楷體" w:hint="eastAsia"/>
                <w:szCs w:val="24"/>
              </w:rPr>
              <w:t>預算數</w:t>
            </w:r>
          </w:p>
        </w:tc>
        <w:tc>
          <w:tcPr>
            <w:tcW w:w="1692" w:type="dxa"/>
            <w:vMerge w:val="restart"/>
            <w:vAlign w:val="center"/>
          </w:tcPr>
          <w:p w:rsidR="00F726EF" w:rsidRPr="00291AF9" w:rsidRDefault="00F726EF" w:rsidP="00291AF9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291AF9">
              <w:rPr>
                <w:rFonts w:ascii="標楷體" w:eastAsia="標楷體" w:hAnsi="標楷體" w:cs="標楷體" w:hint="eastAsia"/>
                <w:szCs w:val="24"/>
              </w:rPr>
              <w:t>決算數</w:t>
            </w:r>
          </w:p>
        </w:tc>
        <w:tc>
          <w:tcPr>
            <w:tcW w:w="232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F726EF" w:rsidRPr="00291AF9" w:rsidRDefault="00F726EF" w:rsidP="00291AF9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291AF9">
              <w:rPr>
                <w:rFonts w:ascii="標楷體" w:eastAsia="標楷體" w:hAnsi="標楷體" w:cs="標楷體" w:hint="eastAsia"/>
                <w:szCs w:val="24"/>
              </w:rPr>
              <w:t>比較增減</w:t>
            </w:r>
          </w:p>
        </w:tc>
      </w:tr>
      <w:tr w:rsidR="00F726EF" w:rsidTr="00065B67">
        <w:trPr>
          <w:cantSplit/>
          <w:trHeight w:val="50"/>
        </w:trPr>
        <w:tc>
          <w:tcPr>
            <w:tcW w:w="4217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726EF" w:rsidRDefault="00F726E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F726EF" w:rsidRDefault="00F726EF">
            <w:pPr>
              <w:ind w:left="113" w:right="113"/>
              <w:jc w:val="distribute"/>
              <w:rPr>
                <w:rFonts w:ascii="標楷體" w:eastAsia="標楷體" w:hAnsi="標楷體"/>
                <w:spacing w:val="60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vAlign w:val="center"/>
          </w:tcPr>
          <w:p w:rsidR="00F726EF" w:rsidRPr="00291AF9" w:rsidRDefault="00F726EF" w:rsidP="00291AF9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26EF" w:rsidRPr="00291AF9" w:rsidRDefault="00F726EF" w:rsidP="00291AF9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291AF9">
              <w:rPr>
                <w:rFonts w:ascii="標楷體" w:eastAsia="標楷體" w:hAnsi="標楷體" w:cs="標楷體" w:hint="eastAsia"/>
                <w:szCs w:val="24"/>
              </w:rPr>
              <w:t>金額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26EF" w:rsidRPr="0082035B" w:rsidRDefault="00F726EF" w:rsidP="0082035B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 w:hAnsi="標楷體" w:cs="標楷體"/>
                <w:szCs w:val="24"/>
              </w:rPr>
            </w:pPr>
            <w:r w:rsidRPr="0082035B">
              <w:rPr>
                <w:rFonts w:ascii="標楷體" w:eastAsia="標楷體" w:hAnsi="標楷體" w:cs="標楷體" w:hint="eastAsia"/>
                <w:szCs w:val="24"/>
              </w:rPr>
              <w:t>％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本期賸餘（短</w:t>
            </w:r>
            <w:proofErr w:type="gramStart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絀</w:t>
            </w:r>
            <w:proofErr w:type="gramEnd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37,940,795,000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62,400,536,584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24,459,741,584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64.47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- 40,713,236,000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- 67,515,650,071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- 26,802,414,071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65.83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未計利息股利之本期賸餘（短</w:t>
            </w:r>
            <w:proofErr w:type="gramStart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絀</w:t>
            </w:r>
            <w:proofErr w:type="gramEnd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- 2,772,441,000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- 5,115,113,487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- 2,342,672,487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84.50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- 9,903,110,000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21,070,912,428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30,974,022,428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--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- 12,675,551,000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15,955,798,941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28,631,349,941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--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2,360,520,000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3,490,322,347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1,129,802,347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47.86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收取股利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793,501,000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1,058,253,200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264,752,200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33.37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- 3,153,941,000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- 3,526,814,883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- 372,873,883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11.82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- 12,675,471,000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16,977,559,605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29,653,030,605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--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減少流動金融資產及短</w:t>
            </w:r>
            <w:proofErr w:type="gramStart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期貸</w:t>
            </w:r>
            <w:proofErr w:type="gramEnd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30,906,740,000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570,348,902,949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539,442,162,949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1,745.39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87,202,649,000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126,564,756,423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39,362,107,423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45.14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1,776,759,000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3,804,615,026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2,027,856,026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114.13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 w:rsidP="00857819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減少生物</w:t>
            </w:r>
            <w:proofErr w:type="gramStart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540,000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3,394,920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2,854,920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528.69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1,896,504,000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25,130,868,428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23,234,364,428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1,225.12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10,648,070,000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13,512,490,653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2,864,420,653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26.90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收取股利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33,916,860,000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54,736,229,058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20,819,369,058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61.38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增加流動金融資產及短</w:t>
            </w:r>
            <w:proofErr w:type="gramStart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期貸</w:t>
            </w:r>
            <w:proofErr w:type="gramEnd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墊款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- 17,016,542,000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- 432,451,664,999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- 415,435,122,999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2,441.36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- 54,075,180,000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- 252,000,497,951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- 197,925,317,951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366.02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- 88,869,753,000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- 80,001,376,642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8,868,376,358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- 9.98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增加生物</w:t>
            </w:r>
            <w:proofErr w:type="gramStart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- 8,909,104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- 8,909,104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--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- 4,951,191,000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- 31,347,552,833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- 26,396,361,833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533.13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1,435,456,000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- 1,708,744,072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- 3,144,200,072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--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F726EF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77,638,247,000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269,716,401,427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192,078,154,427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247.40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51,552,140,000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58,118,243,496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6,566,103,496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12.74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增加基金、公積及填補短</w:t>
            </w:r>
            <w:proofErr w:type="gramStart"/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18,356,792,000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20,202,321,146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1,845,529,146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10.05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其他籌資活動之現金流入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23,389,587,000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48,070,356,308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24,680,769,308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105.52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- 84,528,044,000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- 276,100,197,413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- 191,572,153,413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226.64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減少長期負債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- 30,829,923,000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- 30,632,205,396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197,717,604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- 0.64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- 47,854,000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- 52,392,336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- 4,538,336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9.48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賸餘分配款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- 19,823,103,000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- 19,826,824,964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- 3,721,964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0.02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w w:val="90"/>
                <w:kern w:val="0"/>
                <w:sz w:val="22"/>
              </w:rPr>
              <w:t>其他籌資活動之現金流出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- 23,389,587,000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- 48,064,971,545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- 24,675,384,545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kern w:val="0"/>
                <w:sz w:val="18"/>
              </w:rPr>
              <w:t>105.50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ind w:leftChars="100" w:left="240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12,318,255,000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21,430,730,723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9,112,475,723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73.98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匯率影響數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- 2,976,000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2,867,214,288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2,870,190,288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--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1,075,264,000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39,566,760,544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38,491,496,544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3,579.73</w:t>
            </w:r>
          </w:p>
        </w:tc>
      </w:tr>
      <w:tr w:rsidR="00F726EF" w:rsidTr="00E1506B">
        <w:trPr>
          <w:cantSplit/>
          <w:trHeight w:val="295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:rsidR="00F726EF" w:rsidRPr="00301608" w:rsidRDefault="00555DFB">
            <w:pPr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299,917,999,000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304,638,282,527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4,720,283,527</w:t>
            </w:r>
          </w:p>
        </w:tc>
        <w:tc>
          <w:tcPr>
            <w:tcW w:w="854" w:type="dxa"/>
            <w:tcBorders>
              <w:top w:val="nil"/>
              <w:bottom w:val="nil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1.57</w:t>
            </w:r>
          </w:p>
        </w:tc>
      </w:tr>
      <w:tr w:rsidR="00F726EF" w:rsidTr="00E1506B">
        <w:trPr>
          <w:cantSplit/>
          <w:trHeight w:val="273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F726EF" w:rsidRPr="00301608" w:rsidRDefault="00555DFB">
            <w:pPr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highlight w:val="yellow"/>
              </w:rPr>
            </w:pPr>
            <w:r w:rsidRPr="00301608">
              <w:rPr>
                <w:rFonts w:ascii="標楷體" w:eastAsia="標楷體" w:hAnsi="標楷體" w:hint="eastAsia"/>
                <w:b/>
                <w:w w:val="90"/>
                <w:kern w:val="0"/>
                <w:sz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300,993,263,000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344,205,043,071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43,211,780,071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F726EF" w:rsidRPr="00555DFB" w:rsidRDefault="00555DFB">
            <w:pPr>
              <w:autoSpaceDE w:val="0"/>
              <w:autoSpaceDN w:val="0"/>
              <w:adjustRightInd w:val="0"/>
              <w:jc w:val="right"/>
              <w:rPr>
                <w:rFonts w:ascii="新細明體" w:hAnsi="新細明體"/>
                <w:kern w:val="0"/>
                <w:sz w:val="18"/>
                <w:highlight w:val="yellow"/>
              </w:rPr>
            </w:pPr>
            <w:r w:rsidRPr="00555DFB">
              <w:rPr>
                <w:rFonts w:ascii="新細明體" w:hAnsi="新細明體" w:hint="eastAsia"/>
                <w:b/>
                <w:kern w:val="0"/>
                <w:sz w:val="18"/>
              </w:rPr>
              <w:t>14.36</w:t>
            </w:r>
          </w:p>
        </w:tc>
      </w:tr>
    </w:tbl>
    <w:p w:rsidR="000E4727" w:rsidRPr="009C1F51" w:rsidRDefault="000E4727" w:rsidP="000E4727">
      <w:pPr>
        <w:widowControl/>
        <w:tabs>
          <w:tab w:val="center" w:pos="4800"/>
        </w:tabs>
        <w:overflowPunct w:val="0"/>
        <w:spacing w:line="240" w:lineRule="exact"/>
        <w:ind w:left="400" w:hangingChars="200" w:hanging="400"/>
        <w:jc w:val="both"/>
        <w:rPr>
          <w:rFonts w:ascii="標楷體" w:eastAsia="標楷體" w:hAnsi="標楷體" w:cs="標楷體"/>
          <w:color w:val="000000" w:themeColor="text1"/>
          <w:sz w:val="20"/>
          <w:szCs w:val="24"/>
        </w:rPr>
      </w:pPr>
      <w:proofErr w:type="gramStart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註</w:t>
      </w:r>
      <w:proofErr w:type="gramEnd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：</w:t>
      </w:r>
      <w:r w:rsidRPr="009C1F51">
        <w:rPr>
          <w:rFonts w:ascii="標楷體" w:eastAsia="標楷體" w:hAnsi="標楷體" w:cs="標楷體"/>
          <w:color w:val="000000" w:themeColor="text1"/>
          <w:sz w:val="20"/>
          <w:szCs w:val="24"/>
        </w:rPr>
        <w:t>1.本</w:t>
      </w:r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表係</w:t>
      </w:r>
      <w:proofErr w:type="gramStart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採</w:t>
      </w:r>
      <w:proofErr w:type="gramEnd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現金及約當現金基礎，包括現金及自投資日起3個月內到期或清償之債權證券</w:t>
      </w:r>
      <w:r w:rsidRPr="009C1F51">
        <w:rPr>
          <w:rFonts w:ascii="標楷體" w:eastAsia="標楷體" w:hAnsi="標楷體" w:cs="標楷體"/>
          <w:color w:val="000000" w:themeColor="text1"/>
          <w:sz w:val="20"/>
          <w:szCs w:val="24"/>
        </w:rPr>
        <w:t>。</w:t>
      </w:r>
    </w:p>
    <w:p w:rsidR="00F726EF" w:rsidRPr="000E4727" w:rsidRDefault="000E4727" w:rsidP="000E4727">
      <w:pPr>
        <w:widowControl/>
        <w:spacing w:line="240" w:lineRule="exact"/>
        <w:ind w:leftChars="168" w:left="603" w:hangingChars="100" w:hanging="200"/>
        <w:jc w:val="both"/>
        <w:rPr>
          <w:rFonts w:ascii="標楷體" w:eastAsia="標楷體" w:hAnsi="標楷體" w:cs="標楷體"/>
          <w:color w:val="000000" w:themeColor="text1"/>
          <w:sz w:val="20"/>
          <w:szCs w:val="24"/>
        </w:rPr>
      </w:pPr>
      <w:r w:rsidRPr="009C1F51">
        <w:rPr>
          <w:rFonts w:ascii="標楷體" w:eastAsia="標楷體" w:hAnsi="標楷體" w:cs="標楷體"/>
          <w:color w:val="000000" w:themeColor="text1"/>
          <w:sz w:val="20"/>
          <w:szCs w:val="24"/>
        </w:rPr>
        <w:t>2.本</w:t>
      </w:r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表「調整項目」欄所列，包括提存呆帳、</w:t>
      </w:r>
      <w:proofErr w:type="gramStart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醫療折</w:t>
      </w:r>
      <w:proofErr w:type="gramEnd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讓及評價短</w:t>
      </w:r>
      <w:proofErr w:type="gramStart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絀</w:t>
      </w:r>
      <w:proofErr w:type="gramEnd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、提存各項準備、折舊、減損及折耗、攤銷、兌換短</w:t>
      </w:r>
      <w:proofErr w:type="gramStart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絀</w:t>
      </w:r>
      <w:proofErr w:type="gramEnd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（賸餘）、處理資產短</w:t>
      </w:r>
      <w:proofErr w:type="gramStart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絀</w:t>
      </w:r>
      <w:proofErr w:type="gramEnd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（賸餘）、債務整理短</w:t>
      </w:r>
      <w:proofErr w:type="gramStart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絀</w:t>
      </w:r>
      <w:proofErr w:type="gramEnd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（賸餘）、其他、</w:t>
      </w:r>
      <w:proofErr w:type="gramStart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流動資產淨減</w:t>
      </w:r>
      <w:proofErr w:type="gramEnd"/>
      <w:r w:rsidRPr="009C1F51">
        <w:rPr>
          <w:rFonts w:ascii="標楷體" w:eastAsia="標楷體" w:hAnsi="標楷體" w:cs="標楷體" w:hint="eastAsia"/>
          <w:color w:val="000000" w:themeColor="text1"/>
          <w:sz w:val="20"/>
          <w:szCs w:val="24"/>
        </w:rPr>
        <w:t>（淨增）及流動負債淨增（淨減）</w:t>
      </w:r>
      <w:r w:rsidRPr="009C1F51">
        <w:rPr>
          <w:rFonts w:ascii="標楷體" w:eastAsia="標楷體" w:hAnsi="標楷體" w:cs="標楷體"/>
          <w:color w:val="000000" w:themeColor="text1"/>
          <w:sz w:val="20"/>
          <w:szCs w:val="24"/>
        </w:rPr>
        <w:t>。</w:t>
      </w:r>
    </w:p>
    <w:sectPr w:rsidR="00F726EF" w:rsidRPr="000E4727" w:rsidSect="009176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851" w:bottom="1418" w:left="851" w:header="1021" w:footer="737" w:gutter="284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E98" w:rsidRDefault="00EC2E98">
      <w:r>
        <w:separator/>
      </w:r>
    </w:p>
  </w:endnote>
  <w:endnote w:type="continuationSeparator" w:id="0">
    <w:p w:rsidR="00EC2E98" w:rsidRDefault="00EC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Arial Unicode MS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6F5" w:rsidRDefault="009176F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hint="eastAsia"/>
      </w:rPr>
      <w:id w:val="-193373899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9176F5" w:rsidRDefault="009176F5" w:rsidP="009176F5">
        <w:pPr>
          <w:pStyle w:val="a4"/>
          <w:jc w:val="center"/>
          <w:rPr>
            <w:rFonts w:ascii="標楷體" w:hAnsi="標楷體"/>
          </w:rPr>
        </w:pPr>
        <w:r>
          <w:rPr>
            <w:rFonts w:ascii="標楷體" w:hAnsi="標楷體" w:hint="eastAsia"/>
          </w:rPr>
          <w:t>丁-</w:t>
        </w:r>
        <w:r>
          <w:rPr>
            <w:rFonts w:ascii="標楷體" w:hAnsi="標楷體" w:hint="eastAsia"/>
          </w:rPr>
          <w:fldChar w:fldCharType="begin"/>
        </w:r>
        <w:r>
          <w:rPr>
            <w:rFonts w:ascii="標楷體" w:hAnsi="標楷體" w:hint="eastAsia"/>
          </w:rPr>
          <w:instrText>PAGE   \* MERGEFORMAT</w:instrText>
        </w:r>
        <w:r>
          <w:rPr>
            <w:rFonts w:ascii="標楷體" w:hAnsi="標楷體"/>
          </w:rPr>
          <w:fldChar w:fldCharType="separate"/>
        </w:r>
        <w:r w:rsidRPr="009176F5">
          <w:rPr>
            <w:rFonts w:ascii="標楷體" w:hAnsi="標楷體"/>
            <w:noProof/>
            <w:lang w:val="zh-TW"/>
          </w:rPr>
          <w:t>7</w:t>
        </w:r>
        <w:r>
          <w:rPr>
            <w:rFonts w:ascii="標楷體" w:hAnsi="標楷體" w:hint="eastAsia"/>
          </w:rPr>
          <w:fldChar w:fldCharType="end"/>
        </w:r>
      </w:p>
    </w:sdtContent>
  </w:sdt>
  <w:p w:rsidR="009176F5" w:rsidRDefault="009176F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6F5" w:rsidRDefault="009176F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E98" w:rsidRDefault="00EC2E98">
      <w:r>
        <w:separator/>
      </w:r>
    </w:p>
  </w:footnote>
  <w:footnote w:type="continuationSeparator" w:id="0">
    <w:p w:rsidR="00EC2E98" w:rsidRDefault="00EC2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E98" w:rsidRDefault="00EC2E98">
    <w:pPr>
      <w:pStyle w:val="ab"/>
      <w:ind w:left="170"/>
      <w:jc w:val="both"/>
      <w:rPr>
        <w:rFonts w:ascii="新細明體"/>
        <w:sz w:val="22"/>
      </w:rPr>
    </w:pPr>
    <w:r>
      <w:rPr>
        <w:rStyle w:val="ac"/>
        <w:rFonts w:ascii="新細明體"/>
        <w:sz w:val="22"/>
      </w:rPr>
      <w:fldChar w:fldCharType="begin"/>
    </w:r>
    <w:r>
      <w:rPr>
        <w:rStyle w:val="ac"/>
        <w:rFonts w:ascii="新細明體"/>
        <w:sz w:val="22"/>
      </w:rPr>
      <w:instrText xml:space="preserve"> PAGE </w:instrText>
    </w:r>
    <w:r>
      <w:rPr>
        <w:rStyle w:val="ac"/>
        <w:rFonts w:ascii="新細明體"/>
        <w:sz w:val="22"/>
      </w:rPr>
      <w:fldChar w:fldCharType="separate"/>
    </w:r>
    <w:r w:rsidR="00E1506B">
      <w:rPr>
        <w:rStyle w:val="ac"/>
        <w:rFonts w:ascii="新細明體"/>
        <w:noProof/>
        <w:sz w:val="22"/>
      </w:rPr>
      <w:t>2</w:t>
    </w:r>
    <w:r>
      <w:rPr>
        <w:rStyle w:val="ac"/>
        <w:rFonts w:ascii="新細明體"/>
        <w:sz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6F5" w:rsidRDefault="009176F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6F5" w:rsidRDefault="009176F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AF8"/>
    <w:rsid w:val="00065B67"/>
    <w:rsid w:val="000E4727"/>
    <w:rsid w:val="0014648E"/>
    <w:rsid w:val="001637FE"/>
    <w:rsid w:val="00193846"/>
    <w:rsid w:val="00291AF9"/>
    <w:rsid w:val="00300125"/>
    <w:rsid w:val="00301608"/>
    <w:rsid w:val="00310678"/>
    <w:rsid w:val="00310F2C"/>
    <w:rsid w:val="003F712E"/>
    <w:rsid w:val="00470827"/>
    <w:rsid w:val="004D0645"/>
    <w:rsid w:val="004E1AF8"/>
    <w:rsid w:val="00555DFB"/>
    <w:rsid w:val="00565A12"/>
    <w:rsid w:val="005C258D"/>
    <w:rsid w:val="00602A83"/>
    <w:rsid w:val="0066180E"/>
    <w:rsid w:val="006D17AC"/>
    <w:rsid w:val="00751A46"/>
    <w:rsid w:val="00762145"/>
    <w:rsid w:val="007A52F1"/>
    <w:rsid w:val="0082035B"/>
    <w:rsid w:val="00857819"/>
    <w:rsid w:val="00875BE9"/>
    <w:rsid w:val="00911FC2"/>
    <w:rsid w:val="009176F5"/>
    <w:rsid w:val="00954123"/>
    <w:rsid w:val="009E07CA"/>
    <w:rsid w:val="00A76E7B"/>
    <w:rsid w:val="00A9412E"/>
    <w:rsid w:val="00CC22D2"/>
    <w:rsid w:val="00D54DFA"/>
    <w:rsid w:val="00D76BA3"/>
    <w:rsid w:val="00DD44DD"/>
    <w:rsid w:val="00DE3A42"/>
    <w:rsid w:val="00DF1A3A"/>
    <w:rsid w:val="00E1506B"/>
    <w:rsid w:val="00E464E0"/>
    <w:rsid w:val="00EC2E98"/>
    <w:rsid w:val="00F726EF"/>
    <w:rsid w:val="00F75683"/>
    <w:rsid w:val="00FB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679302A-F511-4B64-A1C9-FD6BCD90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paragraph" w:customStyle="1" w:styleId="a6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7">
    <w:name w:val="壹貳參"/>
    <w:basedOn w:val="a6"/>
    <w:pPr>
      <w:spacing w:after="240"/>
      <w:ind w:left="624"/>
      <w:jc w:val="left"/>
    </w:pPr>
    <w:rPr>
      <w:sz w:val="36"/>
    </w:rPr>
  </w:style>
  <w:style w:type="paragraph" w:customStyle="1" w:styleId="a8">
    <w:name w:val="一二三"/>
    <w:basedOn w:val="a7"/>
    <w:pPr>
      <w:spacing w:after="120"/>
      <w:ind w:left="0"/>
    </w:pPr>
    <w:rPr>
      <w:b w:val="0"/>
      <w:sz w:val="32"/>
    </w:rPr>
  </w:style>
  <w:style w:type="paragraph" w:customStyle="1" w:styleId="123">
    <w:name w:val="圓圈123"/>
    <w:basedOn w:val="1230"/>
    <w:pPr>
      <w:ind w:firstLine="1008"/>
    </w:pPr>
  </w:style>
  <w:style w:type="paragraph" w:customStyle="1" w:styleId="1230">
    <w:name w:val="括號123"/>
    <w:basedOn w:val="1231"/>
    <w:pPr>
      <w:ind w:firstLine="624"/>
    </w:pPr>
  </w:style>
  <w:style w:type="paragraph" w:customStyle="1" w:styleId="1231">
    <w:name w:val="123"/>
    <w:basedOn w:val="a9"/>
    <w:pPr>
      <w:ind w:firstLine="425"/>
    </w:pPr>
    <w:rPr>
      <w:b w:val="0"/>
      <w:sz w:val="24"/>
    </w:rPr>
  </w:style>
  <w:style w:type="paragraph" w:customStyle="1" w:styleId="a9">
    <w:name w:val="括號一二三"/>
    <w:basedOn w:val="a8"/>
    <w:pPr>
      <w:spacing w:after="0"/>
      <w:ind w:firstLine="624"/>
      <w:jc w:val="both"/>
    </w:pPr>
    <w:rPr>
      <w:b/>
      <w:sz w:val="28"/>
    </w:rPr>
  </w:style>
  <w:style w:type="paragraph" w:styleId="aa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paragraph" w:styleId="ab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c">
    <w:name w:val="page number"/>
    <w:basedOn w:val="a0"/>
    <w:semiHidden/>
  </w:style>
  <w:style w:type="character" w:styleId="ad">
    <w:name w:val="Placeholder Text"/>
    <w:basedOn w:val="a0"/>
    <w:uiPriority w:val="99"/>
    <w:semiHidden/>
    <w:rsid w:val="00555DFB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555D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555DFB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semiHidden/>
    <w:rsid w:val="009176F5"/>
    <w:rPr>
      <w:rFonts w:eastAsia="標楷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787</Words>
  <Characters>1759</Characters>
  <Application>Microsoft Office Word</Application>
  <DocSecurity>0</DocSecurity>
  <Lines>14</Lines>
  <Paragraphs>5</Paragraphs>
  <ScaleCrop>false</ScaleCrop>
  <Company>審計部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丙、各基金決算之審核</dc:title>
  <dc:creator>duck</dc:creator>
  <cp:lastModifiedBy>王憶萍</cp:lastModifiedBy>
  <cp:revision>3</cp:revision>
  <cp:lastPrinted>2023-06-28T08:22:00Z</cp:lastPrinted>
  <dcterms:created xsi:type="dcterms:W3CDTF">2023-06-28T08:54:00Z</dcterms:created>
  <dcterms:modified xsi:type="dcterms:W3CDTF">2023-07-03T06:53:00Z</dcterms:modified>
</cp:coreProperties>
</file>